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81"/>
        <w:tblW w:w="10998" w:type="dxa"/>
        <w:tblLook w:val="0000" w:firstRow="0" w:lastRow="0" w:firstColumn="0" w:lastColumn="0" w:noHBand="0" w:noVBand="0"/>
      </w:tblPr>
      <w:tblGrid>
        <w:gridCol w:w="3078"/>
        <w:gridCol w:w="7920"/>
      </w:tblGrid>
      <w:tr w:rsidR="008C14B2" w:rsidRPr="00F3349F" w:rsidTr="008C14B2">
        <w:trPr>
          <w:cantSplit/>
          <w:trHeight w:val="357"/>
        </w:trPr>
        <w:tc>
          <w:tcPr>
            <w:tcW w:w="3078" w:type="dxa"/>
            <w:vMerge w:val="restart"/>
          </w:tcPr>
          <w:p w:rsidR="008C14B2" w:rsidRPr="00F3349F" w:rsidRDefault="00887489" w:rsidP="008C14B2">
            <w:pPr>
              <w:pStyle w:val="Header"/>
              <w:rPr>
                <w:rFonts w:cs="Arial"/>
                <w:b w:val="0"/>
                <w:szCs w:val="22"/>
              </w:rPr>
            </w:pPr>
            <w:bookmarkStart w:id="0" w:name="_GoBack"/>
            <w:bookmarkEnd w:id="0"/>
            <w:r>
              <w:rPr>
                <w:noProof/>
              </w:rPr>
              <w:drawing>
                <wp:inline distT="0" distB="0" distL="0" distR="0">
                  <wp:extent cx="158115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371475"/>
                          </a:xfrm>
                          <a:prstGeom prst="rect">
                            <a:avLst/>
                          </a:prstGeom>
                          <a:noFill/>
                          <a:ln>
                            <a:noFill/>
                          </a:ln>
                        </pic:spPr>
                      </pic:pic>
                    </a:graphicData>
                  </a:graphic>
                </wp:inline>
              </w:drawing>
            </w:r>
          </w:p>
        </w:tc>
        <w:tc>
          <w:tcPr>
            <w:tcW w:w="7920" w:type="dxa"/>
          </w:tcPr>
          <w:p w:rsidR="008C14B2" w:rsidRPr="00671EDC" w:rsidRDefault="00671EDC" w:rsidP="008C14B2">
            <w:pPr>
              <w:spacing w:after="0"/>
              <w:jc w:val="right"/>
              <w:rPr>
                <w:rFonts w:ascii="Arial" w:hAnsi="Arial" w:cs="Arial"/>
                <w:b/>
                <w:color w:val="0000CC"/>
              </w:rPr>
            </w:pPr>
            <w:r w:rsidRPr="00671EDC">
              <w:rPr>
                <w:rFonts w:ascii="Arial" w:hAnsi="Arial" w:cs="Arial"/>
                <w:b/>
                <w:color w:val="0000CC"/>
                <w:sz w:val="28"/>
              </w:rPr>
              <w:t>WORK INSTRUCTION</w:t>
            </w:r>
          </w:p>
        </w:tc>
      </w:tr>
      <w:tr w:rsidR="008C14B2" w:rsidRPr="00F3349F" w:rsidTr="008C14B2">
        <w:trPr>
          <w:cantSplit/>
          <w:trHeight w:val="330"/>
        </w:trPr>
        <w:tc>
          <w:tcPr>
            <w:tcW w:w="3078" w:type="dxa"/>
            <w:vMerge/>
            <w:tcBorders>
              <w:bottom w:val="single" w:sz="12" w:space="0" w:color="auto"/>
            </w:tcBorders>
          </w:tcPr>
          <w:p w:rsidR="008C14B2" w:rsidRPr="00F3349F" w:rsidRDefault="008C14B2" w:rsidP="008C14B2">
            <w:pPr>
              <w:pStyle w:val="Header"/>
              <w:rPr>
                <w:rFonts w:cs="Arial"/>
                <w:noProof/>
                <w:szCs w:val="22"/>
              </w:rPr>
            </w:pPr>
          </w:p>
        </w:tc>
        <w:tc>
          <w:tcPr>
            <w:tcW w:w="7920" w:type="dxa"/>
            <w:tcBorders>
              <w:bottom w:val="single" w:sz="12" w:space="0" w:color="auto"/>
            </w:tcBorders>
            <w:vAlign w:val="center"/>
          </w:tcPr>
          <w:p w:rsidR="008C14B2" w:rsidRPr="00F3349F" w:rsidRDefault="00F271F4" w:rsidP="008C14B2">
            <w:pPr>
              <w:spacing w:after="0"/>
              <w:jc w:val="right"/>
              <w:rPr>
                <w:rFonts w:ascii="Arial" w:hAnsi="Arial" w:cs="Arial"/>
                <w:b/>
              </w:rPr>
            </w:pPr>
            <w:r>
              <w:rPr>
                <w:rFonts w:ascii="Arial" w:hAnsi="Arial" w:cs="Arial"/>
                <w:b/>
                <w:sz w:val="24"/>
              </w:rPr>
              <w:t>R-W-SER-0102-00</w:t>
            </w:r>
            <w:r w:rsidR="008C14B2" w:rsidRPr="00F3349F">
              <w:rPr>
                <w:rFonts w:ascii="Arial" w:hAnsi="Arial" w:cs="Arial"/>
                <w:b/>
                <w:sz w:val="24"/>
              </w:rPr>
              <w:t xml:space="preserve">   </w:t>
            </w:r>
          </w:p>
        </w:tc>
      </w:tr>
      <w:tr w:rsidR="008C14B2" w:rsidRPr="00F3349F" w:rsidTr="008C14B2">
        <w:trPr>
          <w:cantSplit/>
          <w:trHeight w:val="345"/>
        </w:trPr>
        <w:tc>
          <w:tcPr>
            <w:tcW w:w="10998" w:type="dxa"/>
            <w:gridSpan w:val="2"/>
            <w:tcBorders>
              <w:top w:val="single" w:sz="12" w:space="0" w:color="auto"/>
              <w:left w:val="single" w:sz="12" w:space="0" w:color="auto"/>
              <w:bottom w:val="single" w:sz="12" w:space="0" w:color="auto"/>
              <w:right w:val="single" w:sz="12" w:space="0" w:color="auto"/>
            </w:tcBorders>
            <w:vAlign w:val="center"/>
          </w:tcPr>
          <w:p w:rsidR="008C14B2" w:rsidRPr="00C34AD2" w:rsidRDefault="00B0685D" w:rsidP="00211339">
            <w:pPr>
              <w:pStyle w:val="DOC-TITLE"/>
            </w:pPr>
            <w:r>
              <w:t>Poly stat Mono test</w:t>
            </w:r>
            <w:r w:rsidR="00211339">
              <w:t xml:space="preserve"> </w:t>
            </w:r>
            <w:r w:rsidR="00F271F4">
              <w:t>– whole blood</w:t>
            </w:r>
          </w:p>
        </w:tc>
      </w:tr>
      <w:tr w:rsidR="008C14B2" w:rsidRPr="00F3349F" w:rsidTr="008C14B2">
        <w:trPr>
          <w:cantSplit/>
          <w:trHeight w:val="345"/>
        </w:trPr>
        <w:tc>
          <w:tcPr>
            <w:tcW w:w="10998" w:type="dxa"/>
            <w:gridSpan w:val="2"/>
            <w:tcBorders>
              <w:top w:val="single" w:sz="12" w:space="0" w:color="auto"/>
            </w:tcBorders>
            <w:vAlign w:val="center"/>
          </w:tcPr>
          <w:p w:rsidR="008C14B2" w:rsidRDefault="004B0436" w:rsidP="008C14B2">
            <w:pPr>
              <w:pStyle w:val="BodyText"/>
              <w:rPr>
                <w:b/>
                <w:sz w:val="16"/>
              </w:rPr>
            </w:pPr>
            <w:r>
              <w:rPr>
                <w:b/>
                <w:sz w:val="16"/>
              </w:rPr>
              <w:fldChar w:fldCharType="begin">
                <w:ffData>
                  <w:name w:val="Check1"/>
                  <w:enabled/>
                  <w:calcOnExit w:val="0"/>
                  <w:checkBox>
                    <w:sizeAuto/>
                    <w:default w:val="1"/>
                  </w:checkBox>
                </w:ffData>
              </w:fldChar>
            </w:r>
            <w:bookmarkStart w:id="1" w:name="Check1"/>
            <w:r>
              <w:rPr>
                <w:b/>
                <w:sz w:val="16"/>
              </w:rPr>
              <w:instrText xml:space="preserve"> FORMCHECKBOX </w:instrText>
            </w:r>
            <w:r>
              <w:rPr>
                <w:b/>
                <w:sz w:val="16"/>
              </w:rPr>
            </w:r>
            <w:r>
              <w:rPr>
                <w:b/>
                <w:sz w:val="16"/>
              </w:rPr>
              <w:fldChar w:fldCharType="end"/>
            </w:r>
            <w:bookmarkEnd w:id="1"/>
            <w:r w:rsidR="008C14B2">
              <w:rPr>
                <w:b/>
                <w:sz w:val="16"/>
              </w:rPr>
              <w:t xml:space="preserve"> </w:t>
            </w:r>
            <w:r w:rsidR="008C14B2" w:rsidRPr="005230D4">
              <w:rPr>
                <w:b/>
                <w:sz w:val="16"/>
              </w:rPr>
              <w:t>St. Joseph Medical Center Tacoma, WA</w:t>
            </w:r>
            <w:r w:rsidR="008C14B2">
              <w:rPr>
                <w:b/>
                <w:sz w:val="16"/>
              </w:rPr>
              <w:tab/>
              <w:t xml:space="preserve">   </w:t>
            </w:r>
            <w:r>
              <w:rPr>
                <w:b/>
                <w:sz w:val="16"/>
              </w:rPr>
              <w:fldChar w:fldCharType="begin">
                <w:ffData>
                  <w:name w:val="Check3"/>
                  <w:enabled/>
                  <w:calcOnExit w:val="0"/>
                  <w:checkBox>
                    <w:sizeAuto/>
                    <w:default w:val="1"/>
                  </w:checkBox>
                </w:ffData>
              </w:fldChar>
            </w:r>
            <w:bookmarkStart w:id="2" w:name="Check3"/>
            <w:r>
              <w:rPr>
                <w:b/>
                <w:sz w:val="16"/>
              </w:rPr>
              <w:instrText xml:space="preserve"> FORMCHECKBOX </w:instrText>
            </w:r>
            <w:r>
              <w:rPr>
                <w:b/>
                <w:sz w:val="16"/>
              </w:rPr>
            </w:r>
            <w:r>
              <w:rPr>
                <w:b/>
                <w:sz w:val="16"/>
              </w:rPr>
              <w:fldChar w:fldCharType="end"/>
            </w:r>
            <w:bookmarkEnd w:id="2"/>
            <w:r w:rsidR="008C14B2">
              <w:rPr>
                <w:b/>
                <w:sz w:val="16"/>
              </w:rPr>
              <w:t xml:space="preserve"> </w:t>
            </w:r>
            <w:r w:rsidR="008C14B2" w:rsidRPr="005230D4">
              <w:rPr>
                <w:b/>
                <w:sz w:val="16"/>
              </w:rPr>
              <w:t>St. Clare Hospital Lakewood, WA</w:t>
            </w:r>
            <w:r w:rsidR="008C14B2">
              <w:rPr>
                <w:b/>
                <w:sz w:val="16"/>
              </w:rPr>
              <w:tab/>
            </w:r>
            <w:r w:rsidR="008C14B2">
              <w:rPr>
                <w:b/>
                <w:sz w:val="16"/>
              </w:rPr>
              <w:tab/>
              <w:t xml:space="preserve">     </w:t>
            </w:r>
            <w:r>
              <w:rPr>
                <w:b/>
                <w:sz w:val="16"/>
              </w:rPr>
              <w:fldChar w:fldCharType="begin">
                <w:ffData>
                  <w:name w:val="Check5"/>
                  <w:enabled/>
                  <w:calcOnExit w:val="0"/>
                  <w:checkBox>
                    <w:sizeAuto/>
                    <w:default w:val="1"/>
                  </w:checkBox>
                </w:ffData>
              </w:fldChar>
            </w:r>
            <w:bookmarkStart w:id="3" w:name="Check5"/>
            <w:r>
              <w:rPr>
                <w:b/>
                <w:sz w:val="16"/>
              </w:rPr>
              <w:instrText xml:space="preserve"> FORMCHECKBOX </w:instrText>
            </w:r>
            <w:r>
              <w:rPr>
                <w:b/>
                <w:sz w:val="16"/>
              </w:rPr>
            </w:r>
            <w:r>
              <w:rPr>
                <w:b/>
                <w:sz w:val="16"/>
              </w:rPr>
              <w:fldChar w:fldCharType="end"/>
            </w:r>
            <w:bookmarkEnd w:id="3"/>
            <w:r w:rsidR="008C14B2">
              <w:rPr>
                <w:b/>
                <w:sz w:val="16"/>
              </w:rPr>
              <w:t xml:space="preserve"> </w:t>
            </w:r>
            <w:r w:rsidR="008C14B2" w:rsidRPr="005230D4">
              <w:rPr>
                <w:b/>
                <w:sz w:val="16"/>
              </w:rPr>
              <w:t>St. Elizabeth Hospital Enumclaw, WA</w:t>
            </w:r>
          </w:p>
          <w:p w:rsidR="008C14B2" w:rsidRPr="00EE31C5" w:rsidRDefault="004B0436" w:rsidP="004B0436">
            <w:pPr>
              <w:pStyle w:val="BodyText"/>
            </w:pPr>
            <w:r>
              <w:rPr>
                <w:b/>
                <w:sz w:val="16"/>
              </w:rPr>
              <w:fldChar w:fldCharType="begin">
                <w:ffData>
                  <w:name w:val="Check2"/>
                  <w:enabled/>
                  <w:calcOnExit w:val="0"/>
                  <w:checkBox>
                    <w:sizeAuto/>
                    <w:default w:val="1"/>
                  </w:checkBox>
                </w:ffData>
              </w:fldChar>
            </w:r>
            <w:bookmarkStart w:id="4" w:name="Check2"/>
            <w:r>
              <w:rPr>
                <w:b/>
                <w:sz w:val="16"/>
              </w:rPr>
              <w:instrText xml:space="preserve"> FORMCHECKBOX </w:instrText>
            </w:r>
            <w:r>
              <w:rPr>
                <w:b/>
                <w:sz w:val="16"/>
              </w:rPr>
            </w:r>
            <w:r>
              <w:rPr>
                <w:b/>
                <w:sz w:val="16"/>
              </w:rPr>
              <w:fldChar w:fldCharType="end"/>
            </w:r>
            <w:bookmarkEnd w:id="4"/>
            <w:r w:rsidR="008C14B2">
              <w:rPr>
                <w:b/>
                <w:sz w:val="16"/>
              </w:rPr>
              <w:t xml:space="preserve"> </w:t>
            </w:r>
            <w:smartTag w:uri="urn:schemas-microsoft-com:office:smarttags" w:element="Street">
              <w:r w:rsidR="008C14B2" w:rsidRPr="005230D4">
                <w:rPr>
                  <w:b/>
                  <w:sz w:val="16"/>
                </w:rPr>
                <w:t>St. Francis Hospital Federal Way</w:t>
              </w:r>
            </w:smartTag>
            <w:r w:rsidR="008C14B2" w:rsidRPr="005230D4">
              <w:rPr>
                <w:b/>
                <w:sz w:val="16"/>
              </w:rPr>
              <w:t>, WA</w:t>
            </w:r>
            <w:r w:rsidR="008C14B2">
              <w:rPr>
                <w:b/>
                <w:sz w:val="16"/>
              </w:rPr>
              <w:t xml:space="preserve">  </w:t>
            </w:r>
            <w:r w:rsidR="008C14B2">
              <w:rPr>
                <w:b/>
                <w:sz w:val="16"/>
              </w:rPr>
              <w:tab/>
              <w:t xml:space="preserve">   </w:t>
            </w:r>
            <w:r>
              <w:rPr>
                <w:b/>
                <w:sz w:val="16"/>
              </w:rPr>
              <w:fldChar w:fldCharType="begin">
                <w:ffData>
                  <w:name w:val="Check4"/>
                  <w:enabled/>
                  <w:calcOnExit w:val="0"/>
                  <w:checkBox>
                    <w:sizeAuto/>
                    <w:default w:val="1"/>
                  </w:checkBox>
                </w:ffData>
              </w:fldChar>
            </w:r>
            <w:bookmarkStart w:id="5" w:name="Check4"/>
            <w:r>
              <w:rPr>
                <w:b/>
                <w:sz w:val="16"/>
              </w:rPr>
              <w:instrText xml:space="preserve"> FORMCHECKBOX </w:instrText>
            </w:r>
            <w:r>
              <w:rPr>
                <w:b/>
                <w:sz w:val="16"/>
              </w:rPr>
            </w:r>
            <w:r>
              <w:rPr>
                <w:b/>
                <w:sz w:val="16"/>
              </w:rPr>
              <w:fldChar w:fldCharType="end"/>
            </w:r>
            <w:bookmarkEnd w:id="5"/>
            <w:r w:rsidR="008C14B2">
              <w:rPr>
                <w:b/>
                <w:sz w:val="16"/>
              </w:rPr>
              <w:t xml:space="preserve"> </w:t>
            </w:r>
            <w:r w:rsidR="008C14B2" w:rsidRPr="005230D4">
              <w:rPr>
                <w:b/>
                <w:sz w:val="16"/>
              </w:rPr>
              <w:t>St. Anthony Hospital Gig Harbor, WA</w:t>
            </w:r>
            <w:r w:rsidR="008C14B2">
              <w:rPr>
                <w:b/>
                <w:sz w:val="16"/>
              </w:rPr>
              <w:tab/>
              <w:t xml:space="preserve">     </w:t>
            </w:r>
            <w:bookmarkStart w:id="6" w:name="Check8"/>
            <w:r w:rsidR="00A97309">
              <w:rPr>
                <w:b/>
                <w:sz w:val="16"/>
              </w:rPr>
              <w:fldChar w:fldCharType="begin">
                <w:ffData>
                  <w:name w:val="Check8"/>
                  <w:enabled/>
                  <w:calcOnExit w:val="0"/>
                  <w:checkBox>
                    <w:sizeAuto/>
                    <w:default w:val="0"/>
                  </w:checkBox>
                </w:ffData>
              </w:fldChar>
            </w:r>
            <w:r w:rsidR="008C14B2">
              <w:rPr>
                <w:b/>
                <w:sz w:val="16"/>
              </w:rPr>
              <w:instrText xml:space="preserve"> FORMCHECKBOX </w:instrText>
            </w:r>
            <w:r w:rsidR="00A97309">
              <w:rPr>
                <w:b/>
                <w:sz w:val="16"/>
              </w:rPr>
            </w:r>
            <w:r w:rsidR="00A97309">
              <w:rPr>
                <w:b/>
                <w:sz w:val="16"/>
              </w:rPr>
              <w:fldChar w:fldCharType="end"/>
            </w:r>
            <w:bookmarkEnd w:id="6"/>
            <w:r w:rsidR="008C14B2">
              <w:rPr>
                <w:b/>
                <w:sz w:val="16"/>
              </w:rPr>
              <w:t xml:space="preserve"> </w:t>
            </w:r>
            <w:r w:rsidR="008C14B2" w:rsidRPr="005230D4">
              <w:rPr>
                <w:b/>
                <w:sz w:val="16"/>
              </w:rPr>
              <w:t>PSC</w:t>
            </w:r>
          </w:p>
        </w:tc>
      </w:tr>
    </w:tbl>
    <w:p w:rsidR="00F3349F" w:rsidRDefault="00F3349F" w:rsidP="001C41B8">
      <w:pPr>
        <w:pStyle w:val="DOC-BodyText"/>
      </w:pPr>
    </w:p>
    <w:p w:rsidR="008C14B2" w:rsidRPr="00B0685D" w:rsidRDefault="00B0685D" w:rsidP="001C41B8">
      <w:pPr>
        <w:pStyle w:val="DOC-BodyText"/>
        <w:rPr>
          <w:b/>
        </w:rPr>
      </w:pPr>
      <w:r w:rsidRPr="00B0685D">
        <w:rPr>
          <w:b/>
        </w:rPr>
        <w:t>PURPOSE</w:t>
      </w:r>
    </w:p>
    <w:p w:rsidR="00B0685D" w:rsidRDefault="00B0685D" w:rsidP="001C41B8">
      <w:pPr>
        <w:pStyle w:val="DOC-BodyText"/>
      </w:pPr>
    </w:p>
    <w:p w:rsidR="00B0685D" w:rsidRDefault="00B0685D" w:rsidP="001C41B8">
      <w:pPr>
        <w:pStyle w:val="DOC-BodyText"/>
      </w:pPr>
      <w:r>
        <w:t xml:space="preserve">To provide instruction for the performance of the Poly stat Mono Test used for the </w:t>
      </w:r>
      <w:r w:rsidR="000B2B32">
        <w:t xml:space="preserve">qualitative </w:t>
      </w:r>
      <w:r>
        <w:t>detection of infectious mononucleosis (IM) heterophile antibodies in human whole blood.</w:t>
      </w:r>
      <w:r w:rsidR="00211339">
        <w:t xml:space="preserve">  This method qualifies as a waived test.</w:t>
      </w:r>
    </w:p>
    <w:p w:rsidR="00B0685D" w:rsidRDefault="00B0685D" w:rsidP="001C41B8">
      <w:pPr>
        <w:pStyle w:val="DOC-BodyText"/>
      </w:pPr>
    </w:p>
    <w:p w:rsidR="00843130" w:rsidRDefault="00843130" w:rsidP="001C41B8">
      <w:pPr>
        <w:pStyle w:val="DOC-BodyText"/>
        <w:rPr>
          <w:b/>
        </w:rPr>
      </w:pPr>
    </w:p>
    <w:p w:rsidR="00B202A6" w:rsidRPr="000B2B32" w:rsidRDefault="000B2B32" w:rsidP="001C41B8">
      <w:pPr>
        <w:pStyle w:val="DOC-BodyText"/>
        <w:rPr>
          <w:b/>
        </w:rPr>
      </w:pPr>
      <w:r w:rsidRPr="000B2B32">
        <w:rPr>
          <w:b/>
        </w:rPr>
        <w:t>BACKGROUND</w:t>
      </w:r>
    </w:p>
    <w:p w:rsidR="000B2B32" w:rsidRDefault="000B2B32" w:rsidP="001C41B8">
      <w:pPr>
        <w:pStyle w:val="DOC-BodyText"/>
      </w:pPr>
    </w:p>
    <w:p w:rsidR="000B2B32" w:rsidRDefault="000B2B32" w:rsidP="001C41B8">
      <w:pPr>
        <w:pStyle w:val="DOC-BodyText"/>
      </w:pPr>
      <w:r>
        <w:t>Infectious mononucleosis (IM) is an acute, self-limited, lymphoproliferative disease caused by the Epstein-Barr virus (EBV).  Infection with EBV usually occurs early in life with no recognizable disease.  When primary infection is delayed until young adulthood and adolescence, however, there is about a 50% chance that it will occur with the classic clinical manifestations associated with IM.  Most individuals exposed to EBV develop a heterophile antibody response and react with surface antigens present on the red cells of different mammalian species. It is not know</w:t>
      </w:r>
      <w:r w:rsidR="00E60D6D">
        <w:t>n</w:t>
      </w:r>
      <w:r>
        <w:t xml:space="preserve"> which specific antigen stimulates their production.</w:t>
      </w:r>
    </w:p>
    <w:p w:rsidR="00E60D6D" w:rsidRDefault="00E60D6D" w:rsidP="001C41B8">
      <w:pPr>
        <w:pStyle w:val="DOC-BodyText"/>
      </w:pPr>
    </w:p>
    <w:p w:rsidR="00843130" w:rsidRDefault="00843130" w:rsidP="001C41B8">
      <w:pPr>
        <w:pStyle w:val="DOC-BodyText"/>
        <w:rPr>
          <w:b/>
        </w:rPr>
      </w:pPr>
    </w:p>
    <w:p w:rsidR="00843130" w:rsidRDefault="00843130" w:rsidP="001C41B8">
      <w:pPr>
        <w:pStyle w:val="DOC-BodyText"/>
        <w:rPr>
          <w:b/>
        </w:rPr>
      </w:pPr>
      <w:r>
        <w:rPr>
          <w:b/>
        </w:rPr>
        <w:t>RELATED DOCUMENTS</w:t>
      </w:r>
    </w:p>
    <w:p w:rsidR="00843130" w:rsidRDefault="00843130" w:rsidP="001C41B8">
      <w:pPr>
        <w:pStyle w:val="DOC-BodyText"/>
        <w:rPr>
          <w:b/>
        </w:rPr>
      </w:pPr>
    </w:p>
    <w:p w:rsidR="00843130" w:rsidRPr="00F11BBF" w:rsidRDefault="00F11BBF" w:rsidP="001C41B8">
      <w:pPr>
        <w:pStyle w:val="DOC-BodyText"/>
      </w:pPr>
      <w:r w:rsidRPr="00F11BBF">
        <w:t>R-F-SER-0103</w:t>
      </w:r>
      <w:r w:rsidRPr="00F11BBF">
        <w:tab/>
      </w:r>
      <w:r w:rsidRPr="00F11BBF">
        <w:tab/>
        <w:t>Mono Test Kit External QC Log</w:t>
      </w:r>
    </w:p>
    <w:p w:rsidR="00843130" w:rsidRDefault="00843130" w:rsidP="001C41B8">
      <w:pPr>
        <w:pStyle w:val="DOC-BodyText"/>
        <w:rPr>
          <w:b/>
        </w:rPr>
      </w:pPr>
    </w:p>
    <w:p w:rsidR="00F11BBF" w:rsidRDefault="00F11BBF" w:rsidP="001C41B8">
      <w:pPr>
        <w:pStyle w:val="DOC-BodyText"/>
        <w:rPr>
          <w:b/>
        </w:rPr>
      </w:pPr>
    </w:p>
    <w:p w:rsidR="00E60D6D" w:rsidRPr="00E60D6D" w:rsidRDefault="00E60D6D" w:rsidP="001C41B8">
      <w:pPr>
        <w:pStyle w:val="DOC-BodyText"/>
        <w:rPr>
          <w:b/>
        </w:rPr>
      </w:pPr>
      <w:r w:rsidRPr="00E60D6D">
        <w:rPr>
          <w:b/>
        </w:rPr>
        <w:t>PRINCIPLE</w:t>
      </w:r>
    </w:p>
    <w:p w:rsidR="00E60D6D" w:rsidRDefault="00E60D6D" w:rsidP="001C41B8">
      <w:pPr>
        <w:pStyle w:val="DOC-BodyText"/>
      </w:pPr>
    </w:p>
    <w:p w:rsidR="00E60D6D" w:rsidRDefault="00E60D6D" w:rsidP="001C41B8">
      <w:pPr>
        <w:pStyle w:val="DOC-BodyText"/>
      </w:pPr>
      <w:r>
        <w:t xml:space="preserve">Direct solid-phase immunoassay technology is used for the qualitative detection of IM heterophile antibodies. </w:t>
      </w:r>
    </w:p>
    <w:p w:rsidR="000B2B32" w:rsidRDefault="000B2B32" w:rsidP="001C41B8">
      <w:pPr>
        <w:pStyle w:val="DOC-BodyText"/>
        <w:rPr>
          <w:b/>
        </w:rPr>
      </w:pPr>
    </w:p>
    <w:p w:rsidR="00843130" w:rsidRDefault="00843130" w:rsidP="001C41B8">
      <w:pPr>
        <w:pStyle w:val="DOC-BodyText"/>
        <w:rPr>
          <w:b/>
        </w:rPr>
      </w:pPr>
    </w:p>
    <w:p w:rsidR="00B0685D" w:rsidRPr="00B202A6" w:rsidRDefault="00B0685D" w:rsidP="001C41B8">
      <w:pPr>
        <w:pStyle w:val="DOC-BodyText"/>
        <w:rPr>
          <w:b/>
        </w:rPr>
      </w:pPr>
      <w:r w:rsidRPr="00B202A6">
        <w:rPr>
          <w:b/>
        </w:rPr>
        <w:t>SPECIMEN REQUIREMENTS</w:t>
      </w:r>
    </w:p>
    <w:p w:rsidR="00B0685D" w:rsidRDefault="00B0685D" w:rsidP="001C41B8">
      <w:pPr>
        <w:pStyle w:val="DOC-BodyText"/>
      </w:pPr>
    </w:p>
    <w:p w:rsidR="003028AA" w:rsidRDefault="00B0685D" w:rsidP="00B27F4C">
      <w:pPr>
        <w:pStyle w:val="DOC-BodyText"/>
        <w:rPr>
          <w:rFonts w:ascii="Helvetica" w:hAnsi="Helvetica" w:cs="Helvetica"/>
        </w:rPr>
      </w:pPr>
      <w:r>
        <w:rPr>
          <w:rFonts w:ascii="Helvetica" w:hAnsi="Helvetica" w:cs="Helvetica"/>
        </w:rPr>
        <w:t xml:space="preserve">5 ml EDTA or heparinized </w:t>
      </w:r>
      <w:r w:rsidR="00B202A6">
        <w:rPr>
          <w:rFonts w:ascii="Helvetica" w:hAnsi="Helvetica" w:cs="Helvetica"/>
        </w:rPr>
        <w:t xml:space="preserve">sample </w:t>
      </w:r>
    </w:p>
    <w:p w:rsidR="001E49C5" w:rsidRDefault="001E49C5" w:rsidP="00B27F4C">
      <w:pPr>
        <w:pStyle w:val="DOC-BodyText"/>
        <w:rPr>
          <w:rFonts w:ascii="Helvetica" w:hAnsi="Helvetica" w:cs="Helvetica"/>
        </w:rPr>
      </w:pPr>
    </w:p>
    <w:p w:rsidR="001E49C5" w:rsidRDefault="001E49C5" w:rsidP="00B27F4C">
      <w:pPr>
        <w:pStyle w:val="DOC-BodyText"/>
        <w:rPr>
          <w:rFonts w:ascii="Helvetica" w:hAnsi="Helvetica" w:cs="Helvetica"/>
        </w:rPr>
      </w:pPr>
      <w:r>
        <w:rPr>
          <w:rFonts w:ascii="Helvetica" w:hAnsi="Helvetica" w:cs="Helvetica"/>
        </w:rPr>
        <w:t>Whole blood may be stored at 2</w:t>
      </w:r>
      <w:r w:rsidRPr="00597754">
        <w:rPr>
          <w:rFonts w:ascii="Helvetica" w:hAnsi="Helvetica" w:cs="Helvetica"/>
          <w:vertAlign w:val="superscript"/>
        </w:rPr>
        <w:t>o</w:t>
      </w:r>
      <w:r>
        <w:rPr>
          <w:rFonts w:ascii="Helvetica" w:hAnsi="Helvetica" w:cs="Helvetica"/>
        </w:rPr>
        <w:t xml:space="preserve"> – 8</w:t>
      </w:r>
      <w:r w:rsidRPr="00597754">
        <w:rPr>
          <w:rFonts w:ascii="Helvetica" w:hAnsi="Helvetica" w:cs="Helvetica"/>
          <w:vertAlign w:val="superscript"/>
        </w:rPr>
        <w:t>o</w:t>
      </w:r>
      <w:r>
        <w:rPr>
          <w:rFonts w:ascii="Helvetica" w:hAnsi="Helvetica" w:cs="Helvetica"/>
        </w:rPr>
        <w:t xml:space="preserve"> C for 24 hours</w:t>
      </w:r>
    </w:p>
    <w:p w:rsidR="003028AA" w:rsidRDefault="003028AA" w:rsidP="00B27F4C">
      <w:pPr>
        <w:pStyle w:val="DOC-BodyText"/>
        <w:rPr>
          <w:rFonts w:ascii="Helvetica" w:hAnsi="Helvetica" w:cs="Helvetica"/>
        </w:rPr>
      </w:pPr>
    </w:p>
    <w:p w:rsidR="001E49C5" w:rsidRDefault="001E49C5" w:rsidP="00B27F4C">
      <w:pPr>
        <w:pStyle w:val="DOC-BodyText"/>
      </w:pPr>
    </w:p>
    <w:p w:rsidR="00843130" w:rsidRPr="00A80314" w:rsidRDefault="00843130" w:rsidP="00843130">
      <w:pPr>
        <w:pStyle w:val="DOC-BodyText"/>
        <w:rPr>
          <w:b/>
        </w:rPr>
      </w:pPr>
      <w:r w:rsidRPr="00A80314">
        <w:rPr>
          <w:b/>
        </w:rPr>
        <w:t>REAGENTS AND EQUIPMENT</w:t>
      </w:r>
    </w:p>
    <w:p w:rsidR="00843130" w:rsidRDefault="00843130" w:rsidP="00843130">
      <w:pPr>
        <w:pStyle w:val="DOC-BodyText"/>
      </w:pPr>
    </w:p>
    <w:p w:rsidR="00843130" w:rsidRDefault="00BD11CB" w:rsidP="00843130">
      <w:pPr>
        <w:pStyle w:val="DOC-BodyText"/>
      </w:pPr>
      <w:r>
        <w:t>1.</w:t>
      </w:r>
      <w:r>
        <w:tab/>
      </w:r>
      <w:r w:rsidR="00843130">
        <w:t>Poly stat Mono Test kit which contains:</w:t>
      </w:r>
    </w:p>
    <w:p w:rsidR="00843130" w:rsidRDefault="00843130" w:rsidP="00843130">
      <w:pPr>
        <w:pStyle w:val="DOC-BodyText"/>
        <w:numPr>
          <w:ilvl w:val="0"/>
          <w:numId w:val="1"/>
        </w:numPr>
      </w:pPr>
      <w:r>
        <w:t xml:space="preserve">Poly stat Mono 20 test devices </w:t>
      </w:r>
    </w:p>
    <w:p w:rsidR="00843130" w:rsidRDefault="00843130" w:rsidP="00843130">
      <w:pPr>
        <w:pStyle w:val="DOC-BodyText"/>
        <w:numPr>
          <w:ilvl w:val="0"/>
          <w:numId w:val="1"/>
        </w:numPr>
      </w:pPr>
      <w:r>
        <w:t xml:space="preserve">Developer Buffer: Phosphate saline buffer </w:t>
      </w:r>
    </w:p>
    <w:p w:rsidR="00843130" w:rsidRDefault="00843130" w:rsidP="00843130">
      <w:pPr>
        <w:pStyle w:val="DOC-BodyText"/>
        <w:numPr>
          <w:ilvl w:val="0"/>
          <w:numId w:val="1"/>
        </w:numPr>
      </w:pPr>
      <w:r>
        <w:t xml:space="preserve">Negative Control: diluted serum </w:t>
      </w:r>
    </w:p>
    <w:p w:rsidR="00843130" w:rsidRDefault="00843130" w:rsidP="00843130">
      <w:pPr>
        <w:pStyle w:val="DOC-BodyText"/>
        <w:numPr>
          <w:ilvl w:val="0"/>
          <w:numId w:val="1"/>
        </w:numPr>
      </w:pPr>
      <w:r>
        <w:t xml:space="preserve">Positive Control: diluted in serum </w:t>
      </w:r>
    </w:p>
    <w:p w:rsidR="00B202A6" w:rsidRDefault="00843130" w:rsidP="00843130">
      <w:pPr>
        <w:pStyle w:val="DOC-BodyText"/>
        <w:numPr>
          <w:ilvl w:val="0"/>
          <w:numId w:val="1"/>
        </w:numPr>
      </w:pPr>
      <w:r>
        <w:t>Sample transfer tube for whole blood (25</w:t>
      </w:r>
      <w:r w:rsidRPr="00843130">
        <w:rPr>
          <w:rFonts w:cs="Arial"/>
        </w:rPr>
        <w:t>µ</w:t>
      </w:r>
      <w:r>
        <w:t>L)</w:t>
      </w:r>
    </w:p>
    <w:p w:rsidR="003028AA" w:rsidRDefault="003028AA" w:rsidP="003028AA">
      <w:pPr>
        <w:pStyle w:val="DOC-BodyText"/>
      </w:pPr>
    </w:p>
    <w:p w:rsidR="003028AA" w:rsidRPr="00843130" w:rsidRDefault="00BD11CB" w:rsidP="003028AA">
      <w:pPr>
        <w:pStyle w:val="DOC-BodyText"/>
      </w:pPr>
      <w:r w:rsidRPr="00BD11CB">
        <w:rPr>
          <w:b/>
        </w:rPr>
        <w:tab/>
      </w:r>
      <w:r w:rsidR="003028AA" w:rsidRPr="00A867AF">
        <w:rPr>
          <w:b/>
          <w:u w:val="single"/>
        </w:rPr>
        <w:t>Note</w:t>
      </w:r>
      <w:r w:rsidR="003028AA" w:rsidRPr="00A867AF">
        <w:t xml:space="preserve">:  Reagents contain 0.1% sodium azide.  </w:t>
      </w:r>
      <w:r w:rsidR="00EC5A15" w:rsidRPr="00A867AF">
        <w:t xml:space="preserve">Sodium azide may react with lead and copper plumbing to </w:t>
      </w:r>
      <w:r>
        <w:tab/>
      </w:r>
      <w:r w:rsidR="00EC5A15" w:rsidRPr="00A867AF">
        <w:t xml:space="preserve">form highly explosive metal </w:t>
      </w:r>
      <w:proofErr w:type="spellStart"/>
      <w:r w:rsidR="00EC5A15" w:rsidRPr="00A867AF">
        <w:t>azides</w:t>
      </w:r>
      <w:proofErr w:type="spellEnd"/>
      <w:r w:rsidR="00EC5A15" w:rsidRPr="00A867AF">
        <w:t xml:space="preserve">.  </w:t>
      </w:r>
      <w:r w:rsidR="00D208AE" w:rsidRPr="00A867AF">
        <w:t>Please dispose of cartridges and buffer in biohazard trash.</w:t>
      </w:r>
    </w:p>
    <w:p w:rsidR="00843130" w:rsidRDefault="00843130" w:rsidP="00B27F4C">
      <w:pPr>
        <w:pStyle w:val="DOC-BodyText"/>
        <w:rPr>
          <w:rFonts w:ascii="Helvetica" w:hAnsi="Helvetica" w:cs="Helvetica"/>
          <w:b/>
        </w:rPr>
      </w:pPr>
    </w:p>
    <w:p w:rsidR="00597754" w:rsidRPr="00BD11CB" w:rsidRDefault="00BD11CB" w:rsidP="00843130">
      <w:pPr>
        <w:pStyle w:val="DOC-BodyText"/>
      </w:pPr>
      <w:r>
        <w:t>2.</w:t>
      </w:r>
      <w:r>
        <w:tab/>
        <w:t xml:space="preserve">25 </w:t>
      </w:r>
      <w:r>
        <w:rPr>
          <w:rFonts w:cs="Arial"/>
        </w:rPr>
        <w:t>µ</w:t>
      </w:r>
      <w:r>
        <w:t>L pipette</w:t>
      </w:r>
    </w:p>
    <w:p w:rsidR="00843130" w:rsidRPr="00E43283" w:rsidRDefault="00843130" w:rsidP="00843130">
      <w:pPr>
        <w:pStyle w:val="DOC-BodyText"/>
        <w:rPr>
          <w:b/>
        </w:rPr>
      </w:pPr>
      <w:r w:rsidRPr="00E43283">
        <w:rPr>
          <w:b/>
        </w:rPr>
        <w:lastRenderedPageBreak/>
        <w:t>STORAGE AND STABILITY</w:t>
      </w:r>
    </w:p>
    <w:p w:rsidR="00843130" w:rsidRPr="00D617D2" w:rsidRDefault="00843130" w:rsidP="00843130">
      <w:pPr>
        <w:pStyle w:val="DOC-BodyText"/>
        <w:rPr>
          <w:sz w:val="18"/>
          <w:szCs w:val="18"/>
        </w:rPr>
      </w:pPr>
    </w:p>
    <w:p w:rsidR="00843130" w:rsidRDefault="00843130" w:rsidP="00843130">
      <w:pPr>
        <w:pStyle w:val="DOC-BodyText"/>
      </w:pPr>
      <w:r>
        <w:t>Poly stat Mono test kits should be stored at 2</w:t>
      </w:r>
      <w:r>
        <w:rPr>
          <w:rFonts w:cs="Arial"/>
        </w:rPr>
        <w:t>°</w:t>
      </w:r>
      <w:r>
        <w:t>-30</w:t>
      </w:r>
      <w:r>
        <w:rPr>
          <w:rFonts w:cs="Arial"/>
        </w:rPr>
        <w:t>°</w:t>
      </w:r>
      <w:r>
        <w:t xml:space="preserve">C in its sealed pouch and is stable for the stability dating given. </w:t>
      </w:r>
      <w:r w:rsidR="003028AA">
        <w:t xml:space="preserve">  </w:t>
      </w:r>
    </w:p>
    <w:p w:rsidR="003028AA" w:rsidRDefault="003028AA" w:rsidP="00B27F4C">
      <w:pPr>
        <w:pStyle w:val="DOC-BodyText"/>
        <w:rPr>
          <w:rFonts w:ascii="Helvetica" w:hAnsi="Helvetica" w:cs="Helvetica"/>
          <w:b/>
        </w:rPr>
      </w:pPr>
    </w:p>
    <w:p w:rsidR="00597754" w:rsidRPr="00D617D2" w:rsidRDefault="00597754" w:rsidP="00B27F4C">
      <w:pPr>
        <w:pStyle w:val="DOC-BodyText"/>
        <w:rPr>
          <w:rFonts w:ascii="Helvetica" w:hAnsi="Helvetica" w:cs="Helvetica"/>
          <w:b/>
          <w:sz w:val="12"/>
          <w:szCs w:val="12"/>
        </w:rPr>
      </w:pPr>
    </w:p>
    <w:p w:rsidR="00B202A6" w:rsidRPr="00B202A6" w:rsidRDefault="00B202A6" w:rsidP="00B27F4C">
      <w:pPr>
        <w:pStyle w:val="DOC-BodyText"/>
        <w:rPr>
          <w:b/>
        </w:rPr>
      </w:pPr>
      <w:r w:rsidRPr="00B202A6">
        <w:rPr>
          <w:rFonts w:ascii="Helvetica" w:hAnsi="Helvetica" w:cs="Helvetica"/>
          <w:b/>
        </w:rPr>
        <w:t>QUALITY CONTROL</w:t>
      </w:r>
    </w:p>
    <w:p w:rsidR="000F6BF5" w:rsidRPr="00D617D2" w:rsidRDefault="000F6BF5" w:rsidP="00B27F4C">
      <w:pPr>
        <w:pStyle w:val="DOC-BodyText"/>
        <w:rPr>
          <w:sz w:val="18"/>
          <w:szCs w:val="18"/>
        </w:rPr>
      </w:pPr>
    </w:p>
    <w:p w:rsidR="00B202A6" w:rsidRPr="00B202A6" w:rsidRDefault="00B202A6" w:rsidP="00B27F4C">
      <w:pPr>
        <w:pStyle w:val="DOC-BodyText"/>
        <w:rPr>
          <w:b/>
        </w:rPr>
      </w:pPr>
      <w:r w:rsidRPr="00B202A6">
        <w:rPr>
          <w:b/>
        </w:rPr>
        <w:t>Internal Quality Control</w:t>
      </w:r>
    </w:p>
    <w:p w:rsidR="00B202A6" w:rsidRDefault="00B202A6" w:rsidP="00B27F4C">
      <w:pPr>
        <w:pStyle w:val="DOC-BodyText"/>
      </w:pPr>
    </w:p>
    <w:p w:rsidR="00B202A6" w:rsidRDefault="00B202A6" w:rsidP="00B27F4C">
      <w:pPr>
        <w:pStyle w:val="DOC-BodyText"/>
      </w:pPr>
      <w:r>
        <w:t xml:space="preserve">There are two internal control features in the Poly stat Mono test. </w:t>
      </w:r>
      <w:r w:rsidR="00394AD8" w:rsidRPr="00394AD8">
        <w:t xml:space="preserve">Record </w:t>
      </w:r>
      <w:r w:rsidR="00394AD8">
        <w:t xml:space="preserve">results </w:t>
      </w:r>
      <w:r w:rsidR="00394AD8" w:rsidRPr="00394AD8">
        <w:t>in Cerner with each pa</w:t>
      </w:r>
      <w:r w:rsidR="00D9625D">
        <w:t>tient result, using TSA and work center/</w:t>
      </w:r>
      <w:r w:rsidR="00394AD8" w:rsidRPr="00394AD8">
        <w:t>test</w:t>
      </w:r>
      <w:r w:rsidR="00D9625D">
        <w:t xml:space="preserve"> </w:t>
      </w:r>
      <w:r w:rsidR="00394AD8" w:rsidRPr="00394AD8">
        <w:t>site.</w:t>
      </w:r>
      <w:r w:rsidR="00394AD8">
        <w:t xml:space="preserve"> </w:t>
      </w:r>
      <w:r>
        <w:t>The positive internal control indicates the test has been performed correctly and the device is working properly when a colored control band appears at the Control position (C). A clear background in the result window is considered an internal negative procedural control. If the test has be</w:t>
      </w:r>
      <w:r w:rsidR="003148A0">
        <w:t>en</w:t>
      </w:r>
      <w:r>
        <w:t xml:space="preserve"> performed correctly and the device is working properly, the background in the result window will be clear, providing a distinct result. </w:t>
      </w:r>
    </w:p>
    <w:p w:rsidR="003028AA" w:rsidRDefault="003028AA" w:rsidP="00B27F4C">
      <w:pPr>
        <w:pStyle w:val="DOC-BodyText"/>
      </w:pPr>
    </w:p>
    <w:p w:rsidR="00B202A6" w:rsidRPr="00394AD8" w:rsidRDefault="00B202A6" w:rsidP="00B27F4C">
      <w:pPr>
        <w:pStyle w:val="DOC-BodyText"/>
        <w:rPr>
          <w:b/>
        </w:rPr>
      </w:pPr>
      <w:r w:rsidRPr="00394AD8">
        <w:rPr>
          <w:b/>
        </w:rPr>
        <w:t>External Quality Control</w:t>
      </w:r>
    </w:p>
    <w:p w:rsidR="000F6BF5" w:rsidRPr="00B27F4C" w:rsidRDefault="000F6BF5" w:rsidP="00B27F4C">
      <w:pPr>
        <w:pStyle w:val="DOC-BodyText"/>
      </w:pPr>
    </w:p>
    <w:p w:rsidR="003148A0" w:rsidRDefault="00394AD8" w:rsidP="00394AD8">
      <w:pPr>
        <w:pStyle w:val="DOC-BodyText"/>
      </w:pPr>
      <w:r>
        <w:t xml:space="preserve">Good laboratory practice recommends the periodic use of external control materials to ensure proper kit performance. The kit includes positive and negative controls that can be run in place of serum or plasma. Run external controls on each new lot </w:t>
      </w:r>
      <w:r w:rsidR="00D9625D">
        <w:t xml:space="preserve">and shipment </w:t>
      </w:r>
      <w:r>
        <w:t>before use</w:t>
      </w:r>
      <w:r w:rsidR="00D9625D">
        <w:t xml:space="preserve">. </w:t>
      </w:r>
      <w:r w:rsidR="00983F3B">
        <w:t>Record results on Mono Test Kit External QC Log.</w:t>
      </w:r>
    </w:p>
    <w:p w:rsidR="003028AA" w:rsidRDefault="003028AA" w:rsidP="00394AD8">
      <w:pPr>
        <w:pStyle w:val="DOC-BodyText"/>
      </w:pPr>
    </w:p>
    <w:p w:rsidR="00F3349F" w:rsidRDefault="00394AD8" w:rsidP="00394AD8">
      <w:pPr>
        <w:pStyle w:val="DOC-BodyText"/>
      </w:pPr>
      <w:r w:rsidRPr="003148A0">
        <w:rPr>
          <w:b/>
        </w:rPr>
        <w:t>N</w:t>
      </w:r>
      <w:r w:rsidR="003148A0" w:rsidRPr="003148A0">
        <w:rPr>
          <w:b/>
        </w:rPr>
        <w:t>ote</w:t>
      </w:r>
      <w:r w:rsidRPr="003148A0">
        <w:rPr>
          <w:b/>
        </w:rPr>
        <w:t>:</w:t>
      </w:r>
      <w:r>
        <w:t xml:space="preserve"> To test the kit positive and negative controls, add one (1) drop of control to the upper end of the sample well of the upper end of the test device and </w:t>
      </w:r>
      <w:r w:rsidR="00983F3B">
        <w:t xml:space="preserve">two to </w:t>
      </w:r>
      <w:r w:rsidRPr="00983F3B">
        <w:t>three</w:t>
      </w:r>
      <w:r>
        <w:t xml:space="preserve"> (2-3) DROPs of developer buffer to the lower end of the sample well. Test according to PROCEDURE, below.</w:t>
      </w:r>
    </w:p>
    <w:p w:rsidR="00394AD8" w:rsidRDefault="00394AD8" w:rsidP="00394AD8">
      <w:pPr>
        <w:pStyle w:val="DOC-BodyText"/>
      </w:pPr>
    </w:p>
    <w:p w:rsidR="00D9625D" w:rsidRPr="00D617D2" w:rsidRDefault="00D9625D" w:rsidP="00843130">
      <w:pPr>
        <w:pStyle w:val="DOC-BodyText"/>
        <w:ind w:left="360"/>
        <w:rPr>
          <w:sz w:val="12"/>
          <w:szCs w:val="12"/>
        </w:rPr>
      </w:pPr>
    </w:p>
    <w:p w:rsidR="00DB725A" w:rsidRDefault="00843130" w:rsidP="00C542D0">
      <w:pPr>
        <w:pStyle w:val="DOC-BodyText"/>
        <w:rPr>
          <w:b/>
        </w:rPr>
      </w:pPr>
      <w:r>
        <w:rPr>
          <w:b/>
        </w:rPr>
        <w:t>STEPS</w:t>
      </w:r>
    </w:p>
    <w:p w:rsidR="00DB725A" w:rsidRPr="00D617D2" w:rsidRDefault="00DB725A" w:rsidP="00C542D0">
      <w:pPr>
        <w:pStyle w:val="DOC-BodyText"/>
        <w:rPr>
          <w:b/>
          <w:sz w:val="18"/>
          <w:szCs w:val="18"/>
        </w:rPr>
      </w:pPr>
    </w:p>
    <w:p w:rsidR="001E49C5" w:rsidRDefault="001E49C5" w:rsidP="00B27072">
      <w:pPr>
        <w:pStyle w:val="DOC-BodyText"/>
        <w:numPr>
          <w:ilvl w:val="0"/>
          <w:numId w:val="2"/>
        </w:numPr>
        <w:ind w:left="450" w:hanging="450"/>
      </w:pPr>
      <w:r>
        <w:t>Whole blood specimens and Poly stat test devices and reagents must be at room temperature before testing.</w:t>
      </w:r>
    </w:p>
    <w:p w:rsidR="001E49C5" w:rsidRDefault="001E49C5" w:rsidP="001E49C5">
      <w:pPr>
        <w:pStyle w:val="DOC-BodyText"/>
        <w:ind w:left="450"/>
      </w:pPr>
    </w:p>
    <w:p w:rsidR="00C542D0" w:rsidRDefault="00DB725A" w:rsidP="00B27072">
      <w:pPr>
        <w:pStyle w:val="DOC-BodyText"/>
        <w:numPr>
          <w:ilvl w:val="0"/>
          <w:numId w:val="2"/>
        </w:numPr>
        <w:ind w:left="450" w:hanging="450"/>
      </w:pPr>
      <w:r>
        <w:t>Remove a device from pouch and place on flat surface.</w:t>
      </w:r>
    </w:p>
    <w:p w:rsidR="00776868" w:rsidRDefault="00776868" w:rsidP="00776868">
      <w:pPr>
        <w:pStyle w:val="DOC-BodyText"/>
        <w:ind w:left="450"/>
      </w:pPr>
    </w:p>
    <w:p w:rsidR="00DB725A" w:rsidRDefault="00DB725A" w:rsidP="00B27072">
      <w:pPr>
        <w:pStyle w:val="DOC-BodyText"/>
        <w:numPr>
          <w:ilvl w:val="0"/>
          <w:numId w:val="2"/>
        </w:numPr>
        <w:ind w:left="450" w:hanging="450"/>
      </w:pPr>
      <w:r>
        <w:t>Label device with a patient identifier.</w:t>
      </w:r>
    </w:p>
    <w:p w:rsidR="00776868" w:rsidRDefault="00776868" w:rsidP="00776868">
      <w:pPr>
        <w:pStyle w:val="DOC-BodyText"/>
        <w:ind w:left="450"/>
      </w:pPr>
    </w:p>
    <w:p w:rsidR="00B27072" w:rsidRDefault="00DB725A" w:rsidP="00B27072">
      <w:pPr>
        <w:pStyle w:val="DOC-BodyText"/>
        <w:numPr>
          <w:ilvl w:val="0"/>
          <w:numId w:val="2"/>
        </w:numPr>
        <w:ind w:left="450" w:hanging="450"/>
      </w:pPr>
      <w:r>
        <w:t>Using a tube from the bag labeled “Sample Transfer Tube for Whole Blood,” draw the sample into the Sample Transfer</w:t>
      </w:r>
      <w:r w:rsidR="00B27072">
        <w:t xml:space="preserve">. </w:t>
      </w:r>
    </w:p>
    <w:p w:rsidR="00BD11CB" w:rsidRPr="00BD11CB" w:rsidRDefault="00BD11CB" w:rsidP="00B27072">
      <w:pPr>
        <w:pStyle w:val="DOC-BodyText"/>
        <w:ind w:left="450"/>
        <w:rPr>
          <w:b/>
          <w:sz w:val="18"/>
          <w:szCs w:val="18"/>
        </w:rPr>
      </w:pPr>
    </w:p>
    <w:p w:rsidR="00BD11CB" w:rsidRDefault="00B27072" w:rsidP="00B27072">
      <w:pPr>
        <w:pStyle w:val="DOC-BodyText"/>
        <w:ind w:left="450"/>
      </w:pPr>
      <w:r w:rsidRPr="00B27072">
        <w:rPr>
          <w:b/>
        </w:rPr>
        <w:t>Note</w:t>
      </w:r>
      <w:r w:rsidR="00BD11CB">
        <w:rPr>
          <w:b/>
        </w:rPr>
        <w:t>s</w:t>
      </w:r>
      <w:r w:rsidRPr="00B27072">
        <w:rPr>
          <w:b/>
        </w:rPr>
        <w:t>:</w:t>
      </w:r>
      <w:r>
        <w:t xml:space="preserve"> </w:t>
      </w:r>
    </w:p>
    <w:p w:rsidR="00DB725A" w:rsidRDefault="00BD11CB" w:rsidP="00B27072">
      <w:pPr>
        <w:pStyle w:val="DOC-BodyText"/>
        <w:ind w:left="450"/>
      </w:pPr>
      <w:r>
        <w:t>1.</w:t>
      </w:r>
      <w:r>
        <w:tab/>
      </w:r>
      <w:r w:rsidR="00B27072">
        <w:t xml:space="preserve">Capillary action will draw the sample into the fill line and stop. </w:t>
      </w:r>
      <w:r w:rsidR="00B27072" w:rsidRPr="00983F3B">
        <w:rPr>
          <w:u w:val="single"/>
        </w:rPr>
        <w:t>Never squeeze tube while sampling</w:t>
      </w:r>
      <w:r w:rsidR="00B27072">
        <w:t xml:space="preserve">. </w:t>
      </w:r>
    </w:p>
    <w:p w:rsidR="00BD11CB" w:rsidRPr="00BD11CB" w:rsidRDefault="00BD11CB" w:rsidP="00B27072">
      <w:pPr>
        <w:pStyle w:val="DOC-BodyText"/>
        <w:ind w:left="450"/>
        <w:rPr>
          <w:sz w:val="10"/>
          <w:szCs w:val="10"/>
        </w:rPr>
      </w:pPr>
    </w:p>
    <w:p w:rsidR="00BD11CB" w:rsidRDefault="00BD11CB" w:rsidP="00B27072">
      <w:pPr>
        <w:pStyle w:val="DOC-BodyText"/>
        <w:ind w:left="450"/>
      </w:pPr>
      <w:r>
        <w:t>2.</w:t>
      </w:r>
      <w:r>
        <w:tab/>
        <w:t xml:space="preserve">A 25 </w:t>
      </w:r>
      <w:r>
        <w:rPr>
          <w:rFonts w:cs="Arial"/>
        </w:rPr>
        <w:t>µ</w:t>
      </w:r>
      <w:r>
        <w:t>L pipette may instead be used to draw up and expel the blood, if desired.</w:t>
      </w:r>
    </w:p>
    <w:p w:rsidR="00776868" w:rsidRDefault="00776868" w:rsidP="00776868">
      <w:pPr>
        <w:pStyle w:val="DOC-BodyText"/>
        <w:ind w:left="450"/>
      </w:pPr>
    </w:p>
    <w:p w:rsidR="00B56325" w:rsidRPr="00D617D2" w:rsidRDefault="00D617D2" w:rsidP="00843130">
      <w:pPr>
        <w:pStyle w:val="DOC-BodyText"/>
        <w:numPr>
          <w:ilvl w:val="0"/>
          <w:numId w:val="2"/>
        </w:numPr>
        <w:ind w:left="450" w:hanging="450"/>
      </w:pPr>
      <w:r>
        <w:t>If using the bulb, s</w:t>
      </w:r>
      <w:r w:rsidR="00B27072">
        <w:t>queez</w:t>
      </w:r>
      <w:r w:rsidR="00253DED">
        <w:t>e</w:t>
      </w:r>
      <w:r w:rsidR="00B27072">
        <w:t xml:space="preserve"> </w:t>
      </w:r>
      <w:r>
        <w:t>it</w:t>
      </w:r>
      <w:r w:rsidR="00B27072">
        <w:t xml:space="preserve"> to dispense sample into the </w:t>
      </w:r>
      <w:r w:rsidR="00B27072" w:rsidRPr="000D5B55">
        <w:rPr>
          <w:u w:val="single"/>
        </w:rPr>
        <w:t>UPPER END</w:t>
      </w:r>
      <w:r w:rsidR="00B27072">
        <w:t xml:space="preserve"> of the Sample Well (S) of the device. If a sample will not expel, place a finger to cover the pinhole located at the stem of the tube and squeeze</w:t>
      </w:r>
      <w:r w:rsidR="00253DED">
        <w:t xml:space="preserve"> the bulb again.</w:t>
      </w:r>
      <w:r>
        <w:t xml:space="preserve">  If using the 25 </w:t>
      </w:r>
      <w:r>
        <w:rPr>
          <w:rFonts w:cs="Arial"/>
        </w:rPr>
        <w:t>µL, expel the blood into the same location.</w:t>
      </w:r>
    </w:p>
    <w:p w:rsidR="00D617D2" w:rsidRDefault="00D617D2" w:rsidP="00D617D2">
      <w:pPr>
        <w:pStyle w:val="DOC-BodyText"/>
        <w:ind w:left="450"/>
      </w:pPr>
    </w:p>
    <w:p w:rsidR="00843130" w:rsidRDefault="00D617D2" w:rsidP="001E49C5">
      <w:pPr>
        <w:pStyle w:val="DOC-BodyText"/>
        <w:ind w:left="450"/>
        <w:jc w:val="center"/>
      </w:pPr>
      <w:r>
        <w:rPr>
          <w:noProof/>
        </w:rPr>
        <mc:AlternateContent>
          <mc:Choice Requires="wps">
            <w:drawing>
              <wp:anchor distT="0" distB="0" distL="114300" distR="114300" simplePos="0" relativeHeight="251660288" behindDoc="0" locked="0" layoutInCell="1" allowOverlap="1" wp14:anchorId="7C3EAF84" wp14:editId="0BE0535E">
                <wp:simplePos x="0" y="0"/>
                <wp:positionH relativeFrom="column">
                  <wp:posOffset>2619375</wp:posOffset>
                </wp:positionH>
                <wp:positionV relativeFrom="paragraph">
                  <wp:posOffset>275590</wp:posOffset>
                </wp:positionV>
                <wp:extent cx="419100" cy="0"/>
                <wp:effectExtent l="0" t="76200" r="19050" b="952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06.25pt;margin-top:21.7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15EEBCA3" wp14:editId="02C77264">
                <wp:simplePos x="0" y="0"/>
                <wp:positionH relativeFrom="column">
                  <wp:posOffset>3438525</wp:posOffset>
                </wp:positionH>
                <wp:positionV relativeFrom="paragraph">
                  <wp:posOffset>142240</wp:posOffset>
                </wp:positionV>
                <wp:extent cx="419100" cy="0"/>
                <wp:effectExtent l="38100" t="76200" r="0" b="952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70.75pt;margin-top:11.2pt;width:33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giOQIAAGY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71AA17F1" wp14:editId="25656619">
                <wp:simplePos x="0" y="0"/>
                <wp:positionH relativeFrom="column">
                  <wp:posOffset>1771650</wp:posOffset>
                </wp:positionH>
                <wp:positionV relativeFrom="paragraph">
                  <wp:posOffset>135890</wp:posOffset>
                </wp:positionV>
                <wp:extent cx="1019175" cy="542925"/>
                <wp:effectExtent l="0" t="0" r="952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25" w:rsidRPr="00B56325" w:rsidRDefault="00B56325" w:rsidP="00B56325">
                            <w:pPr>
                              <w:spacing w:after="0" w:line="240" w:lineRule="auto"/>
                              <w:jc w:val="center"/>
                              <w:rPr>
                                <w:sz w:val="20"/>
                                <w:szCs w:val="20"/>
                              </w:rPr>
                            </w:pPr>
                            <w:r w:rsidRPr="00B56325">
                              <w:rPr>
                                <w:sz w:val="20"/>
                                <w:szCs w:val="20"/>
                              </w:rPr>
                              <w:t xml:space="preserve">Developer </w:t>
                            </w:r>
                            <w:r>
                              <w:rPr>
                                <w:sz w:val="20"/>
                                <w:szCs w:val="20"/>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39.5pt;margin-top:10.7pt;width:80.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" stroked="f">
                <v:textbox>
                  <w:txbxContent>
                    <w:p w:rsidR="00B56325" w:rsidRPr="00B56325" w:rsidRDefault="00B56325" w:rsidP="00B56325">
                      <w:pPr>
                        <w:spacing w:after="0" w:line="240" w:lineRule="auto"/>
                        <w:jc w:val="center"/>
                        <w:rPr>
                          <w:sz w:val="20"/>
                          <w:szCs w:val="20"/>
                        </w:rPr>
                      </w:pPr>
                      <w:r w:rsidRPr="00B56325">
                        <w:rPr>
                          <w:sz w:val="20"/>
                          <w:szCs w:val="20"/>
                        </w:rPr>
                        <w:t xml:space="preserve">Developer </w:t>
                      </w:r>
                      <w:r>
                        <w:rPr>
                          <w:sz w:val="20"/>
                          <w:szCs w:val="20"/>
                        </w:rPr>
                        <w:t>Solution</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CBAED14" wp14:editId="0A2611F4">
                <wp:simplePos x="0" y="0"/>
                <wp:positionH relativeFrom="column">
                  <wp:posOffset>3638550</wp:posOffset>
                </wp:positionH>
                <wp:positionV relativeFrom="paragraph">
                  <wp:posOffset>2540</wp:posOffset>
                </wp:positionV>
                <wp:extent cx="1466850" cy="4572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325" w:rsidRDefault="00B56325" w:rsidP="00B56325">
                            <w:pPr>
                              <w:spacing w:after="0" w:line="240" w:lineRule="auto"/>
                              <w:jc w:val="center"/>
                            </w:pPr>
                            <w:r>
                              <w:t>Sample – at top</w:t>
                            </w:r>
                          </w:p>
                          <w:p w:rsidR="00B56325" w:rsidRDefault="00B56325" w:rsidP="00B56325">
                            <w:pPr>
                              <w:spacing w:after="0" w:line="240" w:lineRule="auto"/>
                              <w:jc w:val="center"/>
                            </w:pPr>
                            <w:proofErr w:type="gramStart"/>
                            <w:r>
                              <w:t>of</w:t>
                            </w:r>
                            <w:proofErr w:type="gramEnd"/>
                            <w:r>
                              <w:t xml:space="preserve"> well by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86.5pt;margin-top:.2pt;width:11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" stroked="f">
                <v:textbox>
                  <w:txbxContent>
                    <w:p w:rsidR="00B56325" w:rsidRDefault="00B56325" w:rsidP="00B56325">
                      <w:pPr>
                        <w:spacing w:after="0" w:line="240" w:lineRule="auto"/>
                        <w:jc w:val="center"/>
                      </w:pPr>
                      <w:r>
                        <w:t>Sample – at top</w:t>
                      </w:r>
                    </w:p>
                    <w:p w:rsidR="00B56325" w:rsidRDefault="00B56325" w:rsidP="00B56325">
                      <w:pPr>
                        <w:spacing w:after="0" w:line="240" w:lineRule="auto"/>
                        <w:jc w:val="center"/>
                      </w:pPr>
                      <w:proofErr w:type="gramStart"/>
                      <w:r>
                        <w:t>of</w:t>
                      </w:r>
                      <w:proofErr w:type="gramEnd"/>
                      <w:r>
                        <w:t xml:space="preserve"> well by “S”</w:t>
                      </w:r>
                    </w:p>
                  </w:txbxContent>
                </v:textbox>
              </v:rect>
            </w:pict>
          </mc:Fallback>
        </mc:AlternateContent>
      </w:r>
      <w:r w:rsidR="00887489">
        <w:rPr>
          <w:noProof/>
        </w:rPr>
        <w:drawing>
          <wp:inline distT="0" distB="0" distL="0" distR="0">
            <wp:extent cx="11715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2025"/>
                    </a:xfrm>
                    <a:prstGeom prst="rect">
                      <a:avLst/>
                    </a:prstGeom>
                    <a:noFill/>
                    <a:ln>
                      <a:noFill/>
                    </a:ln>
                  </pic:spPr>
                </pic:pic>
              </a:graphicData>
            </a:graphic>
          </wp:inline>
        </w:drawing>
      </w:r>
    </w:p>
    <w:p w:rsidR="00253DED" w:rsidRDefault="00253DED" w:rsidP="00776868">
      <w:pPr>
        <w:pStyle w:val="DOC-BodyText"/>
        <w:numPr>
          <w:ilvl w:val="0"/>
          <w:numId w:val="2"/>
        </w:numPr>
        <w:ind w:left="450" w:hanging="450"/>
      </w:pPr>
      <w:r>
        <w:lastRenderedPageBreak/>
        <w:t xml:space="preserve">Holding the dropper bottle in a vertical position, add 2 to 3 drops of Developer Buffer onto the </w:t>
      </w:r>
      <w:r w:rsidRPr="000D5B55">
        <w:rPr>
          <w:u w:val="single"/>
        </w:rPr>
        <w:t>LOWER AREA</w:t>
      </w:r>
      <w:r>
        <w:t xml:space="preserve"> of the Sample Well (S).</w:t>
      </w:r>
    </w:p>
    <w:p w:rsidR="001E49C5" w:rsidRDefault="001E49C5" w:rsidP="00253DED">
      <w:pPr>
        <w:pStyle w:val="DOC-BodyText"/>
        <w:ind w:left="450"/>
        <w:rPr>
          <w:b/>
        </w:rPr>
      </w:pPr>
    </w:p>
    <w:p w:rsidR="00253DED" w:rsidRDefault="00253DED" w:rsidP="00253DED">
      <w:pPr>
        <w:pStyle w:val="DOC-BodyText"/>
        <w:ind w:left="450"/>
      </w:pPr>
      <w:r w:rsidRPr="00253DED">
        <w:rPr>
          <w:b/>
        </w:rPr>
        <w:t>Note:</w:t>
      </w:r>
      <w:r>
        <w:t xml:space="preserve"> Do not touch the tip of the Developer Buffer to skin or Poly stat Mono test device to avoid contamination. </w:t>
      </w:r>
    </w:p>
    <w:p w:rsidR="00776868" w:rsidRDefault="00776868" w:rsidP="00776868">
      <w:pPr>
        <w:pStyle w:val="DOC-BodyText"/>
        <w:ind w:left="450"/>
      </w:pPr>
    </w:p>
    <w:p w:rsidR="001E49C5" w:rsidRDefault="00253DED" w:rsidP="001E49C5">
      <w:pPr>
        <w:pStyle w:val="DOC-BodyText"/>
        <w:numPr>
          <w:ilvl w:val="0"/>
          <w:numId w:val="2"/>
        </w:numPr>
        <w:ind w:left="450" w:hanging="450"/>
      </w:pPr>
      <w:r>
        <w:t>Read results at 8 minutes. (Do not read after 15 minutes.)</w:t>
      </w:r>
    </w:p>
    <w:p w:rsidR="001E49C5" w:rsidRDefault="001E49C5" w:rsidP="001E49C5">
      <w:pPr>
        <w:pStyle w:val="DOC-BodyText"/>
        <w:ind w:left="450"/>
      </w:pPr>
    </w:p>
    <w:p w:rsidR="001E49C5" w:rsidRPr="001E49C5" w:rsidRDefault="001E49C5" w:rsidP="001E49C5">
      <w:pPr>
        <w:pStyle w:val="DOC-BodyText"/>
        <w:ind w:left="450"/>
      </w:pPr>
      <w:r w:rsidRPr="001E49C5">
        <w:rPr>
          <w:b/>
          <w:u w:val="single"/>
        </w:rPr>
        <w:t>Note:</w:t>
      </w:r>
      <w:r>
        <w:t xml:space="preserve">  Mildly </w:t>
      </w:r>
      <w:proofErr w:type="spellStart"/>
      <w:r>
        <w:t>hemolyzed</w:t>
      </w:r>
      <w:proofErr w:type="spellEnd"/>
      <w:r>
        <w:t xml:space="preserve"> whole blood specimens do not affect the test result, but may create an undesirable reddish background in the result window.</w:t>
      </w:r>
    </w:p>
    <w:p w:rsidR="00253DED" w:rsidRDefault="00253DED" w:rsidP="00253DED">
      <w:pPr>
        <w:pStyle w:val="DOC-BodyText"/>
      </w:pPr>
    </w:p>
    <w:p w:rsidR="00253DED" w:rsidRDefault="00253DED" w:rsidP="00253DED">
      <w:pPr>
        <w:pStyle w:val="DOC-BodyText"/>
      </w:pPr>
    </w:p>
    <w:p w:rsidR="00253DED" w:rsidRPr="00253DED" w:rsidRDefault="00253DED" w:rsidP="00253DED">
      <w:pPr>
        <w:pStyle w:val="DOC-BodyText"/>
        <w:rPr>
          <w:b/>
        </w:rPr>
      </w:pPr>
      <w:r w:rsidRPr="00253DED">
        <w:rPr>
          <w:b/>
        </w:rPr>
        <w:t>INTERPRETATION OF RESULTS</w:t>
      </w:r>
    </w:p>
    <w:p w:rsidR="00F3349F" w:rsidRPr="00B27F4C" w:rsidRDefault="00F3349F" w:rsidP="00B27F4C">
      <w:pPr>
        <w:pStyle w:val="DOC-BodyText"/>
      </w:pPr>
    </w:p>
    <w:p w:rsidR="00F3349F" w:rsidRDefault="00253DED" w:rsidP="00B27F4C">
      <w:pPr>
        <w:pStyle w:val="DOC-BodyText"/>
        <w:rPr>
          <w:b/>
        </w:rPr>
      </w:pPr>
      <w:r>
        <w:rPr>
          <w:b/>
        </w:rPr>
        <w:t>Positive Results:</w:t>
      </w:r>
    </w:p>
    <w:p w:rsidR="00253DED" w:rsidRDefault="00253DED" w:rsidP="00B27F4C">
      <w:pPr>
        <w:pStyle w:val="DOC-BodyText"/>
        <w:rPr>
          <w:b/>
        </w:rPr>
      </w:pPr>
    </w:p>
    <w:p w:rsidR="00253DED" w:rsidRPr="00253DED" w:rsidRDefault="00253DED" w:rsidP="00B27F4C">
      <w:pPr>
        <w:pStyle w:val="DOC-BodyText"/>
      </w:pPr>
      <w:r>
        <w:t xml:space="preserve">One pink-purple color horizontal band each at the Test position (T) and at the Control position (C) indicates that IM-specific heterophile antibodies have been detected. </w:t>
      </w:r>
      <w:r w:rsidR="00E43283">
        <w:t xml:space="preserve">A positive test result may be read as soon as a distinct pink-purple colored band appears at the Test position (T) and at the Control position (C). Any shade of pink-purple colored horizontal band at the Test position (T) should be reported as a positive. </w:t>
      </w:r>
      <w:r>
        <w:t>Note:</w:t>
      </w:r>
      <w:r w:rsidR="00E43283">
        <w:t xml:space="preserve"> The intensity of the colored band at the Test </w:t>
      </w:r>
      <w:r w:rsidR="00776868">
        <w:t xml:space="preserve">Position (T) may be different from the intensity of the Control position (C) band. </w:t>
      </w:r>
    </w:p>
    <w:p w:rsidR="00F3349F" w:rsidRDefault="00F3349F" w:rsidP="004E3726">
      <w:pPr>
        <w:pStyle w:val="DOC-BodyText"/>
        <w:jc w:val="center"/>
      </w:pPr>
    </w:p>
    <w:p w:rsidR="00776868" w:rsidRPr="00776868" w:rsidRDefault="00776868" w:rsidP="00B27F4C">
      <w:pPr>
        <w:pStyle w:val="DOC-BodyText"/>
        <w:rPr>
          <w:b/>
        </w:rPr>
      </w:pPr>
      <w:r w:rsidRPr="00776868">
        <w:rPr>
          <w:b/>
        </w:rPr>
        <w:t>Negative Results:</w:t>
      </w:r>
    </w:p>
    <w:p w:rsidR="00776868" w:rsidRPr="00B27F4C" w:rsidRDefault="00776868" w:rsidP="00B27F4C">
      <w:pPr>
        <w:pStyle w:val="DOC-BodyText"/>
      </w:pPr>
    </w:p>
    <w:p w:rsidR="00F3349F" w:rsidRPr="00B27F4C" w:rsidRDefault="00776868" w:rsidP="00B27F4C">
      <w:pPr>
        <w:pStyle w:val="DOC-BodyText"/>
      </w:pPr>
      <w:r>
        <w:t xml:space="preserve">One pink-purple band at the Control position (C) with no distinct colored horizontal band at the Test position (T) other than the normal faint background color indicates the IM-specific heterophile antibodies have not been detected. </w:t>
      </w:r>
    </w:p>
    <w:p w:rsidR="00F3349F" w:rsidRDefault="00F3349F" w:rsidP="00B27F4C">
      <w:pPr>
        <w:pStyle w:val="DOC-BodyText"/>
      </w:pPr>
    </w:p>
    <w:p w:rsidR="00776868" w:rsidRPr="00776868" w:rsidRDefault="00776868" w:rsidP="00B27F4C">
      <w:pPr>
        <w:pStyle w:val="DOC-BodyText"/>
        <w:rPr>
          <w:b/>
        </w:rPr>
      </w:pPr>
      <w:r w:rsidRPr="00776868">
        <w:rPr>
          <w:b/>
        </w:rPr>
        <w:t>Invalid Results:</w:t>
      </w:r>
    </w:p>
    <w:p w:rsidR="00776868" w:rsidRDefault="00776868" w:rsidP="00B27F4C">
      <w:pPr>
        <w:pStyle w:val="DOC-BodyText"/>
      </w:pPr>
    </w:p>
    <w:p w:rsidR="00776868" w:rsidRDefault="00776868" w:rsidP="00B27F4C">
      <w:pPr>
        <w:pStyle w:val="DOC-BodyText"/>
      </w:pPr>
      <w:r>
        <w:t xml:space="preserve">A distinct colored horizontal band should always appear at the Control position. The test is invalid if no band forms in this position. </w:t>
      </w:r>
    </w:p>
    <w:p w:rsidR="00776868" w:rsidRDefault="00776868" w:rsidP="00B27F4C">
      <w:pPr>
        <w:pStyle w:val="DOC-BodyText"/>
      </w:pPr>
    </w:p>
    <w:p w:rsidR="00776868" w:rsidRDefault="00776868" w:rsidP="00B27F4C">
      <w:pPr>
        <w:pStyle w:val="DOC-BodyText"/>
      </w:pPr>
      <w:r>
        <w:t xml:space="preserve">If this occurs repeat testing, and contact </w:t>
      </w:r>
      <w:proofErr w:type="spellStart"/>
      <w:r>
        <w:t>Polymedco</w:t>
      </w:r>
      <w:proofErr w:type="spellEnd"/>
      <w:r>
        <w:t>, Inc. Technical Services at 1-800-431-2123.</w:t>
      </w:r>
    </w:p>
    <w:p w:rsidR="001E49C5" w:rsidRDefault="001E49C5" w:rsidP="00B27F4C">
      <w:pPr>
        <w:pStyle w:val="DOC-BodyText"/>
      </w:pPr>
    </w:p>
    <w:tbl>
      <w:tblPr>
        <w:tblStyle w:val="TableGrid"/>
        <w:tblW w:w="0" w:type="auto"/>
        <w:tblLook w:val="04A0" w:firstRow="1" w:lastRow="0" w:firstColumn="1" w:lastColumn="0" w:noHBand="0" w:noVBand="1"/>
      </w:tblPr>
      <w:tblGrid>
        <w:gridCol w:w="3672"/>
        <w:gridCol w:w="3672"/>
        <w:gridCol w:w="3672"/>
      </w:tblGrid>
      <w:tr w:rsidR="001E49C5" w:rsidTr="001E49C5">
        <w:tc>
          <w:tcPr>
            <w:tcW w:w="3672" w:type="dxa"/>
            <w:shd w:val="clear" w:color="auto" w:fill="BFBFBF"/>
          </w:tcPr>
          <w:p w:rsidR="001E49C5" w:rsidRPr="003028AA" w:rsidRDefault="001E49C5" w:rsidP="001C2EA1">
            <w:pPr>
              <w:pStyle w:val="DOC-BodyText"/>
              <w:jc w:val="center"/>
              <w:rPr>
                <w:b/>
              </w:rPr>
            </w:pPr>
            <w:r w:rsidRPr="003028AA">
              <w:rPr>
                <w:b/>
              </w:rPr>
              <w:t>Positive</w:t>
            </w:r>
          </w:p>
        </w:tc>
        <w:tc>
          <w:tcPr>
            <w:tcW w:w="3672" w:type="dxa"/>
            <w:shd w:val="clear" w:color="auto" w:fill="BFBFBF"/>
          </w:tcPr>
          <w:p w:rsidR="001E49C5" w:rsidRPr="003028AA" w:rsidRDefault="001E49C5" w:rsidP="001C2EA1">
            <w:pPr>
              <w:pStyle w:val="DOC-BodyText"/>
              <w:jc w:val="center"/>
              <w:rPr>
                <w:b/>
              </w:rPr>
            </w:pPr>
            <w:r w:rsidRPr="003028AA">
              <w:rPr>
                <w:b/>
              </w:rPr>
              <w:t>Negative</w:t>
            </w:r>
          </w:p>
        </w:tc>
        <w:tc>
          <w:tcPr>
            <w:tcW w:w="3672" w:type="dxa"/>
            <w:shd w:val="clear" w:color="auto" w:fill="BFBFBF"/>
          </w:tcPr>
          <w:p w:rsidR="001E49C5" w:rsidRPr="003028AA" w:rsidRDefault="001E49C5" w:rsidP="001C2EA1">
            <w:pPr>
              <w:pStyle w:val="DOC-BodyText"/>
              <w:jc w:val="center"/>
              <w:rPr>
                <w:b/>
              </w:rPr>
            </w:pPr>
            <w:r w:rsidRPr="003028AA">
              <w:rPr>
                <w:b/>
              </w:rPr>
              <w:t>Invalid</w:t>
            </w:r>
          </w:p>
        </w:tc>
      </w:tr>
      <w:tr w:rsidR="001E49C5" w:rsidTr="001C2EA1">
        <w:tc>
          <w:tcPr>
            <w:tcW w:w="3672" w:type="dxa"/>
          </w:tcPr>
          <w:p w:rsidR="001E49C5" w:rsidRDefault="00887489" w:rsidP="001C2EA1">
            <w:pPr>
              <w:pStyle w:val="DOC-BodyText"/>
              <w:jc w:val="center"/>
            </w:pPr>
            <w:r>
              <w:rPr>
                <w:noProof/>
              </w:rPr>
              <w:drawing>
                <wp:inline distT="0" distB="0" distL="0" distR="0">
                  <wp:extent cx="20669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847725"/>
                          </a:xfrm>
                          <a:prstGeom prst="rect">
                            <a:avLst/>
                          </a:prstGeom>
                          <a:noFill/>
                          <a:ln>
                            <a:noFill/>
                          </a:ln>
                        </pic:spPr>
                      </pic:pic>
                    </a:graphicData>
                  </a:graphic>
                </wp:inline>
              </w:drawing>
            </w:r>
          </w:p>
        </w:tc>
        <w:tc>
          <w:tcPr>
            <w:tcW w:w="3672" w:type="dxa"/>
          </w:tcPr>
          <w:p w:rsidR="001E49C5" w:rsidRDefault="00887489" w:rsidP="001C2EA1">
            <w:pPr>
              <w:pStyle w:val="DOC-BodyText"/>
              <w:jc w:val="center"/>
            </w:pPr>
            <w:r>
              <w:rPr>
                <w:noProof/>
              </w:rPr>
              <w:drawing>
                <wp:inline distT="0" distB="0" distL="0" distR="0">
                  <wp:extent cx="4572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885825"/>
                          </a:xfrm>
                          <a:prstGeom prst="rect">
                            <a:avLst/>
                          </a:prstGeom>
                          <a:noFill/>
                          <a:ln>
                            <a:noFill/>
                          </a:ln>
                        </pic:spPr>
                      </pic:pic>
                    </a:graphicData>
                  </a:graphic>
                </wp:inline>
              </w:drawing>
            </w:r>
          </w:p>
        </w:tc>
        <w:tc>
          <w:tcPr>
            <w:tcW w:w="3672" w:type="dxa"/>
          </w:tcPr>
          <w:p w:rsidR="001E49C5" w:rsidRDefault="00887489" w:rsidP="001C2EA1">
            <w:pPr>
              <w:pStyle w:val="DOC-BodyText"/>
              <w:jc w:val="center"/>
            </w:pPr>
            <w:r>
              <w:rPr>
                <w:noProof/>
              </w:rPr>
              <w:drawing>
                <wp:inline distT="0" distB="0" distL="0" distR="0">
                  <wp:extent cx="4476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847725"/>
                          </a:xfrm>
                          <a:prstGeom prst="rect">
                            <a:avLst/>
                          </a:prstGeom>
                          <a:noFill/>
                          <a:ln>
                            <a:noFill/>
                          </a:ln>
                        </pic:spPr>
                      </pic:pic>
                    </a:graphicData>
                  </a:graphic>
                </wp:inline>
              </w:drawing>
            </w:r>
          </w:p>
        </w:tc>
      </w:tr>
    </w:tbl>
    <w:p w:rsidR="001E49C5" w:rsidRDefault="001E49C5" w:rsidP="00B27F4C">
      <w:pPr>
        <w:pStyle w:val="DOC-BodyText"/>
      </w:pPr>
    </w:p>
    <w:p w:rsidR="00776868" w:rsidRDefault="00776868" w:rsidP="00B27F4C">
      <w:pPr>
        <w:pStyle w:val="DOC-BodyText"/>
      </w:pPr>
    </w:p>
    <w:p w:rsidR="00F11BBF" w:rsidRPr="00F11BBF" w:rsidRDefault="00F11BBF" w:rsidP="00B27F4C">
      <w:pPr>
        <w:pStyle w:val="DOC-BodyText"/>
        <w:rPr>
          <w:b/>
          <w:sz w:val="12"/>
          <w:szCs w:val="12"/>
        </w:rPr>
      </w:pPr>
    </w:p>
    <w:p w:rsidR="00776868" w:rsidRPr="000E50D8" w:rsidRDefault="00776868" w:rsidP="00B27F4C">
      <w:pPr>
        <w:pStyle w:val="DOC-BodyText"/>
        <w:rPr>
          <w:b/>
        </w:rPr>
      </w:pPr>
      <w:r w:rsidRPr="000E50D8">
        <w:rPr>
          <w:b/>
        </w:rPr>
        <w:t>CERNER ORDERING AND RESULTING</w:t>
      </w:r>
    </w:p>
    <w:p w:rsidR="001C5322" w:rsidRDefault="001C5322" w:rsidP="000E50D8">
      <w:pPr>
        <w:pStyle w:val="DOC-BodyText"/>
      </w:pPr>
    </w:p>
    <w:p w:rsidR="001C5322" w:rsidRDefault="000E50D8" w:rsidP="000E50D8">
      <w:pPr>
        <w:pStyle w:val="DOC-BodyText"/>
      </w:pPr>
      <w:r>
        <w:t xml:space="preserve">The order code for the </w:t>
      </w:r>
      <w:r w:rsidR="001C5322">
        <w:t>Poly stat</w:t>
      </w:r>
      <w:r>
        <w:t xml:space="preserve"> Mono Test is MONO.</w:t>
      </w:r>
      <w:r w:rsidR="001C5322">
        <w:t xml:space="preserve"> </w:t>
      </w:r>
    </w:p>
    <w:p w:rsidR="001C5322" w:rsidRDefault="001C5322" w:rsidP="000E50D8">
      <w:pPr>
        <w:pStyle w:val="DOC-BodyText"/>
      </w:pPr>
    </w:p>
    <w:p w:rsidR="000E50D8" w:rsidRPr="00D617D2" w:rsidRDefault="00D617D2" w:rsidP="000E50D8">
      <w:pPr>
        <w:pStyle w:val="DOC-BodyText"/>
        <w:rPr>
          <w:b/>
        </w:rPr>
      </w:pPr>
      <w:r>
        <w:rPr>
          <w:b/>
        </w:rPr>
        <w:t>Resulting</w:t>
      </w:r>
    </w:p>
    <w:p w:rsidR="001C5322" w:rsidRDefault="001C5322" w:rsidP="001C5322">
      <w:pPr>
        <w:pStyle w:val="DOC-BodyText"/>
        <w:ind w:left="720"/>
      </w:pPr>
    </w:p>
    <w:p w:rsidR="000E50D8" w:rsidRPr="00D208AE" w:rsidRDefault="000E50D8" w:rsidP="001C5322">
      <w:pPr>
        <w:pStyle w:val="DOC-BodyText"/>
        <w:numPr>
          <w:ilvl w:val="0"/>
          <w:numId w:val="3"/>
        </w:numPr>
        <w:spacing w:after="240"/>
        <w:ind w:left="450" w:hanging="450"/>
      </w:pPr>
      <w:r w:rsidRPr="00D208AE">
        <w:t>At the SELECT prompt, enter [TSB], WORKCENTER, enter [500], TESTSITE</w:t>
      </w:r>
      <w:r w:rsidR="001C5322" w:rsidRPr="00D208AE">
        <w:t xml:space="preserve"> </w:t>
      </w:r>
      <w:r w:rsidRPr="00D208AE">
        <w:t>[500]</w:t>
      </w:r>
      <w:r w:rsidR="00983F3B" w:rsidRPr="00D208AE">
        <w:t xml:space="preserve">. </w:t>
      </w:r>
      <w:r w:rsidR="0072764A" w:rsidRPr="00D208AE">
        <w:t xml:space="preserve"> SE</w:t>
      </w:r>
      <w:r w:rsidR="00B040FA">
        <w:t>H</w:t>
      </w:r>
      <w:r w:rsidR="0072764A" w:rsidRPr="00D208AE">
        <w:t xml:space="preserve"> resu</w:t>
      </w:r>
      <w:r w:rsidR="00B040FA">
        <w:t>lts in either TSA or ACC and the</w:t>
      </w:r>
      <w:r w:rsidR="0072764A" w:rsidRPr="00D208AE">
        <w:t xml:space="preserve"> </w:t>
      </w:r>
      <w:proofErr w:type="spellStart"/>
      <w:r w:rsidR="0072764A" w:rsidRPr="00D208AE">
        <w:t>workcenter</w:t>
      </w:r>
      <w:proofErr w:type="spellEnd"/>
      <w:r w:rsidR="0072764A" w:rsidRPr="00D208AE">
        <w:t>/test site is 7500/</w:t>
      </w:r>
      <w:r w:rsidR="00B040FA">
        <w:t>500.  You may just enter through the test site.</w:t>
      </w:r>
    </w:p>
    <w:p w:rsidR="000E50D8" w:rsidRDefault="000E50D8" w:rsidP="001C5322">
      <w:pPr>
        <w:pStyle w:val="DOC-BodyText"/>
        <w:numPr>
          <w:ilvl w:val="0"/>
          <w:numId w:val="3"/>
        </w:numPr>
        <w:spacing w:after="240"/>
        <w:ind w:left="450" w:hanging="450"/>
      </w:pPr>
      <w:r>
        <w:t>The Positive and Negative controls and any outstanding patients will load.</w:t>
      </w:r>
    </w:p>
    <w:p w:rsidR="000E50D8" w:rsidRDefault="000E50D8" w:rsidP="001C5322">
      <w:pPr>
        <w:pStyle w:val="DOC-BodyText"/>
        <w:numPr>
          <w:ilvl w:val="0"/>
          <w:numId w:val="3"/>
        </w:numPr>
        <w:spacing w:after="240"/>
        <w:ind w:left="450" w:hanging="450"/>
      </w:pPr>
      <w:r>
        <w:t xml:space="preserve">Document the results of the positive internal control (appearance of the </w:t>
      </w:r>
      <w:r w:rsidR="001C5322">
        <w:t>pink-purple</w:t>
      </w:r>
      <w:r>
        <w:t xml:space="preserve"> </w:t>
      </w:r>
      <w:r w:rsidR="001C5322">
        <w:t>l</w:t>
      </w:r>
      <w:r>
        <w:t>ine</w:t>
      </w:r>
      <w:r w:rsidR="001C5322">
        <w:t xml:space="preserve"> at the </w:t>
      </w:r>
      <w:r>
        <w:t>Control</w:t>
      </w:r>
      <w:r w:rsidR="001C5322">
        <w:t xml:space="preserve"> position</w:t>
      </w:r>
      <w:r>
        <w:t>) by entering POSITIVE for the Positive Control.</w:t>
      </w:r>
    </w:p>
    <w:p w:rsidR="000E50D8" w:rsidRDefault="000E50D8" w:rsidP="001C5322">
      <w:pPr>
        <w:pStyle w:val="DOC-BodyText"/>
        <w:numPr>
          <w:ilvl w:val="0"/>
          <w:numId w:val="3"/>
        </w:numPr>
        <w:spacing w:after="240"/>
        <w:ind w:left="450" w:hanging="450"/>
      </w:pPr>
      <w:r>
        <w:t>Document the results of the negative internal control (presence of a clear background) by entering NEGATIVE for the Negative Control.</w:t>
      </w:r>
    </w:p>
    <w:p w:rsidR="001C5322" w:rsidRDefault="000E50D8" w:rsidP="001C5322">
      <w:pPr>
        <w:pStyle w:val="DOC-BodyText"/>
        <w:numPr>
          <w:ilvl w:val="0"/>
          <w:numId w:val="3"/>
        </w:numPr>
        <w:ind w:left="450" w:hanging="450"/>
      </w:pPr>
      <w:r>
        <w:t>Enter patient results as POSITIVE or NEGATIVE.</w:t>
      </w:r>
    </w:p>
    <w:p w:rsidR="001C5322" w:rsidRDefault="001C5322" w:rsidP="001C5322">
      <w:pPr>
        <w:pStyle w:val="DOC-BodyText"/>
        <w:ind w:left="720"/>
      </w:pPr>
    </w:p>
    <w:p w:rsidR="001C5322" w:rsidRDefault="001C5322" w:rsidP="001C5322">
      <w:pPr>
        <w:pStyle w:val="DOC-BodyText"/>
        <w:ind w:left="720"/>
      </w:pPr>
    </w:p>
    <w:p w:rsidR="001C5322" w:rsidRPr="001C5322" w:rsidRDefault="001C5322" w:rsidP="001C5322">
      <w:pPr>
        <w:pStyle w:val="DOC-BodyText"/>
        <w:rPr>
          <w:b/>
        </w:rPr>
      </w:pPr>
      <w:r>
        <w:rPr>
          <w:b/>
        </w:rPr>
        <w:t>PROCEDURAL NOTES</w:t>
      </w:r>
    </w:p>
    <w:p w:rsidR="00F3349F" w:rsidRPr="00B27F4C" w:rsidRDefault="00F3349F" w:rsidP="00B27F4C">
      <w:pPr>
        <w:pStyle w:val="DOC-BodyText"/>
      </w:pPr>
    </w:p>
    <w:p w:rsidR="001C5322" w:rsidRDefault="001C5322" w:rsidP="001C5322">
      <w:pPr>
        <w:pStyle w:val="DOC-BodyText"/>
      </w:pPr>
      <w:r>
        <w:t>Occasionally, a negative result may be obtained from patients at the onset on the disease due to heterophile antibody levels below the sensitivity of this test kit.</w:t>
      </w:r>
    </w:p>
    <w:p w:rsidR="001C5322" w:rsidRDefault="001C5322" w:rsidP="001C5322">
      <w:pPr>
        <w:pStyle w:val="DOC-BodyText"/>
      </w:pPr>
    </w:p>
    <w:p w:rsidR="00F3349F" w:rsidRPr="00B27F4C" w:rsidRDefault="001C5322" w:rsidP="001C5322">
      <w:pPr>
        <w:pStyle w:val="DOC-BodyText"/>
      </w:pPr>
      <w:r>
        <w:t>Some segments of the population who contract acute IM do not produce measurable levels of he</w:t>
      </w:r>
      <w:r w:rsidR="004B0436">
        <w:t>t</w:t>
      </w:r>
      <w:r>
        <w:t>erophile antibody</w:t>
      </w:r>
      <w:r w:rsidR="004B0436">
        <w:t xml:space="preserve"> and may test IM heterophile antibody negative. </w:t>
      </w:r>
    </w:p>
    <w:p w:rsidR="00F3349F" w:rsidRDefault="00F3349F" w:rsidP="00B27F4C">
      <w:pPr>
        <w:pStyle w:val="DOC-BodyText"/>
      </w:pPr>
    </w:p>
    <w:p w:rsidR="004B0436" w:rsidRDefault="004B0436" w:rsidP="00B27F4C">
      <w:pPr>
        <w:pStyle w:val="DOC-BodyText"/>
      </w:pPr>
    </w:p>
    <w:p w:rsidR="004B0436" w:rsidRDefault="004B0436" w:rsidP="00B27F4C">
      <w:pPr>
        <w:pStyle w:val="DOC-BodyText"/>
      </w:pPr>
      <w:r>
        <w:rPr>
          <w:b/>
        </w:rPr>
        <w:t>REFERENCES</w:t>
      </w:r>
    </w:p>
    <w:p w:rsidR="004B0436" w:rsidRDefault="004B0436" w:rsidP="00B27F4C">
      <w:pPr>
        <w:pStyle w:val="DOC-BodyText"/>
      </w:pPr>
    </w:p>
    <w:p w:rsidR="004B0436" w:rsidRPr="00156581" w:rsidRDefault="004B0436" w:rsidP="00B27F4C">
      <w:pPr>
        <w:pStyle w:val="DOC-BodyText"/>
        <w:rPr>
          <w:sz w:val="20"/>
        </w:rPr>
      </w:pPr>
      <w:r w:rsidRPr="00156581">
        <w:rPr>
          <w:sz w:val="20"/>
        </w:rPr>
        <w:t>Poly stat Mono Test package inser</w:t>
      </w:r>
      <w:r w:rsidR="001925ED" w:rsidRPr="00156581">
        <w:rPr>
          <w:sz w:val="20"/>
        </w:rPr>
        <w:t>t</w:t>
      </w:r>
      <w:r w:rsidRPr="00156581">
        <w:rPr>
          <w:sz w:val="20"/>
        </w:rPr>
        <w:t xml:space="preserve"> (51908-02 P-5265-A, 2009), </w:t>
      </w:r>
      <w:proofErr w:type="spellStart"/>
      <w:r w:rsidRPr="00156581">
        <w:rPr>
          <w:sz w:val="20"/>
        </w:rPr>
        <w:t>Polym</w:t>
      </w:r>
      <w:r w:rsidR="006208ED">
        <w:rPr>
          <w:sz w:val="20"/>
        </w:rPr>
        <w:t>edco</w:t>
      </w:r>
      <w:proofErr w:type="spellEnd"/>
      <w:r w:rsidR="006208ED">
        <w:rPr>
          <w:sz w:val="20"/>
        </w:rPr>
        <w:t xml:space="preserve">, Inc., 510 Furnace Dock Rd., </w:t>
      </w:r>
      <w:proofErr w:type="spellStart"/>
      <w:r w:rsidRPr="00156581">
        <w:rPr>
          <w:sz w:val="20"/>
        </w:rPr>
        <w:t>Cortlandt</w:t>
      </w:r>
      <w:proofErr w:type="spellEnd"/>
      <w:r w:rsidRPr="00156581">
        <w:rPr>
          <w:sz w:val="20"/>
        </w:rPr>
        <w:t xml:space="preserve">, Manor, NY. </w:t>
      </w:r>
    </w:p>
    <w:p w:rsidR="00F3349F" w:rsidRDefault="00F3349F"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Default="006208ED" w:rsidP="00B27F4C">
      <w:pPr>
        <w:pStyle w:val="DOC-BodyText"/>
      </w:pPr>
    </w:p>
    <w:p w:rsidR="006208ED" w:rsidRPr="00B27F4C" w:rsidRDefault="006208ED" w:rsidP="00B27F4C">
      <w:pPr>
        <w:pStyle w:val="DOC-BodyText"/>
      </w:pPr>
    </w:p>
    <w:tbl>
      <w:tblPr>
        <w:tblpPr w:leftFromText="187" w:rightFromText="187" w:vertAnchor="text" w:horzAnchor="margin"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731"/>
        <w:gridCol w:w="2058"/>
        <w:gridCol w:w="4769"/>
      </w:tblGrid>
      <w:tr w:rsidR="006208ED" w:rsidTr="006208ED">
        <w:trPr>
          <w:cantSplit/>
          <w:trHeight w:val="440"/>
        </w:trPr>
        <w:tc>
          <w:tcPr>
            <w:tcW w:w="11016" w:type="dxa"/>
            <w:gridSpan w:val="4"/>
            <w:tcBorders>
              <w:bottom w:val="single" w:sz="4" w:space="0" w:color="auto"/>
            </w:tcBorders>
            <w:vAlign w:val="center"/>
          </w:tcPr>
          <w:p w:rsidR="006208ED" w:rsidRPr="00000956" w:rsidRDefault="006208ED" w:rsidP="006208ED">
            <w:pPr>
              <w:pStyle w:val="BodyText"/>
              <w:rPr>
                <w:b/>
              </w:rPr>
            </w:pPr>
            <w:r w:rsidRPr="00000956">
              <w:rPr>
                <w:b/>
              </w:rPr>
              <w:t>DOCUMENT APPROVAL</w:t>
            </w:r>
            <w:r>
              <w:rPr>
                <w:b/>
              </w:rPr>
              <w:t xml:space="preserve">     </w:t>
            </w:r>
            <w:r w:rsidRPr="00000956">
              <w:rPr>
                <w:b/>
              </w:rPr>
              <w:t>Purpose of Document / Reason for Change:</w:t>
            </w:r>
          </w:p>
        </w:tc>
      </w:tr>
      <w:tr w:rsidR="006208ED" w:rsidTr="006208ED">
        <w:trPr>
          <w:cantSplit/>
          <w:trHeight w:val="510"/>
        </w:trPr>
        <w:tc>
          <w:tcPr>
            <w:tcW w:w="11016" w:type="dxa"/>
            <w:gridSpan w:val="4"/>
            <w:tcBorders>
              <w:bottom w:val="single" w:sz="4" w:space="0" w:color="auto"/>
            </w:tcBorders>
          </w:tcPr>
          <w:p w:rsidR="006208ED" w:rsidRDefault="006208ED" w:rsidP="006208ED">
            <w:pPr>
              <w:pStyle w:val="BodyText"/>
              <w:spacing w:before="60" w:after="60"/>
            </w:pPr>
            <w:r>
              <w:t>1. To provide a document that describes the mono testing procedure for the Poly stat Mono Test kit.</w:t>
            </w:r>
          </w:p>
          <w:p w:rsidR="006208ED" w:rsidRDefault="006208ED" w:rsidP="006208ED">
            <w:pPr>
              <w:pStyle w:val="BodyText"/>
              <w:spacing w:before="60" w:after="60"/>
            </w:pPr>
          </w:p>
        </w:tc>
      </w:tr>
      <w:tr w:rsidR="006208ED" w:rsidTr="006208ED">
        <w:trPr>
          <w:cantSplit/>
          <w:trHeight w:val="272"/>
        </w:trPr>
        <w:tc>
          <w:tcPr>
            <w:tcW w:w="11016" w:type="dxa"/>
            <w:gridSpan w:val="4"/>
            <w:tcBorders>
              <w:bottom w:val="single" w:sz="4" w:space="0" w:color="auto"/>
            </w:tcBorders>
          </w:tcPr>
          <w:p w:rsidR="006208ED" w:rsidRDefault="006208ED" w:rsidP="006208ED">
            <w:pPr>
              <w:pStyle w:val="BodyText"/>
              <w:spacing w:before="60" w:after="60"/>
            </w:pPr>
            <w:r w:rsidRPr="00E1038B">
              <w:rPr>
                <w:b/>
                <w:bCs/>
                <w:sz w:val="18"/>
              </w:rPr>
              <w:fldChar w:fldCharType="begin">
                <w:ffData>
                  <w:name w:val="Check10"/>
                  <w:enabled/>
                  <w:calcOnExit w:val="0"/>
                  <w:checkBox>
                    <w:sizeAuto/>
                    <w:default w:val="0"/>
                  </w:checkBox>
                </w:ffData>
              </w:fldChar>
            </w:r>
            <w:r w:rsidRPr="00E1038B">
              <w:rPr>
                <w:b/>
                <w:bCs/>
                <w:sz w:val="18"/>
              </w:rPr>
              <w:instrText xml:space="preserve"> FORMCHECKBOX </w:instrText>
            </w:r>
            <w:r w:rsidRPr="00E1038B">
              <w:rPr>
                <w:b/>
                <w:bCs/>
                <w:sz w:val="18"/>
              </w:rPr>
            </w:r>
            <w:r w:rsidRPr="00E1038B">
              <w:rPr>
                <w:b/>
                <w:bCs/>
                <w:sz w:val="18"/>
              </w:rPr>
              <w:fldChar w:fldCharType="end"/>
            </w:r>
            <w:r w:rsidRPr="00E1038B">
              <w:rPr>
                <w:sz w:val="18"/>
              </w:rPr>
              <w:t xml:space="preserve"> </w:t>
            </w:r>
            <w:r w:rsidRPr="006A1C62">
              <w:rPr>
                <w:b/>
                <w:bCs/>
                <w:sz w:val="18"/>
              </w:rPr>
              <w:t xml:space="preserve"> </w:t>
            </w:r>
            <w:r w:rsidRPr="00A074C5">
              <w:rPr>
                <w:bCs/>
                <w:i/>
                <w:sz w:val="18"/>
              </w:rPr>
              <w:t>No significant change to process in above revision.  Per CAP, this revision does not require further Medical Director approval.</w:t>
            </w:r>
          </w:p>
        </w:tc>
      </w:tr>
      <w:tr w:rsidR="006208ED" w:rsidTr="006208ED">
        <w:trPr>
          <w:cantSplit/>
          <w:trHeight w:val="992"/>
        </w:trPr>
        <w:tc>
          <w:tcPr>
            <w:tcW w:w="1458" w:type="dxa"/>
            <w:vAlign w:val="center"/>
          </w:tcPr>
          <w:p w:rsidR="006208ED" w:rsidRPr="00000956" w:rsidRDefault="006208ED" w:rsidP="006208ED">
            <w:pPr>
              <w:pStyle w:val="BodyText"/>
              <w:jc w:val="right"/>
              <w:rPr>
                <w:b/>
                <w:sz w:val="18"/>
              </w:rPr>
            </w:pPr>
            <w:r w:rsidRPr="00000956">
              <w:rPr>
                <w:b/>
                <w:sz w:val="18"/>
              </w:rPr>
              <w:t>Committee</w:t>
            </w:r>
            <w:r>
              <w:rPr>
                <w:b/>
                <w:sz w:val="18"/>
              </w:rPr>
              <w:br/>
            </w:r>
            <w:r w:rsidRPr="00000956">
              <w:rPr>
                <w:b/>
                <w:sz w:val="18"/>
              </w:rPr>
              <w:t xml:space="preserve">Approval </w:t>
            </w:r>
            <w:r>
              <w:rPr>
                <w:b/>
                <w:sz w:val="18"/>
              </w:rPr>
              <w:br/>
              <w:t>Date</w:t>
            </w:r>
          </w:p>
        </w:tc>
        <w:bookmarkStart w:id="7" w:name="Check9"/>
        <w:tc>
          <w:tcPr>
            <w:tcW w:w="2731" w:type="dxa"/>
          </w:tcPr>
          <w:p w:rsidR="006208ED" w:rsidRPr="00334E3F" w:rsidRDefault="006208ED" w:rsidP="006208ED">
            <w:pPr>
              <w:pStyle w:val="BodyText"/>
              <w:spacing w:before="120" w:after="60"/>
              <w:rPr>
                <w:sz w:val="18"/>
              </w:rPr>
            </w:pPr>
            <w:r>
              <w:rPr>
                <w:b/>
                <w:bCs/>
                <w:sz w:val="18"/>
              </w:rPr>
              <w:fldChar w:fldCharType="begin">
                <w:ffData>
                  <w:name w:val="Check9"/>
                  <w:enabled/>
                  <w:calcOnExit w:val="0"/>
                  <w:checkBox>
                    <w:sizeAuto/>
                    <w:default w:val="1"/>
                  </w:checkBox>
                </w:ffData>
              </w:fldChar>
            </w:r>
            <w:r>
              <w:rPr>
                <w:b/>
                <w:bCs/>
                <w:sz w:val="18"/>
              </w:rPr>
              <w:instrText xml:space="preserve"> FORMCHECKBOX </w:instrText>
            </w:r>
            <w:r>
              <w:rPr>
                <w:b/>
                <w:bCs/>
                <w:sz w:val="18"/>
              </w:rPr>
            </w:r>
            <w:r>
              <w:rPr>
                <w:b/>
                <w:bCs/>
                <w:sz w:val="18"/>
              </w:rPr>
              <w:fldChar w:fldCharType="end"/>
            </w:r>
            <w:bookmarkEnd w:id="7"/>
            <w:r w:rsidRPr="00E1038B">
              <w:rPr>
                <w:b/>
                <w:bCs/>
                <w:sz w:val="18"/>
              </w:rPr>
              <w:t xml:space="preserve"> </w:t>
            </w:r>
            <w:r w:rsidRPr="00E1038B">
              <w:rPr>
                <w:sz w:val="18"/>
              </w:rPr>
              <w:t xml:space="preserve">Date:   </w:t>
            </w:r>
            <w:r w:rsidR="00970426">
              <w:rPr>
                <w:sz w:val="18"/>
              </w:rPr>
              <w:t>3/13/2014</w:t>
            </w:r>
          </w:p>
          <w:p w:rsidR="006208ED" w:rsidRPr="00000956" w:rsidRDefault="006208ED" w:rsidP="006208ED">
            <w:pPr>
              <w:pStyle w:val="BodyText"/>
              <w:spacing w:after="60"/>
              <w:rPr>
                <w:sz w:val="18"/>
              </w:rPr>
            </w:pPr>
            <w:r w:rsidRPr="00E1038B">
              <w:rPr>
                <w:b/>
                <w:bCs/>
                <w:sz w:val="18"/>
              </w:rPr>
              <w:fldChar w:fldCharType="begin">
                <w:ffData>
                  <w:name w:val="Check10"/>
                  <w:enabled/>
                  <w:calcOnExit w:val="0"/>
                  <w:checkBox>
                    <w:sizeAuto/>
                    <w:default w:val="0"/>
                  </w:checkBox>
                </w:ffData>
              </w:fldChar>
            </w:r>
            <w:bookmarkStart w:id="8" w:name="Check10"/>
            <w:r w:rsidRPr="00E1038B">
              <w:rPr>
                <w:b/>
                <w:bCs/>
                <w:sz w:val="18"/>
              </w:rPr>
              <w:instrText xml:space="preserve"> FORMCHECKBOX </w:instrText>
            </w:r>
            <w:r w:rsidRPr="00E1038B">
              <w:rPr>
                <w:b/>
                <w:bCs/>
                <w:sz w:val="18"/>
              </w:rPr>
            </w:r>
            <w:r w:rsidRPr="00E1038B">
              <w:rPr>
                <w:b/>
                <w:bCs/>
                <w:sz w:val="18"/>
              </w:rPr>
              <w:fldChar w:fldCharType="end"/>
            </w:r>
            <w:bookmarkEnd w:id="8"/>
            <w:r w:rsidRPr="00E1038B">
              <w:rPr>
                <w:sz w:val="18"/>
              </w:rPr>
              <w:t xml:space="preserve">  N</w:t>
            </w:r>
            <w:r>
              <w:rPr>
                <w:sz w:val="18"/>
              </w:rPr>
              <w:t>/</w:t>
            </w:r>
            <w:r w:rsidRPr="00E1038B">
              <w:rPr>
                <w:sz w:val="18"/>
              </w:rPr>
              <w:t xml:space="preserve">A – </w:t>
            </w:r>
            <w:r w:rsidRPr="001D54DB">
              <w:rPr>
                <w:sz w:val="16"/>
              </w:rPr>
              <w:t>revision of</w:t>
            </w:r>
            <w:r>
              <w:rPr>
                <w:sz w:val="18"/>
              </w:rPr>
              <w:t xml:space="preserve"> </w:t>
            </w:r>
            <w:r>
              <w:rPr>
                <w:sz w:val="16"/>
              </w:rPr>
              <w:t xml:space="preserve">department-specific </w:t>
            </w:r>
            <w:r w:rsidRPr="00E1038B">
              <w:rPr>
                <w:sz w:val="16"/>
              </w:rPr>
              <w:t xml:space="preserve">document which is used at only one facility  </w:t>
            </w:r>
            <w:r w:rsidRPr="00E1038B">
              <w:rPr>
                <w:sz w:val="18"/>
              </w:rPr>
              <w:t xml:space="preserve"> </w:t>
            </w:r>
          </w:p>
        </w:tc>
        <w:tc>
          <w:tcPr>
            <w:tcW w:w="2058" w:type="dxa"/>
            <w:vAlign w:val="center"/>
          </w:tcPr>
          <w:p w:rsidR="006208ED" w:rsidRPr="00334E3F" w:rsidRDefault="006208ED" w:rsidP="006208ED">
            <w:pPr>
              <w:pStyle w:val="BodyText"/>
              <w:spacing w:before="120"/>
              <w:jc w:val="right"/>
              <w:rPr>
                <w:b/>
                <w:sz w:val="18"/>
              </w:rPr>
            </w:pPr>
            <w:r w:rsidRPr="00000956">
              <w:rPr>
                <w:b/>
                <w:sz w:val="18"/>
              </w:rPr>
              <w:t>Medical Director Approval</w:t>
            </w:r>
            <w:r>
              <w:rPr>
                <w:b/>
                <w:sz w:val="18"/>
              </w:rPr>
              <w:br/>
            </w:r>
            <w:r>
              <w:rPr>
                <w:i/>
                <w:sz w:val="18"/>
              </w:rPr>
              <w:t>(E</w:t>
            </w:r>
            <w:r w:rsidRPr="00000956">
              <w:rPr>
                <w:i/>
                <w:sz w:val="18"/>
              </w:rPr>
              <w:t>lectronic Signature)</w:t>
            </w:r>
          </w:p>
        </w:tc>
        <w:tc>
          <w:tcPr>
            <w:tcW w:w="4769" w:type="dxa"/>
            <w:vAlign w:val="center"/>
          </w:tcPr>
          <w:p w:rsidR="006208ED" w:rsidRPr="00000956" w:rsidRDefault="00E94CF0" w:rsidP="006208ED">
            <w:pPr>
              <w:rPr>
                <w:sz w:val="18"/>
              </w:rPr>
            </w:pPr>
            <w:r>
              <w:rPr>
                <w:noProof/>
                <w:sz w:val="18"/>
              </w:rPr>
              <w:drawing>
                <wp:inline distT="0" distB="0" distL="0" distR="0">
                  <wp:extent cx="2047164" cy="381000"/>
                  <wp:effectExtent l="0" t="0" r="0" b="0"/>
                  <wp:docPr id="10" name="Picture 10" descr="H:\Katie\Signature - K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tie\Signature - K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164" cy="381000"/>
                          </a:xfrm>
                          <a:prstGeom prst="rect">
                            <a:avLst/>
                          </a:prstGeom>
                          <a:noFill/>
                          <a:ln>
                            <a:noFill/>
                          </a:ln>
                        </pic:spPr>
                      </pic:pic>
                    </a:graphicData>
                  </a:graphic>
                </wp:inline>
              </w:drawing>
            </w:r>
            <w:r>
              <w:rPr>
                <w:sz w:val="18"/>
              </w:rPr>
              <w:t>3/13/14</w:t>
            </w:r>
          </w:p>
        </w:tc>
      </w:tr>
    </w:tbl>
    <w:p w:rsidR="00F3349F" w:rsidRPr="00B27F4C" w:rsidRDefault="00F3349F" w:rsidP="00B27F4C">
      <w:pPr>
        <w:pStyle w:val="DOC-BodyText"/>
      </w:pPr>
    </w:p>
    <w:p w:rsidR="00F3349F" w:rsidRDefault="00F3349F">
      <w:pPr>
        <w:rPr>
          <w:rFonts w:ascii="Arial" w:hAnsi="Arial" w:cs="Arial"/>
        </w:rPr>
      </w:pPr>
    </w:p>
    <w:p w:rsidR="00F3349F" w:rsidRPr="00F3349F" w:rsidRDefault="00F3349F">
      <w:pPr>
        <w:rPr>
          <w:rFonts w:ascii="Arial" w:hAnsi="Arial" w:cs="Arial"/>
        </w:rPr>
      </w:pPr>
    </w:p>
    <w:sectPr w:rsidR="00F3349F" w:rsidRPr="00F3349F" w:rsidSect="003D03FC">
      <w:footerReference w:type="default" r:id="rId14"/>
      <w:type w:val="continuous"/>
      <w:pgSz w:w="12240" w:h="15840" w:code="1"/>
      <w:pgMar w:top="720" w:right="720" w:bottom="1440" w:left="720"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22" w:rsidRDefault="001C5322" w:rsidP="00F3349F">
      <w:pPr>
        <w:spacing w:after="0" w:line="240" w:lineRule="auto"/>
      </w:pPr>
      <w:r>
        <w:separator/>
      </w:r>
    </w:p>
  </w:endnote>
  <w:endnote w:type="continuationSeparator" w:id="0">
    <w:p w:rsidR="001C5322" w:rsidRDefault="001C5322" w:rsidP="00F3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758"/>
      <w:gridCol w:w="2160"/>
      <w:gridCol w:w="1098"/>
    </w:tblGrid>
    <w:tr w:rsidR="001C5322" w:rsidTr="00DC4352">
      <w:tc>
        <w:tcPr>
          <w:tcW w:w="7758" w:type="dxa"/>
        </w:tcPr>
        <w:p w:rsidR="001C5322" w:rsidRPr="00DF21F9" w:rsidRDefault="00970426" w:rsidP="001C41B8">
          <w:pPr>
            <w:pStyle w:val="DOC-Footer"/>
          </w:pPr>
          <w:fldSimple w:instr=" FILENAME  \p  \* MERGEFORMAT ">
            <w:r w:rsidR="007F6EDC">
              <w:rPr>
                <w:noProof/>
              </w:rPr>
              <w:t>G:\Lab\LAB\Document Control\Serology Active\Poly Stat Mono Test - Whole Blood-00.docx</w:t>
            </w:r>
          </w:fldSimple>
          <w:r w:rsidR="001C5322" w:rsidRPr="00DF21F9">
            <w:tab/>
          </w:r>
        </w:p>
      </w:tc>
      <w:tc>
        <w:tcPr>
          <w:tcW w:w="2160" w:type="dxa"/>
        </w:tcPr>
        <w:p w:rsidR="001C5322" w:rsidRPr="00DF21F9" w:rsidRDefault="001C5322" w:rsidP="00521462">
          <w:pPr>
            <w:pStyle w:val="DOC-Footer"/>
            <w:rPr>
              <w:bCs/>
            </w:rPr>
          </w:pPr>
          <w:r w:rsidRPr="00DF21F9">
            <w:rPr>
              <w:bCs/>
            </w:rPr>
            <w:t xml:space="preserve">Effective Date: </w:t>
          </w:r>
          <w:r w:rsidR="00156581">
            <w:rPr>
              <w:bCs/>
            </w:rPr>
            <w:t xml:space="preserve"> </w:t>
          </w:r>
          <w:r w:rsidR="00521462">
            <w:rPr>
              <w:bCs/>
            </w:rPr>
            <w:t>5/27/2014</w:t>
          </w:r>
        </w:p>
      </w:tc>
      <w:tc>
        <w:tcPr>
          <w:tcW w:w="1098" w:type="dxa"/>
        </w:tcPr>
        <w:p w:rsidR="001C5322" w:rsidRPr="00DF21F9" w:rsidRDefault="001C5322" w:rsidP="001C41B8">
          <w:pPr>
            <w:pStyle w:val="DOC-Footer"/>
            <w:rPr>
              <w:bCs/>
            </w:rPr>
          </w:pPr>
          <w:r w:rsidRPr="00DF21F9">
            <w:rPr>
              <w:bCs/>
            </w:rPr>
            <w:t xml:space="preserve">Page </w:t>
          </w:r>
          <w:r w:rsidRPr="00DF21F9">
            <w:rPr>
              <w:bCs/>
            </w:rPr>
            <w:fldChar w:fldCharType="begin"/>
          </w:r>
          <w:r w:rsidRPr="00DF21F9">
            <w:rPr>
              <w:bCs/>
            </w:rPr>
            <w:instrText xml:space="preserve"> PAGE </w:instrText>
          </w:r>
          <w:r w:rsidRPr="00DF21F9">
            <w:rPr>
              <w:bCs/>
            </w:rPr>
            <w:fldChar w:fldCharType="separate"/>
          </w:r>
          <w:r w:rsidR="007F6EDC">
            <w:rPr>
              <w:bCs/>
              <w:noProof/>
            </w:rPr>
            <w:t>1</w:t>
          </w:r>
          <w:r w:rsidRPr="00DF21F9">
            <w:rPr>
              <w:bCs/>
            </w:rPr>
            <w:fldChar w:fldCharType="end"/>
          </w:r>
          <w:r w:rsidRPr="00DF21F9">
            <w:rPr>
              <w:bCs/>
            </w:rPr>
            <w:t xml:space="preserve"> of </w:t>
          </w:r>
          <w:r w:rsidRPr="00DF21F9">
            <w:rPr>
              <w:bCs/>
            </w:rPr>
            <w:fldChar w:fldCharType="begin"/>
          </w:r>
          <w:r w:rsidRPr="00DF21F9">
            <w:rPr>
              <w:bCs/>
            </w:rPr>
            <w:instrText xml:space="preserve"> NUMPAGES </w:instrText>
          </w:r>
          <w:r w:rsidRPr="00DF21F9">
            <w:rPr>
              <w:bCs/>
            </w:rPr>
            <w:fldChar w:fldCharType="separate"/>
          </w:r>
          <w:r w:rsidR="007F6EDC">
            <w:rPr>
              <w:bCs/>
              <w:noProof/>
            </w:rPr>
            <w:t>4</w:t>
          </w:r>
          <w:r w:rsidRPr="00DF21F9">
            <w:rPr>
              <w:bCs/>
            </w:rPr>
            <w:fldChar w:fldCharType="end"/>
          </w:r>
        </w:p>
      </w:tc>
    </w:tr>
    <w:tr w:rsidR="001C5322" w:rsidTr="00DC4352">
      <w:tc>
        <w:tcPr>
          <w:tcW w:w="11016" w:type="dxa"/>
          <w:gridSpan w:val="3"/>
        </w:tcPr>
        <w:p w:rsidR="001C5322" w:rsidRPr="001C41B8" w:rsidRDefault="001C5322" w:rsidP="001C41B8">
          <w:pPr>
            <w:tabs>
              <w:tab w:val="left" w:pos="5865"/>
            </w:tabs>
            <w:spacing w:before="60" w:after="60" w:line="240" w:lineRule="auto"/>
            <w:jc w:val="center"/>
            <w:rPr>
              <w:b/>
              <w:bCs/>
              <w:sz w:val="18"/>
            </w:rPr>
          </w:pPr>
          <w:r w:rsidRPr="001C41B8">
            <w:rPr>
              <w:b/>
              <w:bCs/>
              <w:i/>
              <w:color w:val="FF0000"/>
              <w:sz w:val="18"/>
            </w:rPr>
            <w:t>Unauthorized use or copying of this document is prohibited by FHS.</w:t>
          </w:r>
        </w:p>
      </w:tc>
    </w:tr>
  </w:tbl>
  <w:p w:rsidR="001C5322" w:rsidRDefault="001C5322" w:rsidP="00E17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22" w:rsidRDefault="001C5322" w:rsidP="00F3349F">
      <w:pPr>
        <w:spacing w:after="0" w:line="240" w:lineRule="auto"/>
      </w:pPr>
      <w:r>
        <w:separator/>
      </w:r>
    </w:p>
  </w:footnote>
  <w:footnote w:type="continuationSeparator" w:id="0">
    <w:p w:rsidR="001C5322" w:rsidRDefault="001C5322" w:rsidP="00F3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190D"/>
    <w:multiLevelType w:val="hybridMultilevel"/>
    <w:tmpl w:val="03785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A62C6"/>
    <w:multiLevelType w:val="hybridMultilevel"/>
    <w:tmpl w:val="092AF9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6C833A42"/>
    <w:multiLevelType w:val="hybridMultilevel"/>
    <w:tmpl w:val="03785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432"/>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7A"/>
    <w:rsid w:val="0000294F"/>
    <w:rsid w:val="0003658A"/>
    <w:rsid w:val="00077D7A"/>
    <w:rsid w:val="0008421A"/>
    <w:rsid w:val="00085E96"/>
    <w:rsid w:val="000B2B32"/>
    <w:rsid w:val="000D11A4"/>
    <w:rsid w:val="000D5B55"/>
    <w:rsid w:val="000E50D8"/>
    <w:rsid w:val="000F0DBC"/>
    <w:rsid w:val="000F6BF5"/>
    <w:rsid w:val="00100D44"/>
    <w:rsid w:val="0012509F"/>
    <w:rsid w:val="00131E3D"/>
    <w:rsid w:val="00154D5B"/>
    <w:rsid w:val="00156581"/>
    <w:rsid w:val="00173F2E"/>
    <w:rsid w:val="0019137A"/>
    <w:rsid w:val="001925ED"/>
    <w:rsid w:val="001C41B8"/>
    <w:rsid w:val="001C5322"/>
    <w:rsid w:val="001D1698"/>
    <w:rsid w:val="001E49C5"/>
    <w:rsid w:val="00211339"/>
    <w:rsid w:val="00242174"/>
    <w:rsid w:val="00253DED"/>
    <w:rsid w:val="00294F33"/>
    <w:rsid w:val="002E1B38"/>
    <w:rsid w:val="002E3EAF"/>
    <w:rsid w:val="003028AA"/>
    <w:rsid w:val="00303215"/>
    <w:rsid w:val="00310575"/>
    <w:rsid w:val="003148A0"/>
    <w:rsid w:val="00351B81"/>
    <w:rsid w:val="003613C6"/>
    <w:rsid w:val="00366A91"/>
    <w:rsid w:val="00376C61"/>
    <w:rsid w:val="00394AD8"/>
    <w:rsid w:val="003B65A3"/>
    <w:rsid w:val="003C0E4B"/>
    <w:rsid w:val="003D03FC"/>
    <w:rsid w:val="003D1A69"/>
    <w:rsid w:val="004378C3"/>
    <w:rsid w:val="0047449D"/>
    <w:rsid w:val="00480531"/>
    <w:rsid w:val="004B0436"/>
    <w:rsid w:val="004B1C7B"/>
    <w:rsid w:val="004E3726"/>
    <w:rsid w:val="004F76AE"/>
    <w:rsid w:val="00521462"/>
    <w:rsid w:val="00571316"/>
    <w:rsid w:val="00597754"/>
    <w:rsid w:val="005B6A95"/>
    <w:rsid w:val="005C46A4"/>
    <w:rsid w:val="00600AEF"/>
    <w:rsid w:val="00610B79"/>
    <w:rsid w:val="006208ED"/>
    <w:rsid w:val="006261C1"/>
    <w:rsid w:val="00671EDC"/>
    <w:rsid w:val="00704BF4"/>
    <w:rsid w:val="0072764A"/>
    <w:rsid w:val="00736E64"/>
    <w:rsid w:val="00756EE4"/>
    <w:rsid w:val="00776868"/>
    <w:rsid w:val="007C15AA"/>
    <w:rsid w:val="007E1356"/>
    <w:rsid w:val="007F6EDC"/>
    <w:rsid w:val="00843130"/>
    <w:rsid w:val="00871575"/>
    <w:rsid w:val="00882906"/>
    <w:rsid w:val="00887489"/>
    <w:rsid w:val="008C14B2"/>
    <w:rsid w:val="00902D03"/>
    <w:rsid w:val="00970426"/>
    <w:rsid w:val="00983F3B"/>
    <w:rsid w:val="00A80314"/>
    <w:rsid w:val="00A867AF"/>
    <w:rsid w:val="00A97309"/>
    <w:rsid w:val="00AD588C"/>
    <w:rsid w:val="00AE13E7"/>
    <w:rsid w:val="00AF0774"/>
    <w:rsid w:val="00AF2AB5"/>
    <w:rsid w:val="00B0291B"/>
    <w:rsid w:val="00B040FA"/>
    <w:rsid w:val="00B0685D"/>
    <w:rsid w:val="00B202A6"/>
    <w:rsid w:val="00B27072"/>
    <w:rsid w:val="00B27DB2"/>
    <w:rsid w:val="00B27F4C"/>
    <w:rsid w:val="00B56325"/>
    <w:rsid w:val="00B701C5"/>
    <w:rsid w:val="00BC1AC7"/>
    <w:rsid w:val="00BD11CB"/>
    <w:rsid w:val="00BD24C9"/>
    <w:rsid w:val="00BD2D1C"/>
    <w:rsid w:val="00C34AD2"/>
    <w:rsid w:val="00C542D0"/>
    <w:rsid w:val="00C64766"/>
    <w:rsid w:val="00C83A4A"/>
    <w:rsid w:val="00CB7B69"/>
    <w:rsid w:val="00D208AE"/>
    <w:rsid w:val="00D617D2"/>
    <w:rsid w:val="00D9625D"/>
    <w:rsid w:val="00DA5EB7"/>
    <w:rsid w:val="00DB725A"/>
    <w:rsid w:val="00DC4352"/>
    <w:rsid w:val="00DD1F87"/>
    <w:rsid w:val="00DD67E5"/>
    <w:rsid w:val="00DF21F9"/>
    <w:rsid w:val="00E019B3"/>
    <w:rsid w:val="00E17081"/>
    <w:rsid w:val="00E43283"/>
    <w:rsid w:val="00E44B05"/>
    <w:rsid w:val="00E60D6D"/>
    <w:rsid w:val="00E94CF0"/>
    <w:rsid w:val="00EC1D2E"/>
    <w:rsid w:val="00EC5A15"/>
    <w:rsid w:val="00F11BBF"/>
    <w:rsid w:val="00F1770B"/>
    <w:rsid w:val="00F271F4"/>
    <w:rsid w:val="00F3349F"/>
    <w:rsid w:val="00F603DA"/>
    <w:rsid w:val="00F92E7A"/>
    <w:rsid w:val="00FD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basedOn w:val="DefaultParagraphFont"/>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basedOn w:val="DefaultParagraphFont"/>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basedOn w:val="DefaultParagraphFont"/>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9F"/>
    <w:rPr>
      <w:rFonts w:ascii="Tahoma" w:hAnsi="Tahoma" w:cs="Tahoma"/>
      <w:sz w:val="16"/>
      <w:szCs w:val="16"/>
    </w:rPr>
  </w:style>
  <w:style w:type="character" w:styleId="Hyperlink">
    <w:name w:val="Hyperlink"/>
    <w:basedOn w:val="DefaultParagraphFont"/>
    <w:uiPriority w:val="99"/>
    <w:unhideWhenUsed/>
    <w:rsid w:val="00F603DA"/>
    <w:rPr>
      <w:color w:val="0000FF"/>
      <w:u w:val="single"/>
    </w:rPr>
  </w:style>
  <w:style w:type="character" w:customStyle="1" w:styleId="HeaderChar">
    <w:name w:val="Header Char"/>
    <w:basedOn w:val="DefaultParagraphFont"/>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HEADING1">
    <w:name w:val="DOC-HEADING 1"/>
    <w:basedOn w:val="Heading1"/>
    <w:qFormat/>
    <w:rsid w:val="00C34AD2"/>
    <w:pPr>
      <w:spacing w:before="0" w:after="0" w:line="480" w:lineRule="auto"/>
    </w:pPr>
    <w:rPr>
      <w:rFonts w:ascii="Arial" w:hAnsi="Arial"/>
      <w:caps/>
      <w:sz w:val="24"/>
    </w:rPr>
  </w:style>
  <w:style w:type="character" w:customStyle="1" w:styleId="Heading1Char">
    <w:name w:val="Heading 1 Char"/>
    <w:basedOn w:val="DefaultParagraphFont"/>
    <w:link w:val="Heading1"/>
    <w:uiPriority w:val="9"/>
    <w:rsid w:val="003D1A69"/>
    <w:rPr>
      <w:rFonts w:ascii="Cambria" w:eastAsia="Times New Roman" w:hAnsi="Cambria" w:cs="Times New Roman"/>
      <w:b/>
      <w:bCs/>
      <w:kern w:val="32"/>
      <w:sz w:val="32"/>
      <w:szCs w:val="32"/>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character" w:customStyle="1" w:styleId="Heading2Char">
    <w:name w:val="Heading 2 Char"/>
    <w:basedOn w:val="DefaultParagraphFont"/>
    <w:link w:val="Heading2"/>
    <w:uiPriority w:val="9"/>
    <w:semiHidden/>
    <w:rsid w:val="001C41B8"/>
    <w:rPr>
      <w:rFonts w:ascii="Cambria" w:eastAsia="Times New Roman" w:hAnsi="Cambria" w:cs="Times New Roman"/>
      <w:b/>
      <w:bCs/>
      <w:i/>
      <w:iCs/>
      <w:sz w:val="28"/>
      <w:szCs w:val="28"/>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302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4C"/>
    <w:pPr>
      <w:spacing w:after="200" w:line="276" w:lineRule="auto"/>
    </w:pPr>
    <w:rPr>
      <w:sz w:val="22"/>
      <w:szCs w:val="22"/>
    </w:rPr>
  </w:style>
  <w:style w:type="paragraph" w:styleId="Heading1">
    <w:name w:val="heading 1"/>
    <w:basedOn w:val="Normal"/>
    <w:next w:val="Normal"/>
    <w:link w:val="Heading1Char"/>
    <w:uiPriority w:val="9"/>
    <w:qFormat/>
    <w:rsid w:val="003D1A6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C41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F3349F"/>
    <w:pPr>
      <w:tabs>
        <w:tab w:val="center" w:pos="4320"/>
        <w:tab w:val="right" w:pos="8640"/>
      </w:tabs>
      <w:spacing w:after="0" w:line="240" w:lineRule="auto"/>
    </w:pPr>
    <w:rPr>
      <w:rFonts w:ascii="Arial" w:hAnsi="Arial"/>
      <w:b/>
      <w:bCs/>
      <w:szCs w:val="20"/>
    </w:rPr>
  </w:style>
  <w:style w:type="character" w:customStyle="1" w:styleId="HeaderChar1">
    <w:name w:val="Header Char1"/>
    <w:basedOn w:val="DefaultParagraphFont"/>
    <w:link w:val="Header"/>
    <w:uiPriority w:val="99"/>
    <w:rsid w:val="00F3349F"/>
    <w:rPr>
      <w:rFonts w:ascii="Arial" w:hAnsi="Arial"/>
      <w:b/>
      <w:bCs/>
      <w:sz w:val="22"/>
    </w:rPr>
  </w:style>
  <w:style w:type="paragraph" w:styleId="BodyText">
    <w:name w:val="Body Text"/>
    <w:basedOn w:val="Normal"/>
    <w:link w:val="BodyTextChar"/>
    <w:rsid w:val="00F3349F"/>
    <w:pPr>
      <w:spacing w:after="0" w:line="240" w:lineRule="auto"/>
    </w:pPr>
    <w:rPr>
      <w:rFonts w:ascii="Arial" w:hAnsi="Arial"/>
      <w:szCs w:val="20"/>
    </w:rPr>
  </w:style>
  <w:style w:type="character" w:customStyle="1" w:styleId="BodyTextChar">
    <w:name w:val="Body Text Char"/>
    <w:basedOn w:val="DefaultParagraphFont"/>
    <w:link w:val="BodyText"/>
    <w:rsid w:val="00F3349F"/>
    <w:rPr>
      <w:rFonts w:ascii="Arial" w:hAnsi="Arial"/>
      <w:sz w:val="22"/>
    </w:rPr>
  </w:style>
  <w:style w:type="paragraph" w:styleId="Footer">
    <w:name w:val="footer"/>
    <w:basedOn w:val="Normal"/>
    <w:link w:val="FooterChar"/>
    <w:uiPriority w:val="99"/>
    <w:unhideWhenUsed/>
    <w:rsid w:val="00F3349F"/>
    <w:pPr>
      <w:tabs>
        <w:tab w:val="center" w:pos="4680"/>
        <w:tab w:val="right" w:pos="9360"/>
      </w:tabs>
    </w:pPr>
  </w:style>
  <w:style w:type="character" w:customStyle="1" w:styleId="FooterChar">
    <w:name w:val="Footer Char"/>
    <w:basedOn w:val="DefaultParagraphFont"/>
    <w:link w:val="Footer"/>
    <w:uiPriority w:val="99"/>
    <w:rsid w:val="00F3349F"/>
    <w:rPr>
      <w:sz w:val="22"/>
      <w:szCs w:val="22"/>
    </w:rPr>
  </w:style>
  <w:style w:type="paragraph" w:styleId="BalloonText">
    <w:name w:val="Balloon Text"/>
    <w:basedOn w:val="Normal"/>
    <w:link w:val="BalloonTextChar"/>
    <w:uiPriority w:val="99"/>
    <w:semiHidden/>
    <w:unhideWhenUsed/>
    <w:rsid w:val="00F33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49F"/>
    <w:rPr>
      <w:rFonts w:ascii="Tahoma" w:hAnsi="Tahoma" w:cs="Tahoma"/>
      <w:sz w:val="16"/>
      <w:szCs w:val="16"/>
    </w:rPr>
  </w:style>
  <w:style w:type="character" w:styleId="Hyperlink">
    <w:name w:val="Hyperlink"/>
    <w:basedOn w:val="DefaultParagraphFont"/>
    <w:uiPriority w:val="99"/>
    <w:unhideWhenUsed/>
    <w:rsid w:val="00F603DA"/>
    <w:rPr>
      <w:color w:val="0000FF"/>
      <w:u w:val="single"/>
    </w:rPr>
  </w:style>
  <w:style w:type="character" w:customStyle="1" w:styleId="HeaderChar">
    <w:name w:val="Header Char"/>
    <w:basedOn w:val="DefaultParagraphFont"/>
    <w:locked/>
    <w:rsid w:val="008C14B2"/>
    <w:rPr>
      <w:rFonts w:ascii="Arial" w:hAnsi="Arial" w:cs="Times New Roman"/>
      <w:b/>
      <w:bCs/>
      <w:sz w:val="22"/>
    </w:rPr>
  </w:style>
  <w:style w:type="paragraph" w:customStyle="1" w:styleId="DOC-DocumentID">
    <w:name w:val="DOC-Document ID"/>
    <w:basedOn w:val="DOC-HEADING1"/>
    <w:qFormat/>
    <w:rsid w:val="00B27F4C"/>
    <w:pPr>
      <w:spacing w:line="240" w:lineRule="auto"/>
      <w:jc w:val="right"/>
    </w:pPr>
  </w:style>
  <w:style w:type="paragraph" w:customStyle="1" w:styleId="DOC-TITLE">
    <w:name w:val="DOC-TITLE"/>
    <w:basedOn w:val="Normal"/>
    <w:qFormat/>
    <w:rsid w:val="00C34AD2"/>
    <w:pPr>
      <w:spacing w:before="60" w:after="60"/>
      <w:jc w:val="center"/>
    </w:pPr>
    <w:rPr>
      <w:rFonts w:ascii="Arial" w:hAnsi="Arial"/>
      <w:b/>
      <w:caps/>
      <w:sz w:val="28"/>
    </w:rPr>
  </w:style>
  <w:style w:type="paragraph" w:customStyle="1" w:styleId="DOC-HEADING1">
    <w:name w:val="DOC-HEADING 1"/>
    <w:basedOn w:val="Heading1"/>
    <w:qFormat/>
    <w:rsid w:val="00C34AD2"/>
    <w:pPr>
      <w:spacing w:before="0" w:after="0" w:line="480" w:lineRule="auto"/>
    </w:pPr>
    <w:rPr>
      <w:rFonts w:ascii="Arial" w:hAnsi="Arial"/>
      <w:caps/>
      <w:sz w:val="24"/>
    </w:rPr>
  </w:style>
  <w:style w:type="character" w:customStyle="1" w:styleId="Heading1Char">
    <w:name w:val="Heading 1 Char"/>
    <w:basedOn w:val="DefaultParagraphFont"/>
    <w:link w:val="Heading1"/>
    <w:uiPriority w:val="9"/>
    <w:rsid w:val="003D1A69"/>
    <w:rPr>
      <w:rFonts w:ascii="Cambria" w:eastAsia="Times New Roman" w:hAnsi="Cambria" w:cs="Times New Roman"/>
      <w:b/>
      <w:bCs/>
      <w:kern w:val="32"/>
      <w:sz w:val="32"/>
      <w:szCs w:val="32"/>
    </w:rPr>
  </w:style>
  <w:style w:type="paragraph" w:customStyle="1" w:styleId="DOC-BodyText">
    <w:name w:val="DOC-Body Text"/>
    <w:basedOn w:val="BodyText"/>
    <w:qFormat/>
    <w:rsid w:val="003D1A69"/>
  </w:style>
  <w:style w:type="paragraph" w:customStyle="1" w:styleId="DOC-Heading2">
    <w:name w:val="DOC-Heading 2"/>
    <w:basedOn w:val="Heading2"/>
    <w:qFormat/>
    <w:rsid w:val="00C34AD2"/>
    <w:pPr>
      <w:spacing w:before="0" w:after="0" w:line="240" w:lineRule="auto"/>
    </w:pPr>
    <w:rPr>
      <w:rFonts w:ascii="Arial" w:hAnsi="Arial" w:cs="Arial"/>
      <w:i w:val="0"/>
      <w:sz w:val="22"/>
    </w:rPr>
  </w:style>
  <w:style w:type="character" w:customStyle="1" w:styleId="Heading2Char">
    <w:name w:val="Heading 2 Char"/>
    <w:basedOn w:val="DefaultParagraphFont"/>
    <w:link w:val="Heading2"/>
    <w:uiPriority w:val="9"/>
    <w:semiHidden/>
    <w:rsid w:val="001C41B8"/>
    <w:rPr>
      <w:rFonts w:ascii="Cambria" w:eastAsia="Times New Roman" w:hAnsi="Cambria" w:cs="Times New Roman"/>
      <w:b/>
      <w:bCs/>
      <w:i/>
      <w:iCs/>
      <w:sz w:val="28"/>
      <w:szCs w:val="28"/>
    </w:rPr>
  </w:style>
  <w:style w:type="paragraph" w:customStyle="1" w:styleId="DOC-Footer">
    <w:name w:val="DOC-Footer"/>
    <w:basedOn w:val="Footer"/>
    <w:qFormat/>
    <w:rsid w:val="001C41B8"/>
    <w:pPr>
      <w:spacing w:before="60" w:after="60" w:line="240" w:lineRule="auto"/>
    </w:pPr>
    <w:rPr>
      <w:rFonts w:cs="Arial"/>
      <w:b/>
      <w:sz w:val="16"/>
    </w:rPr>
  </w:style>
  <w:style w:type="table" w:styleId="TableGrid">
    <w:name w:val="Table Grid"/>
    <w:basedOn w:val="TableNormal"/>
    <w:uiPriority w:val="59"/>
    <w:rsid w:val="00302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Poly Stat Mono Test - Whole blood</vt:lpstr>
    </vt:vector>
  </TitlesOfParts>
  <Manager>Teri Emerson</Manager>
  <Company>FHS</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 Stat Mono Test - Whole blood</dc:title>
  <dc:subject>Mononucleosis testing</dc:subject>
  <dc:creator>Teri Emerson</dc:creator>
  <cp:keywords>mono, mononucleosis</cp:keywords>
  <dc:description/>
  <cp:lastModifiedBy>Emerson, Teri (Tacoma)</cp:lastModifiedBy>
  <cp:revision>21</cp:revision>
  <cp:lastPrinted>2014-05-27T19:48:00Z</cp:lastPrinted>
  <dcterms:created xsi:type="dcterms:W3CDTF">2014-03-13T17:36:00Z</dcterms:created>
  <dcterms:modified xsi:type="dcterms:W3CDTF">2014-05-27T19:49:00Z</dcterms:modified>
  <cp:category>Transfusion</cp:category>
</cp:coreProperties>
</file>