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81"/>
        <w:tblW w:w="10998" w:type="dxa"/>
        <w:tblLook w:val="0000"/>
      </w:tblPr>
      <w:tblGrid>
        <w:gridCol w:w="3078"/>
        <w:gridCol w:w="7920"/>
      </w:tblGrid>
      <w:tr w:rsidR="005A0A26" w:rsidRPr="00F3349F" w:rsidTr="008C14B2">
        <w:trPr>
          <w:cantSplit/>
          <w:trHeight w:val="357"/>
        </w:trPr>
        <w:tc>
          <w:tcPr>
            <w:tcW w:w="3078" w:type="dxa"/>
            <w:vMerge w:val="restart"/>
          </w:tcPr>
          <w:p w:rsidR="005A0A26" w:rsidRPr="004D7037" w:rsidRDefault="00A02F9F" w:rsidP="008C14B2">
            <w:pPr>
              <w:pStyle w:val="Header"/>
              <w:rPr>
                <w:rFonts w:cs="Arial"/>
                <w:b w:val="0"/>
                <w:szCs w:val="22"/>
              </w:rPr>
            </w:pPr>
            <w:bookmarkStart w:id="0" w:name="_GoBack"/>
            <w:bookmarkEnd w:id="0"/>
            <w:r>
              <w:rPr>
                <w:noProof/>
              </w:rPr>
              <w:drawing>
                <wp:inline distT="0" distB="0" distL="0" distR="0">
                  <wp:extent cx="15811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371475"/>
                          </a:xfrm>
                          <a:prstGeom prst="rect">
                            <a:avLst/>
                          </a:prstGeom>
                          <a:noFill/>
                          <a:ln>
                            <a:noFill/>
                          </a:ln>
                        </pic:spPr>
                      </pic:pic>
                    </a:graphicData>
                  </a:graphic>
                </wp:inline>
              </w:drawing>
            </w:r>
          </w:p>
        </w:tc>
        <w:tc>
          <w:tcPr>
            <w:tcW w:w="7920" w:type="dxa"/>
          </w:tcPr>
          <w:p w:rsidR="005A0A26" w:rsidRPr="00671EDC" w:rsidRDefault="005A0A26" w:rsidP="008C14B2">
            <w:pPr>
              <w:spacing w:after="0"/>
              <w:jc w:val="right"/>
              <w:rPr>
                <w:rFonts w:ascii="Arial" w:hAnsi="Arial" w:cs="Arial"/>
                <w:b/>
                <w:color w:val="0000CC"/>
              </w:rPr>
            </w:pPr>
            <w:r w:rsidRPr="00671EDC">
              <w:rPr>
                <w:rFonts w:ascii="Arial" w:hAnsi="Arial" w:cs="Arial"/>
                <w:b/>
                <w:color w:val="0000CC"/>
                <w:sz w:val="28"/>
              </w:rPr>
              <w:t>WORK INSTRUCTION</w:t>
            </w:r>
          </w:p>
        </w:tc>
      </w:tr>
      <w:tr w:rsidR="005A0A26" w:rsidRPr="00F3349F" w:rsidTr="008C14B2">
        <w:trPr>
          <w:cantSplit/>
          <w:trHeight w:val="330"/>
        </w:trPr>
        <w:tc>
          <w:tcPr>
            <w:tcW w:w="3078" w:type="dxa"/>
            <w:vMerge/>
            <w:tcBorders>
              <w:bottom w:val="single" w:sz="12" w:space="0" w:color="auto"/>
            </w:tcBorders>
          </w:tcPr>
          <w:p w:rsidR="005A0A26" w:rsidRPr="004D7037" w:rsidRDefault="005A0A26" w:rsidP="008C14B2">
            <w:pPr>
              <w:pStyle w:val="Header"/>
              <w:rPr>
                <w:rFonts w:cs="Arial"/>
                <w:noProof/>
                <w:szCs w:val="22"/>
              </w:rPr>
            </w:pPr>
          </w:p>
        </w:tc>
        <w:tc>
          <w:tcPr>
            <w:tcW w:w="7920" w:type="dxa"/>
            <w:tcBorders>
              <w:bottom w:val="single" w:sz="12" w:space="0" w:color="auto"/>
            </w:tcBorders>
            <w:vAlign w:val="center"/>
          </w:tcPr>
          <w:p w:rsidR="005A0A26" w:rsidRPr="00F3349F" w:rsidRDefault="005A0A26" w:rsidP="00B10FB4">
            <w:pPr>
              <w:spacing w:after="0"/>
              <w:jc w:val="right"/>
              <w:rPr>
                <w:rFonts w:ascii="Arial" w:hAnsi="Arial" w:cs="Arial"/>
                <w:b/>
              </w:rPr>
            </w:pPr>
            <w:r>
              <w:rPr>
                <w:rFonts w:ascii="Arial" w:hAnsi="Arial" w:cs="Arial"/>
                <w:b/>
                <w:bCs/>
                <w:sz w:val="24"/>
              </w:rPr>
              <w:t>J</w:t>
            </w:r>
            <w:r w:rsidRPr="00C95157">
              <w:rPr>
                <w:rFonts w:ascii="Arial" w:hAnsi="Arial" w:cs="Arial"/>
                <w:b/>
                <w:bCs/>
                <w:sz w:val="24"/>
              </w:rPr>
              <w:t>-W-CG</w:t>
            </w:r>
            <w:r>
              <w:rPr>
                <w:rFonts w:ascii="Arial" w:hAnsi="Arial" w:cs="Arial"/>
                <w:b/>
                <w:bCs/>
                <w:sz w:val="24"/>
              </w:rPr>
              <w:t>-</w:t>
            </w:r>
            <w:r w:rsidR="00B10FB4">
              <w:rPr>
                <w:rFonts w:ascii="Arial" w:hAnsi="Arial" w:cs="Arial"/>
                <w:b/>
                <w:bCs/>
                <w:sz w:val="24"/>
              </w:rPr>
              <w:t>2140</w:t>
            </w:r>
            <w:r w:rsidRPr="00C95157">
              <w:rPr>
                <w:rFonts w:ascii="Arial" w:hAnsi="Arial" w:cs="Arial"/>
                <w:b/>
                <w:bCs/>
                <w:sz w:val="24"/>
              </w:rPr>
              <w:t>-0</w:t>
            </w:r>
            <w:r>
              <w:rPr>
                <w:rFonts w:ascii="Arial" w:hAnsi="Arial" w:cs="Arial"/>
                <w:b/>
                <w:bCs/>
                <w:sz w:val="24"/>
              </w:rPr>
              <w:t>0</w:t>
            </w:r>
            <w:r w:rsidRPr="00F3349F">
              <w:rPr>
                <w:rFonts w:ascii="Arial" w:hAnsi="Arial" w:cs="Arial"/>
                <w:b/>
                <w:sz w:val="24"/>
              </w:rPr>
              <w:t xml:space="preserve">   </w:t>
            </w:r>
          </w:p>
        </w:tc>
      </w:tr>
      <w:tr w:rsidR="005A0A26" w:rsidRPr="00F3349F" w:rsidTr="008C14B2">
        <w:trPr>
          <w:cantSplit/>
          <w:trHeight w:val="345"/>
        </w:trPr>
        <w:tc>
          <w:tcPr>
            <w:tcW w:w="10998" w:type="dxa"/>
            <w:gridSpan w:val="2"/>
            <w:tcBorders>
              <w:top w:val="single" w:sz="12" w:space="0" w:color="auto"/>
              <w:left w:val="single" w:sz="12" w:space="0" w:color="auto"/>
              <w:bottom w:val="single" w:sz="12" w:space="0" w:color="auto"/>
              <w:right w:val="single" w:sz="12" w:space="0" w:color="auto"/>
            </w:tcBorders>
            <w:vAlign w:val="center"/>
          </w:tcPr>
          <w:p w:rsidR="005A0A26" w:rsidRPr="00C34AD2" w:rsidRDefault="005A0A26" w:rsidP="00C34AD2">
            <w:pPr>
              <w:pStyle w:val="DOC-TITLE"/>
            </w:pPr>
            <w:r w:rsidRPr="003379D9">
              <w:t>ACL TOP</w:t>
            </w:r>
            <w:r w:rsidR="005A4B52">
              <w:t xml:space="preserve"> </w:t>
            </w:r>
            <w:r>
              <w:t>-</w:t>
            </w:r>
            <w:r w:rsidRPr="003379D9">
              <w:rPr>
                <w:rFonts w:ascii="Tahoma" w:hAnsi="Tahoma" w:cs="Tahoma"/>
                <w:b w:val="0"/>
                <w:caps w:val="0"/>
                <w:szCs w:val="28"/>
              </w:rPr>
              <w:t xml:space="preserve"> </w:t>
            </w:r>
            <w:r w:rsidRPr="003379D9">
              <w:t>Fibrinogen</w:t>
            </w:r>
            <w:r w:rsidR="00EA0A55">
              <w:t xml:space="preserve"> </w:t>
            </w:r>
            <w:r w:rsidRPr="003379D9">
              <w:t>-</w:t>
            </w:r>
            <w:r w:rsidR="00EA0A55">
              <w:t xml:space="preserve"> </w:t>
            </w:r>
            <w:r w:rsidRPr="003379D9">
              <w:t>Q.F.A.</w:t>
            </w:r>
            <w:r w:rsidR="00B10FB4">
              <w:t xml:space="preserve"> (FIB)</w:t>
            </w:r>
          </w:p>
        </w:tc>
      </w:tr>
      <w:tr w:rsidR="005A0A26" w:rsidRPr="00F3349F" w:rsidTr="008C14B2">
        <w:trPr>
          <w:cantSplit/>
          <w:trHeight w:val="345"/>
        </w:trPr>
        <w:tc>
          <w:tcPr>
            <w:tcW w:w="10998" w:type="dxa"/>
            <w:gridSpan w:val="2"/>
            <w:tcBorders>
              <w:top w:val="single" w:sz="12" w:space="0" w:color="auto"/>
            </w:tcBorders>
            <w:vAlign w:val="center"/>
          </w:tcPr>
          <w:p w:rsidR="005A0A26" w:rsidRPr="004D7037" w:rsidRDefault="000A7038" w:rsidP="008C14B2">
            <w:pPr>
              <w:pStyle w:val="BodyText"/>
              <w:rPr>
                <w:b/>
                <w:sz w:val="16"/>
              </w:rPr>
            </w:pPr>
            <w:r>
              <w:rPr>
                <w:b/>
                <w:sz w:val="16"/>
              </w:rPr>
              <w:fldChar w:fldCharType="begin">
                <w:ffData>
                  <w:name w:val="Check1"/>
                  <w:enabled/>
                  <w:calcOnExit w:val="0"/>
                  <w:checkBox>
                    <w:sizeAuto/>
                    <w:default w:val="1"/>
                  </w:checkBox>
                </w:ffData>
              </w:fldChar>
            </w:r>
            <w:r w:rsidR="00E93D2A">
              <w:rPr>
                <w:b/>
                <w:sz w:val="16"/>
              </w:rPr>
              <w:instrText xml:space="preserve"> </w:instrText>
            </w:r>
            <w:bookmarkStart w:id="1" w:name="Check1"/>
            <w:r w:rsidR="00E93D2A">
              <w:rPr>
                <w:b/>
                <w:sz w:val="16"/>
              </w:rPr>
              <w:instrText xml:space="preserve">FORMCHECKBOX </w:instrText>
            </w:r>
            <w:r>
              <w:rPr>
                <w:b/>
                <w:sz w:val="16"/>
              </w:rPr>
            </w:r>
            <w:r>
              <w:rPr>
                <w:b/>
                <w:sz w:val="16"/>
              </w:rPr>
              <w:fldChar w:fldCharType="separate"/>
            </w:r>
            <w:r>
              <w:rPr>
                <w:b/>
                <w:sz w:val="16"/>
              </w:rPr>
              <w:fldChar w:fldCharType="end"/>
            </w:r>
            <w:bookmarkEnd w:id="1"/>
            <w:r w:rsidR="005A0A26" w:rsidRPr="004D7037">
              <w:rPr>
                <w:b/>
                <w:sz w:val="16"/>
              </w:rPr>
              <w:t xml:space="preserve"> St. Joseph Medical Center Tacoma, WA</w:t>
            </w:r>
            <w:r w:rsidR="005A0A26" w:rsidRPr="004D7037">
              <w:rPr>
                <w:b/>
                <w:sz w:val="16"/>
              </w:rPr>
              <w:tab/>
              <w:t xml:space="preserve">   </w:t>
            </w:r>
            <w:bookmarkStart w:id="2" w:name="Check3"/>
            <w:r w:rsidRPr="004D7037">
              <w:rPr>
                <w:b/>
                <w:sz w:val="16"/>
              </w:rPr>
              <w:fldChar w:fldCharType="begin">
                <w:ffData>
                  <w:name w:val="Check3"/>
                  <w:enabled/>
                  <w:calcOnExit w:val="0"/>
                  <w:checkBox>
                    <w:sizeAuto/>
                    <w:default w:val="0"/>
                  </w:checkBox>
                </w:ffData>
              </w:fldChar>
            </w:r>
            <w:r w:rsidR="005A0A26" w:rsidRPr="004D7037">
              <w:rPr>
                <w:b/>
                <w:sz w:val="16"/>
              </w:rPr>
              <w:instrText xml:space="preserve"> FORMCHECKBOX </w:instrText>
            </w:r>
            <w:r>
              <w:rPr>
                <w:b/>
                <w:sz w:val="16"/>
              </w:rPr>
            </w:r>
            <w:r>
              <w:rPr>
                <w:b/>
                <w:sz w:val="16"/>
              </w:rPr>
              <w:fldChar w:fldCharType="separate"/>
            </w:r>
            <w:r w:rsidRPr="004D7037">
              <w:rPr>
                <w:b/>
                <w:sz w:val="16"/>
              </w:rPr>
              <w:fldChar w:fldCharType="end"/>
            </w:r>
            <w:bookmarkEnd w:id="2"/>
            <w:r w:rsidR="005A0A26" w:rsidRPr="004D7037">
              <w:rPr>
                <w:b/>
                <w:sz w:val="16"/>
              </w:rPr>
              <w:t xml:space="preserve"> St. Clare Hospital Lakewood, WA</w:t>
            </w:r>
            <w:r w:rsidR="005A0A26" w:rsidRPr="004D7037">
              <w:rPr>
                <w:b/>
                <w:sz w:val="16"/>
              </w:rPr>
              <w:tab/>
            </w:r>
            <w:r w:rsidR="005A0A26" w:rsidRPr="004D7037">
              <w:rPr>
                <w:b/>
                <w:sz w:val="16"/>
              </w:rPr>
              <w:tab/>
              <w:t xml:space="preserve">     </w:t>
            </w:r>
            <w:bookmarkStart w:id="3" w:name="Check5"/>
            <w:r w:rsidRPr="004D7037">
              <w:rPr>
                <w:b/>
                <w:sz w:val="16"/>
              </w:rPr>
              <w:fldChar w:fldCharType="begin">
                <w:ffData>
                  <w:name w:val="Check5"/>
                  <w:enabled/>
                  <w:calcOnExit w:val="0"/>
                  <w:checkBox>
                    <w:sizeAuto/>
                    <w:default w:val="0"/>
                  </w:checkBox>
                </w:ffData>
              </w:fldChar>
            </w:r>
            <w:r w:rsidR="005A0A26" w:rsidRPr="004D7037">
              <w:rPr>
                <w:b/>
                <w:sz w:val="16"/>
              </w:rPr>
              <w:instrText xml:space="preserve"> FORMCHECKBOX </w:instrText>
            </w:r>
            <w:r>
              <w:rPr>
                <w:b/>
                <w:sz w:val="16"/>
              </w:rPr>
            </w:r>
            <w:r>
              <w:rPr>
                <w:b/>
                <w:sz w:val="16"/>
              </w:rPr>
              <w:fldChar w:fldCharType="separate"/>
            </w:r>
            <w:r w:rsidRPr="004D7037">
              <w:rPr>
                <w:b/>
                <w:sz w:val="16"/>
              </w:rPr>
              <w:fldChar w:fldCharType="end"/>
            </w:r>
            <w:bookmarkEnd w:id="3"/>
            <w:r w:rsidR="005A0A26" w:rsidRPr="004D7037">
              <w:rPr>
                <w:b/>
                <w:sz w:val="16"/>
              </w:rPr>
              <w:t xml:space="preserve"> St. Elizabeth Hospital Enumclaw, WA</w:t>
            </w:r>
          </w:p>
          <w:bookmarkStart w:id="4" w:name="Check2"/>
          <w:p w:rsidR="005A0A26" w:rsidRPr="004D7037" w:rsidRDefault="000A7038" w:rsidP="0003658A">
            <w:pPr>
              <w:pStyle w:val="BodyText"/>
            </w:pPr>
            <w:r w:rsidRPr="004D7037">
              <w:rPr>
                <w:b/>
                <w:sz w:val="16"/>
              </w:rPr>
              <w:fldChar w:fldCharType="begin">
                <w:ffData>
                  <w:name w:val="Check2"/>
                  <w:enabled/>
                  <w:calcOnExit w:val="0"/>
                  <w:checkBox>
                    <w:sizeAuto/>
                    <w:default w:val="0"/>
                    <w:checked w:val="0"/>
                  </w:checkBox>
                </w:ffData>
              </w:fldChar>
            </w:r>
            <w:r w:rsidR="005A0A26" w:rsidRPr="004D7037">
              <w:rPr>
                <w:b/>
                <w:sz w:val="16"/>
              </w:rPr>
              <w:instrText xml:space="preserve"> FORMCHECKBOX </w:instrText>
            </w:r>
            <w:r>
              <w:rPr>
                <w:b/>
                <w:sz w:val="16"/>
              </w:rPr>
            </w:r>
            <w:r>
              <w:rPr>
                <w:b/>
                <w:sz w:val="16"/>
              </w:rPr>
              <w:fldChar w:fldCharType="separate"/>
            </w:r>
            <w:r w:rsidRPr="004D7037">
              <w:rPr>
                <w:b/>
                <w:sz w:val="16"/>
              </w:rPr>
              <w:fldChar w:fldCharType="end"/>
            </w:r>
            <w:bookmarkEnd w:id="4"/>
            <w:r w:rsidR="005A0A26" w:rsidRPr="004D7037">
              <w:rPr>
                <w:b/>
                <w:sz w:val="16"/>
              </w:rPr>
              <w:t xml:space="preserve"> </w:t>
            </w:r>
            <w:smartTag w:uri="urn:schemas-microsoft-com:office:smarttags" w:element="Street">
              <w:smartTag w:uri="urn:schemas-microsoft-com:office:smarttags" w:element="address">
                <w:r w:rsidR="005A0A26" w:rsidRPr="004D7037">
                  <w:rPr>
                    <w:b/>
                    <w:sz w:val="16"/>
                  </w:rPr>
                  <w:t>St. Francis Hospital Federal Way</w:t>
                </w:r>
              </w:smartTag>
              <w:r w:rsidR="005A0A26" w:rsidRPr="004D7037">
                <w:rPr>
                  <w:b/>
                  <w:sz w:val="16"/>
                </w:rPr>
                <w:t xml:space="preserve">, </w:t>
              </w:r>
              <w:smartTag w:uri="urn:schemas-microsoft-com:office:smarttags" w:element="City">
                <w:r w:rsidR="005A0A26" w:rsidRPr="004D7037">
                  <w:rPr>
                    <w:b/>
                    <w:sz w:val="16"/>
                  </w:rPr>
                  <w:t xml:space="preserve">WA  </w:t>
                </w:r>
                <w:r w:rsidR="005A0A26" w:rsidRPr="004D7037">
                  <w:rPr>
                    <w:b/>
                    <w:sz w:val="16"/>
                  </w:rPr>
                  <w:tab/>
                  <w:t xml:space="preserve">   </w:t>
                </w:r>
                <w:bookmarkStart w:id="5" w:name="Check4"/>
                <w:r w:rsidRPr="004D7037">
                  <w:rPr>
                    <w:b/>
                    <w:sz w:val="16"/>
                  </w:rPr>
                  <w:fldChar w:fldCharType="begin">
                    <w:ffData>
                      <w:name w:val="Check4"/>
                      <w:enabled/>
                      <w:calcOnExit w:val="0"/>
                      <w:checkBox>
                        <w:sizeAuto/>
                        <w:default w:val="0"/>
                      </w:checkBox>
                    </w:ffData>
                  </w:fldChar>
                </w:r>
                <w:r w:rsidR="005A0A26" w:rsidRPr="004D7037">
                  <w:rPr>
                    <w:b/>
                    <w:sz w:val="16"/>
                  </w:rPr>
                  <w:instrText xml:space="preserve"> FORMCHECKBOX </w:instrText>
                </w:r>
                <w:r>
                  <w:rPr>
                    <w:b/>
                    <w:sz w:val="16"/>
                  </w:rPr>
                </w:r>
                <w:r>
                  <w:rPr>
                    <w:b/>
                    <w:sz w:val="16"/>
                  </w:rPr>
                  <w:fldChar w:fldCharType="separate"/>
                </w:r>
                <w:r w:rsidRPr="004D7037">
                  <w:rPr>
                    <w:b/>
                    <w:sz w:val="16"/>
                  </w:rPr>
                  <w:fldChar w:fldCharType="end"/>
                </w:r>
                <w:bookmarkEnd w:id="5"/>
                <w:r w:rsidR="005A0A26" w:rsidRPr="004D7037">
                  <w:rPr>
                    <w:b/>
                    <w:sz w:val="16"/>
                  </w:rPr>
                  <w:t xml:space="preserve"> St. Anthony Hospital Gig Harbor</w:t>
                </w:r>
              </w:smartTag>
              <w:r w:rsidR="005A0A26" w:rsidRPr="004D7037">
                <w:rPr>
                  <w:b/>
                  <w:sz w:val="16"/>
                </w:rPr>
                <w:t xml:space="preserve">, </w:t>
              </w:r>
              <w:smartTag w:uri="urn:schemas-microsoft-com:office:smarttags" w:element="State">
                <w:r w:rsidR="005A0A26" w:rsidRPr="004D7037">
                  <w:rPr>
                    <w:b/>
                    <w:sz w:val="16"/>
                  </w:rPr>
                  <w:t>WA</w:t>
                </w:r>
              </w:smartTag>
            </w:smartTag>
            <w:r w:rsidR="005A0A26" w:rsidRPr="004D7037">
              <w:rPr>
                <w:b/>
                <w:sz w:val="16"/>
              </w:rPr>
              <w:tab/>
              <w:t xml:space="preserve">     </w:t>
            </w:r>
            <w:bookmarkStart w:id="6" w:name="Check8"/>
            <w:r w:rsidRPr="004D7037">
              <w:rPr>
                <w:b/>
                <w:sz w:val="16"/>
              </w:rPr>
              <w:fldChar w:fldCharType="begin">
                <w:ffData>
                  <w:name w:val="Check8"/>
                  <w:enabled/>
                  <w:calcOnExit w:val="0"/>
                  <w:checkBox>
                    <w:sizeAuto/>
                    <w:default w:val="0"/>
                  </w:checkBox>
                </w:ffData>
              </w:fldChar>
            </w:r>
            <w:r w:rsidR="005A0A26" w:rsidRPr="004D7037">
              <w:rPr>
                <w:b/>
                <w:sz w:val="16"/>
              </w:rPr>
              <w:instrText xml:space="preserve"> FORMCHECKBOX </w:instrText>
            </w:r>
            <w:r>
              <w:rPr>
                <w:b/>
                <w:sz w:val="16"/>
              </w:rPr>
            </w:r>
            <w:r>
              <w:rPr>
                <w:b/>
                <w:sz w:val="16"/>
              </w:rPr>
              <w:fldChar w:fldCharType="separate"/>
            </w:r>
            <w:r w:rsidRPr="004D7037">
              <w:rPr>
                <w:b/>
                <w:sz w:val="16"/>
              </w:rPr>
              <w:fldChar w:fldCharType="end"/>
            </w:r>
            <w:bookmarkEnd w:id="6"/>
            <w:r w:rsidR="005A0A26" w:rsidRPr="004D7037">
              <w:rPr>
                <w:b/>
                <w:sz w:val="16"/>
              </w:rPr>
              <w:t xml:space="preserve"> PSC</w:t>
            </w:r>
          </w:p>
        </w:tc>
      </w:tr>
    </w:tbl>
    <w:p w:rsidR="005A0A26" w:rsidRDefault="005A0A26" w:rsidP="003379D9">
      <w:pPr>
        <w:pStyle w:val="DOC-BodyText"/>
      </w:pPr>
    </w:p>
    <w:p w:rsidR="005A0A26" w:rsidRPr="003D6EDF" w:rsidRDefault="005A0A26" w:rsidP="003379D9">
      <w:pPr>
        <w:pStyle w:val="DOC-BodyText"/>
        <w:rPr>
          <w:b/>
        </w:rPr>
      </w:pPr>
      <w:r w:rsidRPr="003D6EDF">
        <w:rPr>
          <w:b/>
        </w:rPr>
        <w:t>PURPOSE</w:t>
      </w:r>
    </w:p>
    <w:p w:rsidR="005A0A26" w:rsidRDefault="005A0A26" w:rsidP="003379D9">
      <w:pPr>
        <w:pStyle w:val="DOC-BodyText"/>
      </w:pPr>
    </w:p>
    <w:p w:rsidR="005A0A26" w:rsidRDefault="005A0A26" w:rsidP="003379D9">
      <w:pPr>
        <w:pStyle w:val="DOC-BodyText"/>
      </w:pPr>
      <w:r>
        <w:t xml:space="preserve">This procedure provides instructions for </w:t>
      </w:r>
      <w:r w:rsidRPr="003379D9">
        <w:t xml:space="preserve">the quantitative determination of fibrinogen, based on the </w:t>
      </w:r>
      <w:proofErr w:type="spellStart"/>
      <w:r w:rsidRPr="003379D9">
        <w:t>Clauss</w:t>
      </w:r>
      <w:proofErr w:type="spellEnd"/>
      <w:r w:rsidRPr="003379D9">
        <w:t xml:space="preserve"> method, in human citrated plasma on the </w:t>
      </w:r>
      <w:r w:rsidR="005B3C68" w:rsidRPr="00BE7F7C">
        <w:rPr>
          <w:rFonts w:cs="Tahoma"/>
          <w:color w:val="000000"/>
        </w:rPr>
        <w:t>ACL TOP Family</w:t>
      </w:r>
      <w:r w:rsidR="005B3C68">
        <w:rPr>
          <w:rFonts w:cs="Tahoma"/>
          <w:color w:val="000000"/>
        </w:rPr>
        <w:t xml:space="preserve"> </w:t>
      </w:r>
      <w:r w:rsidR="00303924">
        <w:rPr>
          <w:rFonts w:cs="Tahoma"/>
          <w:color w:val="000000"/>
        </w:rPr>
        <w:t>a</w:t>
      </w:r>
      <w:r w:rsidR="005B3C68">
        <w:rPr>
          <w:rFonts w:cs="Tahoma"/>
          <w:color w:val="000000"/>
        </w:rPr>
        <w:t>nalyzers</w:t>
      </w:r>
      <w:r w:rsidR="005B3C68" w:rsidRPr="00C015DB">
        <w:rPr>
          <w:bCs/>
        </w:rPr>
        <w:t>.</w:t>
      </w:r>
      <w:r>
        <w:tab/>
      </w:r>
    </w:p>
    <w:p w:rsidR="005A0A26" w:rsidRDefault="005A0A26" w:rsidP="003379D9">
      <w:pPr>
        <w:pStyle w:val="DOC-BodyText"/>
        <w:rPr>
          <w:b/>
        </w:rPr>
      </w:pPr>
    </w:p>
    <w:p w:rsidR="005A0A26" w:rsidRDefault="005A0A26" w:rsidP="003379D9">
      <w:pPr>
        <w:pStyle w:val="DOC-BodyText"/>
        <w:rPr>
          <w:b/>
        </w:rPr>
      </w:pPr>
    </w:p>
    <w:p w:rsidR="005A0A26" w:rsidRPr="003D6EDF" w:rsidRDefault="005A0A26" w:rsidP="003379D9">
      <w:pPr>
        <w:pStyle w:val="DOC-BodyText"/>
        <w:rPr>
          <w:b/>
        </w:rPr>
      </w:pPr>
      <w:r>
        <w:rPr>
          <w:b/>
        </w:rPr>
        <w:t>PRINCIPLES</w:t>
      </w:r>
    </w:p>
    <w:p w:rsidR="005A0A26" w:rsidRDefault="005A0A26" w:rsidP="003379D9">
      <w:pPr>
        <w:pStyle w:val="DOC-BodyText"/>
      </w:pPr>
    </w:p>
    <w:p w:rsidR="005A0A26" w:rsidRDefault="005A0A26" w:rsidP="00E61C94">
      <w:pPr>
        <w:pStyle w:val="DOC-BodyText"/>
        <w:rPr>
          <w:rFonts w:cs="Tahoma"/>
          <w:color w:val="000000"/>
        </w:rPr>
      </w:pPr>
      <w:r w:rsidRPr="00E61C94">
        <w:rPr>
          <w:rFonts w:cs="Tahoma"/>
          <w:color w:val="000000"/>
        </w:rPr>
        <w:t xml:space="preserve">In 1957 </w:t>
      </w:r>
      <w:proofErr w:type="spellStart"/>
      <w:r w:rsidRPr="00E61C94">
        <w:rPr>
          <w:rFonts w:cs="Tahoma"/>
          <w:color w:val="000000"/>
        </w:rPr>
        <w:t>Clauss</w:t>
      </w:r>
      <w:proofErr w:type="spellEnd"/>
      <w:r w:rsidRPr="00E61C94">
        <w:rPr>
          <w:rFonts w:cs="Tahoma"/>
          <w:color w:val="000000"/>
        </w:rPr>
        <w:t xml:space="preserve"> developed a quantitative assay using thrombin to measure fibrinogen in plasma. In</w:t>
      </w:r>
      <w:r>
        <w:rPr>
          <w:rFonts w:cs="Tahoma"/>
          <w:color w:val="000000"/>
        </w:rPr>
        <w:t xml:space="preserve"> </w:t>
      </w:r>
      <w:r w:rsidRPr="00E61C94">
        <w:rPr>
          <w:rFonts w:cs="Tahoma"/>
          <w:color w:val="000000"/>
        </w:rPr>
        <w:t>this procedure an excess of thrombin is added to diluted plasma and the resulting clotting time value</w:t>
      </w:r>
      <w:r w:rsidR="00F9579D">
        <w:rPr>
          <w:rFonts w:cs="Tahoma"/>
          <w:color w:val="000000"/>
        </w:rPr>
        <w:t xml:space="preserve"> </w:t>
      </w:r>
      <w:r>
        <w:rPr>
          <w:rFonts w:cs="Tahoma"/>
          <w:color w:val="000000"/>
        </w:rPr>
        <w:t>is measured.</w:t>
      </w:r>
      <w:r w:rsidRPr="00E61C94">
        <w:rPr>
          <w:rFonts w:cs="Tahoma"/>
          <w:color w:val="000000"/>
        </w:rPr>
        <w:t xml:space="preserve"> The log of the clotting time value is inversely proportion</w:t>
      </w:r>
      <w:r>
        <w:rPr>
          <w:rFonts w:cs="Tahoma"/>
          <w:color w:val="000000"/>
        </w:rPr>
        <w:t xml:space="preserve">al to the log of the fibrinogen </w:t>
      </w:r>
      <w:r w:rsidRPr="00E61C94">
        <w:rPr>
          <w:rFonts w:cs="Tahoma"/>
          <w:color w:val="000000"/>
        </w:rPr>
        <w:t>concentration</w:t>
      </w:r>
      <w:r>
        <w:rPr>
          <w:rFonts w:cs="Tahoma"/>
          <w:color w:val="000000"/>
        </w:rPr>
        <w:t>.</w:t>
      </w:r>
    </w:p>
    <w:p w:rsidR="005A0A26" w:rsidRDefault="005A0A26" w:rsidP="003379D9">
      <w:pPr>
        <w:pStyle w:val="DOC-BodyText"/>
      </w:pPr>
    </w:p>
    <w:p w:rsidR="005A0A26" w:rsidRDefault="005A0A26" w:rsidP="003379D9">
      <w:pPr>
        <w:pStyle w:val="DOC-BodyText"/>
        <w:rPr>
          <w:b/>
        </w:rPr>
      </w:pPr>
      <w:r w:rsidRPr="00660CE6">
        <w:rPr>
          <w:b/>
        </w:rPr>
        <w:t>BACKGROUND</w:t>
      </w:r>
    </w:p>
    <w:p w:rsidR="005A0A26" w:rsidRDefault="005A0A26" w:rsidP="003379D9">
      <w:pPr>
        <w:pStyle w:val="DOC-BodyText"/>
        <w:rPr>
          <w:b/>
        </w:rPr>
      </w:pPr>
    </w:p>
    <w:p w:rsidR="005A0A26" w:rsidRDefault="005A0A26" w:rsidP="003379D9">
      <w:pPr>
        <w:pStyle w:val="DOC-BodyText"/>
        <w:rPr>
          <w:b/>
        </w:rPr>
      </w:pPr>
      <w:r>
        <w:rPr>
          <w:b/>
        </w:rPr>
        <w:t>Clinical Significance</w:t>
      </w:r>
    </w:p>
    <w:p w:rsidR="005A0A26" w:rsidRDefault="005A0A26" w:rsidP="003379D9">
      <w:pPr>
        <w:pStyle w:val="DOC-BodyText"/>
        <w:rPr>
          <w:rFonts w:cs="Tahoma"/>
          <w:color w:val="000000"/>
        </w:rPr>
      </w:pPr>
    </w:p>
    <w:p w:rsidR="005A0A26" w:rsidRDefault="005A0A26" w:rsidP="00E61C94">
      <w:pPr>
        <w:pStyle w:val="DOC-BodyText"/>
        <w:rPr>
          <w:rFonts w:cs="Tahoma"/>
          <w:color w:val="000000"/>
        </w:rPr>
      </w:pPr>
      <w:r w:rsidRPr="00E61C94">
        <w:rPr>
          <w:rFonts w:cs="Tahoma"/>
          <w:color w:val="000000"/>
        </w:rPr>
        <w:t>When unexplained bleeding or abnormal clotting occurs it may be of clinical importance to quantitate</w:t>
      </w:r>
      <w:r>
        <w:rPr>
          <w:rFonts w:cs="Tahoma"/>
          <w:color w:val="000000"/>
        </w:rPr>
        <w:t xml:space="preserve"> fibrinogen.</w:t>
      </w:r>
      <w:r w:rsidRPr="00E61C94">
        <w:rPr>
          <w:rFonts w:cs="Tahoma"/>
          <w:color w:val="000000"/>
        </w:rPr>
        <w:t xml:space="preserve"> Fibrinogen is also a useful marker in the evaluation of several disease states including</w:t>
      </w:r>
      <w:r>
        <w:rPr>
          <w:rFonts w:cs="Tahoma"/>
          <w:color w:val="000000"/>
        </w:rPr>
        <w:t xml:space="preserve"> </w:t>
      </w:r>
      <w:r w:rsidRPr="00E61C94">
        <w:rPr>
          <w:rFonts w:cs="Tahoma"/>
          <w:color w:val="000000"/>
        </w:rPr>
        <w:t>Disseminated Intravascular Coagulation, liver disease and inflammatory diseases.</w:t>
      </w:r>
    </w:p>
    <w:p w:rsidR="005A0A26" w:rsidRDefault="005A0A26" w:rsidP="00E61C94">
      <w:pPr>
        <w:pStyle w:val="DOC-BodyText"/>
      </w:pPr>
    </w:p>
    <w:p w:rsidR="005A0A26" w:rsidRPr="004D5146" w:rsidRDefault="005A0A26" w:rsidP="003379D9">
      <w:pPr>
        <w:pStyle w:val="DOC-BodyText"/>
        <w:rPr>
          <w:b/>
        </w:rPr>
      </w:pPr>
      <w:r w:rsidRPr="004D5146">
        <w:rPr>
          <w:b/>
        </w:rPr>
        <w:t>Methodology</w:t>
      </w:r>
    </w:p>
    <w:p w:rsidR="005A0A26" w:rsidRDefault="005A0A26" w:rsidP="003379D9">
      <w:pPr>
        <w:pStyle w:val="DOC-BodyText"/>
      </w:pPr>
    </w:p>
    <w:p w:rsidR="005A0A26" w:rsidRDefault="005A0A26" w:rsidP="003379D9">
      <w:pPr>
        <w:pStyle w:val="DOC-BodyText"/>
      </w:pPr>
      <w:r w:rsidRPr="005A159B">
        <w:rPr>
          <w:rFonts w:cs="Tahoma"/>
          <w:bCs/>
        </w:rPr>
        <w:t>The fibrinogen in the diluted test sample is converted to fibrin by the addition of an excess of thrombin and the resulting clotting time value is measured. The log of the clotting time value is inversely proportional to the log of the fibrinogen concentration. A fibrinogen reference curve is plotted from the clotting time results of the known referenced plasma dilutions having different fibrinogen values. The concentration of fibrinogen in patient plasma samples is determined by comparing clotting time values to the reference curve.</w:t>
      </w:r>
      <w:r w:rsidRPr="00660CE6">
        <w:t xml:space="preserve"> </w:t>
      </w:r>
    </w:p>
    <w:p w:rsidR="005A0A26" w:rsidRPr="004D5146" w:rsidRDefault="005A0A26" w:rsidP="003379D9">
      <w:pPr>
        <w:pStyle w:val="DOC-BodyText"/>
      </w:pPr>
    </w:p>
    <w:p w:rsidR="005A0A26" w:rsidRDefault="005A0A26" w:rsidP="003379D9">
      <w:pPr>
        <w:pStyle w:val="DOC-BodyText"/>
        <w:rPr>
          <w:b/>
          <w:bCs/>
        </w:rPr>
      </w:pPr>
      <w:r>
        <w:rPr>
          <w:b/>
          <w:bCs/>
        </w:rPr>
        <w:t>RELATED DOCUMENTS</w:t>
      </w:r>
    </w:p>
    <w:p w:rsidR="005A0A26" w:rsidRDefault="005A0A26" w:rsidP="003379D9">
      <w:pPr>
        <w:pStyle w:val="DOC-BodyText"/>
        <w:rPr>
          <w:b/>
          <w:bCs/>
        </w:rPr>
      </w:pPr>
    </w:p>
    <w:p w:rsidR="005A0A26" w:rsidRDefault="005A0A26" w:rsidP="003379D9">
      <w:pPr>
        <w:autoSpaceDE w:val="0"/>
        <w:autoSpaceDN w:val="0"/>
        <w:adjustRightInd w:val="0"/>
        <w:spacing w:after="0" w:line="240" w:lineRule="auto"/>
        <w:rPr>
          <w:rFonts w:ascii="Arial" w:hAnsi="Arial" w:cs="Arial"/>
        </w:rPr>
      </w:pPr>
      <w:r>
        <w:rPr>
          <w:rFonts w:ascii="Arial" w:hAnsi="Arial" w:cs="Arial"/>
        </w:rPr>
        <w:t xml:space="preserve">R-PO-CH-0810 </w:t>
      </w:r>
      <w:r>
        <w:rPr>
          <w:rFonts w:ascii="Arial" w:hAnsi="Arial" w:cs="Arial"/>
        </w:rPr>
        <w:tab/>
      </w:r>
      <w:r>
        <w:rPr>
          <w:rFonts w:ascii="Arial" w:hAnsi="Arial" w:cs="Arial"/>
        </w:rPr>
        <w:tab/>
        <w:t>Quality Control Program General Laboratory</w:t>
      </w:r>
    </w:p>
    <w:p w:rsidR="005A0A26" w:rsidRDefault="005A0A26" w:rsidP="003379D9">
      <w:pPr>
        <w:autoSpaceDE w:val="0"/>
        <w:autoSpaceDN w:val="0"/>
        <w:adjustRightInd w:val="0"/>
        <w:spacing w:after="0" w:line="240" w:lineRule="auto"/>
        <w:rPr>
          <w:rFonts w:ascii="Arial" w:hAnsi="Arial" w:cs="Arial"/>
        </w:rPr>
      </w:pPr>
      <w:r>
        <w:rPr>
          <w:rFonts w:ascii="Arial" w:hAnsi="Arial" w:cs="Arial"/>
        </w:rPr>
        <w:t>R-PO-CH-0809</w:t>
      </w:r>
      <w:r>
        <w:rPr>
          <w:rFonts w:ascii="Arial" w:hAnsi="Arial" w:cs="Arial"/>
        </w:rPr>
        <w:tab/>
      </w:r>
      <w:r>
        <w:rPr>
          <w:rFonts w:ascii="Arial" w:hAnsi="Arial" w:cs="Arial"/>
        </w:rPr>
        <w:tab/>
        <w:t>Quality Control Westgard Rules Statistics</w:t>
      </w:r>
    </w:p>
    <w:p w:rsidR="005A0A26" w:rsidRPr="00C45D6B" w:rsidRDefault="005A0A26" w:rsidP="003379D9">
      <w:pPr>
        <w:pStyle w:val="DOC-BodyText"/>
        <w:rPr>
          <w:bCs/>
        </w:rPr>
      </w:pPr>
      <w:r>
        <w:rPr>
          <w:bCs/>
        </w:rPr>
        <w:t>R-W-CG-</w:t>
      </w:r>
      <w:r w:rsidR="00B10FB4">
        <w:rPr>
          <w:bCs/>
        </w:rPr>
        <w:t>2300</w:t>
      </w:r>
      <w:r>
        <w:rPr>
          <w:bCs/>
        </w:rPr>
        <w:tab/>
      </w:r>
      <w:r>
        <w:rPr>
          <w:bCs/>
        </w:rPr>
        <w:tab/>
        <w:t>Coagulation-Specimen Integrity</w:t>
      </w:r>
    </w:p>
    <w:p w:rsidR="005A0A26" w:rsidRDefault="005A0A26" w:rsidP="003379D9">
      <w:pPr>
        <w:pStyle w:val="DOC-BodyText"/>
        <w:rPr>
          <w:b/>
          <w:bCs/>
        </w:rPr>
      </w:pPr>
      <w:r>
        <w:rPr>
          <w:rFonts w:cs="Arial"/>
        </w:rPr>
        <w:t xml:space="preserve">R-PR-AD-0540 </w:t>
      </w:r>
      <w:r>
        <w:rPr>
          <w:rFonts w:cs="Arial"/>
        </w:rPr>
        <w:tab/>
      </w:r>
      <w:r>
        <w:rPr>
          <w:rFonts w:cs="Arial"/>
        </w:rPr>
        <w:tab/>
        <w:t>Specimen Rejection/Cancellation Protocol</w:t>
      </w:r>
    </w:p>
    <w:p w:rsidR="005A0A26" w:rsidRDefault="005A0A26" w:rsidP="003379D9">
      <w:pPr>
        <w:pStyle w:val="DOC-BodyText"/>
        <w:rPr>
          <w:bCs/>
        </w:rPr>
      </w:pPr>
      <w:r w:rsidRPr="00675A1E">
        <w:rPr>
          <w:bCs/>
        </w:rPr>
        <w:t>R-F-CG-</w:t>
      </w:r>
      <w:r w:rsidR="00B10FB4">
        <w:rPr>
          <w:rFonts w:cs="Arial"/>
          <w:bCs/>
          <w:szCs w:val="22"/>
        </w:rPr>
        <w:t>1130</w:t>
      </w:r>
      <w:r w:rsidRPr="00675A1E">
        <w:rPr>
          <w:bCs/>
        </w:rPr>
        <w:tab/>
      </w:r>
      <w:r w:rsidRPr="00675A1E">
        <w:rPr>
          <w:bCs/>
        </w:rPr>
        <w:tab/>
      </w:r>
      <w:r w:rsidR="00CE4C89">
        <w:rPr>
          <w:bCs/>
        </w:rPr>
        <w:t>ACL TOP</w:t>
      </w:r>
      <w:r w:rsidR="00EA0A55">
        <w:rPr>
          <w:bCs/>
        </w:rPr>
        <w:t xml:space="preserve"> </w:t>
      </w:r>
      <w:r w:rsidR="00CE4C89">
        <w:rPr>
          <w:bCs/>
        </w:rPr>
        <w:t xml:space="preserve">- </w:t>
      </w:r>
      <w:r>
        <w:rPr>
          <w:bCs/>
        </w:rPr>
        <w:t xml:space="preserve">Reagent Stability and Reconstitution </w:t>
      </w:r>
    </w:p>
    <w:p w:rsidR="003E067B" w:rsidRDefault="003E067B" w:rsidP="003E067B">
      <w:pPr>
        <w:pStyle w:val="DOC-BodyText"/>
        <w:rPr>
          <w:bCs/>
        </w:rPr>
      </w:pPr>
      <w:r>
        <w:rPr>
          <w:bCs/>
        </w:rPr>
        <w:t>R-W-CG-2090</w:t>
      </w:r>
      <w:r>
        <w:rPr>
          <w:bCs/>
        </w:rPr>
        <w:tab/>
      </w:r>
      <w:r>
        <w:rPr>
          <w:bCs/>
        </w:rPr>
        <w:tab/>
      </w:r>
      <w:r w:rsidR="00CE4C89">
        <w:rPr>
          <w:bCs/>
        </w:rPr>
        <w:t>ACL TOP</w:t>
      </w:r>
      <w:r w:rsidR="00EA0A55">
        <w:rPr>
          <w:bCs/>
        </w:rPr>
        <w:t xml:space="preserve"> </w:t>
      </w:r>
      <w:r w:rsidR="00CE4C89">
        <w:rPr>
          <w:bCs/>
        </w:rPr>
        <w:t xml:space="preserve">- </w:t>
      </w:r>
      <w:r>
        <w:rPr>
          <w:bCs/>
        </w:rPr>
        <w:t>Sample Analysis-Barcoded Specimens</w:t>
      </w:r>
    </w:p>
    <w:p w:rsidR="003E067B" w:rsidRDefault="003E067B" w:rsidP="003E067B">
      <w:pPr>
        <w:pStyle w:val="DOC-BodyText"/>
        <w:rPr>
          <w:bCs/>
        </w:rPr>
      </w:pPr>
      <w:r>
        <w:rPr>
          <w:bCs/>
        </w:rPr>
        <w:t>R-W-CG-2091</w:t>
      </w:r>
      <w:r>
        <w:rPr>
          <w:bCs/>
        </w:rPr>
        <w:tab/>
      </w:r>
      <w:r>
        <w:rPr>
          <w:bCs/>
        </w:rPr>
        <w:tab/>
      </w:r>
      <w:r w:rsidR="00CE4C89">
        <w:rPr>
          <w:bCs/>
        </w:rPr>
        <w:t>ACL TOP</w:t>
      </w:r>
      <w:r w:rsidR="00EA0A55">
        <w:rPr>
          <w:bCs/>
        </w:rPr>
        <w:t xml:space="preserve"> </w:t>
      </w:r>
      <w:r w:rsidR="00CE4C89">
        <w:rPr>
          <w:bCs/>
        </w:rPr>
        <w:t xml:space="preserve">- </w:t>
      </w:r>
      <w:r>
        <w:rPr>
          <w:bCs/>
        </w:rPr>
        <w:t>Sample Analysis-Non-Barcoded Specimens</w:t>
      </w:r>
    </w:p>
    <w:p w:rsidR="003E067B" w:rsidRDefault="003E067B" w:rsidP="003E067B">
      <w:pPr>
        <w:pStyle w:val="DOC-BodyText"/>
        <w:rPr>
          <w:bCs/>
        </w:rPr>
      </w:pPr>
      <w:r>
        <w:rPr>
          <w:bCs/>
        </w:rPr>
        <w:t>R-W-CG-1131</w:t>
      </w:r>
      <w:r>
        <w:rPr>
          <w:bCs/>
        </w:rPr>
        <w:tab/>
      </w:r>
      <w:r>
        <w:rPr>
          <w:bCs/>
        </w:rPr>
        <w:tab/>
      </w:r>
      <w:r w:rsidR="00CE4C89">
        <w:rPr>
          <w:bCs/>
        </w:rPr>
        <w:t>ACL TOP</w:t>
      </w:r>
      <w:r w:rsidR="00EA0A55">
        <w:rPr>
          <w:bCs/>
        </w:rPr>
        <w:t xml:space="preserve"> </w:t>
      </w:r>
      <w:r w:rsidR="00CE4C89">
        <w:rPr>
          <w:bCs/>
        </w:rPr>
        <w:t xml:space="preserve">- </w:t>
      </w:r>
      <w:r>
        <w:rPr>
          <w:bCs/>
        </w:rPr>
        <w:t>Reagent Management-Assay Reagents</w:t>
      </w:r>
    </w:p>
    <w:p w:rsidR="003E067B" w:rsidRDefault="003E067B" w:rsidP="003E067B">
      <w:pPr>
        <w:pStyle w:val="DOC-BodyText"/>
        <w:rPr>
          <w:bCs/>
        </w:rPr>
      </w:pPr>
      <w:r>
        <w:rPr>
          <w:bCs/>
        </w:rPr>
        <w:t>R-W-CG-1132</w:t>
      </w:r>
      <w:r>
        <w:rPr>
          <w:bCs/>
        </w:rPr>
        <w:tab/>
      </w:r>
      <w:r>
        <w:rPr>
          <w:bCs/>
        </w:rPr>
        <w:tab/>
      </w:r>
      <w:r w:rsidR="00CE4C89">
        <w:rPr>
          <w:bCs/>
        </w:rPr>
        <w:t>ACL TOP</w:t>
      </w:r>
      <w:r w:rsidR="00EA0A55">
        <w:rPr>
          <w:bCs/>
        </w:rPr>
        <w:t xml:space="preserve"> </w:t>
      </w:r>
      <w:r w:rsidR="00CE4C89">
        <w:rPr>
          <w:bCs/>
        </w:rPr>
        <w:t xml:space="preserve">- </w:t>
      </w:r>
      <w:r>
        <w:rPr>
          <w:bCs/>
        </w:rPr>
        <w:t>Reagent Management-Bulk Reagents</w:t>
      </w:r>
    </w:p>
    <w:p w:rsidR="003E067B" w:rsidRDefault="003E067B" w:rsidP="003E067B">
      <w:pPr>
        <w:pStyle w:val="DOC-BodyText"/>
        <w:rPr>
          <w:bCs/>
        </w:rPr>
      </w:pPr>
      <w:r>
        <w:rPr>
          <w:bCs/>
        </w:rPr>
        <w:t>R-W-CG-2200</w:t>
      </w:r>
      <w:r>
        <w:rPr>
          <w:bCs/>
        </w:rPr>
        <w:tab/>
      </w:r>
      <w:r>
        <w:rPr>
          <w:bCs/>
        </w:rPr>
        <w:tab/>
        <w:t>ACL TOP</w:t>
      </w:r>
      <w:r w:rsidR="00EA0A55">
        <w:rPr>
          <w:bCs/>
        </w:rPr>
        <w:t xml:space="preserve"> </w:t>
      </w:r>
      <w:r>
        <w:rPr>
          <w:bCs/>
        </w:rPr>
        <w:t>- QC Analysis &amp; Review</w:t>
      </w:r>
    </w:p>
    <w:p w:rsidR="00B10FB4" w:rsidRPr="00675A1E" w:rsidRDefault="00B10FB4" w:rsidP="003379D9">
      <w:pPr>
        <w:pStyle w:val="DOC-BodyText"/>
        <w:rPr>
          <w:bCs/>
        </w:rPr>
      </w:pPr>
    </w:p>
    <w:p w:rsidR="005A0A26" w:rsidRDefault="005A0A26" w:rsidP="003379D9">
      <w:pPr>
        <w:pStyle w:val="DOC-BodyText"/>
        <w:rPr>
          <w:b/>
          <w:bCs/>
        </w:rPr>
      </w:pPr>
    </w:p>
    <w:p w:rsidR="005A0A26" w:rsidRDefault="00E50184" w:rsidP="003379D9">
      <w:pPr>
        <w:pStyle w:val="DOC-BodyText"/>
        <w:rPr>
          <w:b/>
          <w:bCs/>
        </w:rPr>
      </w:pPr>
      <w:r>
        <w:rPr>
          <w:b/>
          <w:bCs/>
        </w:rPr>
        <w:br w:type="page"/>
      </w:r>
      <w:r w:rsidR="005A0A26" w:rsidRPr="00C015DB">
        <w:rPr>
          <w:b/>
          <w:bCs/>
        </w:rPr>
        <w:lastRenderedPageBreak/>
        <w:t xml:space="preserve">SPECIMEN </w:t>
      </w:r>
    </w:p>
    <w:p w:rsidR="005A0A26" w:rsidRDefault="005A0A26" w:rsidP="003379D9">
      <w:pPr>
        <w:pStyle w:val="DOC-BodyText"/>
        <w:rPr>
          <w:b/>
          <w:bCs/>
        </w:rPr>
      </w:pPr>
    </w:p>
    <w:p w:rsidR="005A0A26" w:rsidRPr="00C015DB" w:rsidRDefault="005A0A26" w:rsidP="003379D9">
      <w:pPr>
        <w:pStyle w:val="DOC-BodyText"/>
        <w:rPr>
          <w:b/>
          <w:bCs/>
        </w:rPr>
      </w:pPr>
      <w:r>
        <w:rPr>
          <w:b/>
          <w:bCs/>
        </w:rPr>
        <w:t>Specimen Requirement</w:t>
      </w:r>
    </w:p>
    <w:p w:rsidR="005A0A26" w:rsidRPr="00C015DB" w:rsidRDefault="005A0A26" w:rsidP="003379D9">
      <w:pPr>
        <w:pStyle w:val="DOC-BodyText"/>
        <w:rPr>
          <w:bCs/>
        </w:rPr>
      </w:pPr>
    </w:p>
    <w:p w:rsidR="005A0A26" w:rsidRPr="00C015DB" w:rsidRDefault="005A0A26" w:rsidP="003379D9">
      <w:pPr>
        <w:pStyle w:val="DOC-BodyText"/>
        <w:rPr>
          <w:bCs/>
        </w:rPr>
      </w:pPr>
      <w:r w:rsidRPr="00C015DB">
        <w:rPr>
          <w:bCs/>
        </w:rPr>
        <w:t>Citrated blood (9:1 blood to anticoagulant) 3.2% sodium citrate.  Follow CLSI NCCLS guidelines H3-A5 and H21-A5.  No other anticoagulant is acceptable.</w:t>
      </w:r>
    </w:p>
    <w:p w:rsidR="005A0A26" w:rsidRPr="00C015DB" w:rsidRDefault="005A0A26" w:rsidP="003379D9">
      <w:pPr>
        <w:pStyle w:val="DOC-BodyText"/>
        <w:rPr>
          <w:b/>
          <w:bCs/>
        </w:rPr>
      </w:pPr>
    </w:p>
    <w:p w:rsidR="00E50184" w:rsidRPr="00643219" w:rsidRDefault="00E50184" w:rsidP="00E50184">
      <w:pPr>
        <w:pStyle w:val="DOC-HEADING1"/>
        <w:spacing w:line="240" w:lineRule="auto"/>
        <w:rPr>
          <w:rFonts w:cs="Arial"/>
          <w:caps w:val="0"/>
          <w:sz w:val="22"/>
          <w:szCs w:val="22"/>
        </w:rPr>
      </w:pPr>
      <w:r w:rsidRPr="00F05E25">
        <w:rPr>
          <w:rFonts w:cs="Arial"/>
          <w:caps w:val="0"/>
          <w:sz w:val="22"/>
          <w:szCs w:val="22"/>
        </w:rPr>
        <w:t>Specimen Storage and Stability</w:t>
      </w:r>
    </w:p>
    <w:p w:rsidR="005A0A26" w:rsidRPr="00C015DB" w:rsidRDefault="005A0A26" w:rsidP="003379D9">
      <w:pPr>
        <w:pStyle w:val="DOC-BodyText"/>
        <w:rPr>
          <w:b/>
          <w:bCs/>
        </w:rPr>
      </w:pPr>
    </w:p>
    <w:p w:rsidR="005A0A26" w:rsidRPr="00C015DB" w:rsidRDefault="005A0A26" w:rsidP="003379D9">
      <w:pPr>
        <w:pStyle w:val="DOC-BodyText"/>
        <w:rPr>
          <w:bCs/>
        </w:rPr>
      </w:pPr>
      <w:r w:rsidRPr="00C015DB">
        <w:rPr>
          <w:bCs/>
        </w:rPr>
        <w:t xml:space="preserve">Specimen is stable for 2 hours at room temperature (20 +/- 5º C).  If unable to complete testing in 2 hours, freeze at -20º C.  Frozen plasma should be thawed only once at 37º C for 5 minutes.  </w:t>
      </w:r>
    </w:p>
    <w:p w:rsidR="005A0A26" w:rsidRPr="00C015DB" w:rsidRDefault="005A0A26" w:rsidP="003379D9">
      <w:pPr>
        <w:pStyle w:val="DOC-BodyText"/>
        <w:rPr>
          <w:b/>
          <w:bCs/>
        </w:rPr>
      </w:pPr>
    </w:p>
    <w:p w:rsidR="005A0A26" w:rsidRPr="00C015DB" w:rsidRDefault="005A0A26" w:rsidP="003379D9">
      <w:pPr>
        <w:pStyle w:val="DOC-BodyText"/>
        <w:rPr>
          <w:b/>
          <w:bCs/>
        </w:rPr>
      </w:pPr>
      <w:r>
        <w:rPr>
          <w:b/>
          <w:bCs/>
        </w:rPr>
        <w:t>Specimen Handling</w:t>
      </w:r>
    </w:p>
    <w:p w:rsidR="005A0A26" w:rsidRPr="00C015DB" w:rsidRDefault="005A0A26" w:rsidP="003379D9">
      <w:pPr>
        <w:pStyle w:val="DOC-BodyText"/>
        <w:rPr>
          <w:b/>
          <w:bCs/>
        </w:rPr>
      </w:pPr>
    </w:p>
    <w:p w:rsidR="005A0A26" w:rsidRDefault="005A0A26" w:rsidP="003379D9">
      <w:pPr>
        <w:pStyle w:val="DOC-BodyText"/>
        <w:rPr>
          <w:bCs/>
        </w:rPr>
      </w:pPr>
      <w:r w:rsidRPr="00C015DB">
        <w:rPr>
          <w:bCs/>
        </w:rPr>
        <w:t xml:space="preserve">Samples that are short-filled (refer to B-D Vacutainer fill chart), over-filled or clotted should be rejected. </w:t>
      </w:r>
    </w:p>
    <w:p w:rsidR="005A0A26" w:rsidRPr="00C015DB" w:rsidRDefault="005A0A26" w:rsidP="003379D9">
      <w:pPr>
        <w:pStyle w:val="DOC-BodyText"/>
        <w:rPr>
          <w:bCs/>
        </w:rPr>
      </w:pPr>
    </w:p>
    <w:p w:rsidR="005A0A26" w:rsidRDefault="005A0A26" w:rsidP="003379D9">
      <w:pPr>
        <w:pStyle w:val="DOC-BodyText"/>
        <w:rPr>
          <w:bCs/>
        </w:rPr>
      </w:pPr>
      <w:r w:rsidRPr="00C015DB">
        <w:rPr>
          <w:bCs/>
        </w:rPr>
        <w:t>Centrifugation of sample to achieve platelet poor plasma (&lt;10,000 platelet count) is required.</w:t>
      </w:r>
    </w:p>
    <w:p w:rsidR="005A0A26" w:rsidRDefault="005A0A26" w:rsidP="003379D9">
      <w:pPr>
        <w:pStyle w:val="DOC-BodyText"/>
        <w:rPr>
          <w:bCs/>
        </w:rPr>
      </w:pPr>
    </w:p>
    <w:p w:rsidR="005A0A26" w:rsidRDefault="005A0A26" w:rsidP="003379D9">
      <w:pPr>
        <w:pStyle w:val="DOC-BodyText"/>
        <w:rPr>
          <w:bCs/>
        </w:rPr>
      </w:pPr>
    </w:p>
    <w:p w:rsidR="005A0A26" w:rsidRPr="00D36868" w:rsidRDefault="005A0A26" w:rsidP="003379D9">
      <w:pPr>
        <w:pStyle w:val="DOC-BodyText"/>
        <w:rPr>
          <w:b/>
          <w:bCs/>
        </w:rPr>
      </w:pPr>
      <w:r w:rsidRPr="00D36868">
        <w:rPr>
          <w:b/>
          <w:bCs/>
        </w:rPr>
        <w:t>REAGENTS</w:t>
      </w:r>
    </w:p>
    <w:p w:rsidR="005A0A26" w:rsidRDefault="005A0A26" w:rsidP="003379D9">
      <w:pPr>
        <w:pStyle w:val="DOC-BodyText"/>
      </w:pPr>
    </w:p>
    <w:p w:rsidR="005A0A26" w:rsidRPr="00675A1E" w:rsidRDefault="005A0A26" w:rsidP="003379D9">
      <w:pPr>
        <w:pStyle w:val="DOC-BodyText"/>
        <w:rPr>
          <w:b/>
        </w:rPr>
      </w:pPr>
      <w:r w:rsidRPr="00675A1E">
        <w:rPr>
          <w:b/>
        </w:rPr>
        <w:t>Contents of Kit</w:t>
      </w:r>
    </w:p>
    <w:p w:rsidR="003E067B" w:rsidRDefault="003E067B" w:rsidP="003379D9">
      <w:pPr>
        <w:pStyle w:val="DOC-BodyText"/>
      </w:pPr>
    </w:p>
    <w:p w:rsidR="005A0A26" w:rsidRDefault="005A0A26" w:rsidP="003379D9">
      <w:pPr>
        <w:pStyle w:val="DOC-BodyText"/>
      </w:pPr>
      <w:r>
        <w:t xml:space="preserve">The </w:t>
      </w:r>
      <w:r w:rsidRPr="00E61C94">
        <w:t>Q.F.A. Thrombin (Bovine)</w:t>
      </w:r>
      <w:r>
        <w:t xml:space="preserve"> kit consists of:</w:t>
      </w:r>
    </w:p>
    <w:p w:rsidR="005A0A26" w:rsidRDefault="005A0A26" w:rsidP="003379D9">
      <w:pPr>
        <w:pStyle w:val="DOC-BodyText"/>
        <w:ind w:left="720"/>
      </w:pPr>
    </w:p>
    <w:p w:rsidR="00A03A52" w:rsidRDefault="005A0A26" w:rsidP="00A03A52">
      <w:pPr>
        <w:pStyle w:val="DOC-BodyText"/>
        <w:numPr>
          <w:ilvl w:val="0"/>
          <w:numId w:val="1"/>
        </w:numPr>
        <w:ind w:left="720"/>
      </w:pPr>
      <w:r w:rsidRPr="0046017D">
        <w:rPr>
          <w:rFonts w:cs="Tahoma"/>
          <w:b/>
        </w:rPr>
        <w:t>Q.F.A. Thrombin (Bovine)</w:t>
      </w:r>
      <w:r w:rsidRPr="00E61C94">
        <w:rPr>
          <w:rFonts w:cs="Tahoma"/>
        </w:rPr>
        <w:t>:</w:t>
      </w:r>
      <w:r w:rsidRPr="005A159B">
        <w:rPr>
          <w:rFonts w:cs="Tahoma"/>
        </w:rPr>
        <w:t xml:space="preserve"> 10 x </w:t>
      </w:r>
      <w:r w:rsidR="005B3C68">
        <w:rPr>
          <w:rFonts w:cs="Tahoma"/>
        </w:rPr>
        <w:t>2</w:t>
      </w:r>
      <w:r w:rsidRPr="005A159B">
        <w:rPr>
          <w:rFonts w:cs="Tahoma"/>
        </w:rPr>
        <w:t xml:space="preserve"> mL vials of lyophilized bovine thrombin (approx 100 UNIH/mL) containing buffer, an </w:t>
      </w:r>
      <w:proofErr w:type="spellStart"/>
      <w:r w:rsidRPr="005A159B">
        <w:rPr>
          <w:rFonts w:cs="Tahoma"/>
        </w:rPr>
        <w:t>antiheparin</w:t>
      </w:r>
      <w:proofErr w:type="spellEnd"/>
      <w:r w:rsidRPr="005A159B">
        <w:rPr>
          <w:rFonts w:cs="Tahoma"/>
        </w:rPr>
        <w:t xml:space="preserve"> agent and a preservative</w:t>
      </w:r>
      <w:r>
        <w:rPr>
          <w:rFonts w:cs="Tahoma"/>
        </w:rPr>
        <w:t>.</w:t>
      </w:r>
    </w:p>
    <w:p w:rsidR="00A03A52" w:rsidRDefault="00A03A52" w:rsidP="00A03A52">
      <w:pPr>
        <w:pStyle w:val="DOC-BodyText"/>
        <w:ind w:left="720"/>
      </w:pPr>
    </w:p>
    <w:p w:rsidR="00A03A52" w:rsidRPr="00EC5FCF" w:rsidRDefault="00A03A52" w:rsidP="00A03A52">
      <w:pPr>
        <w:pStyle w:val="DOC-BodyText"/>
        <w:numPr>
          <w:ilvl w:val="0"/>
          <w:numId w:val="1"/>
        </w:numPr>
        <w:ind w:left="720"/>
      </w:pPr>
      <w:r>
        <w:t>Package Insert</w:t>
      </w:r>
    </w:p>
    <w:p w:rsidR="005A0A26" w:rsidRDefault="005A0A26" w:rsidP="003379D9">
      <w:pPr>
        <w:pStyle w:val="DOC-BodyText"/>
      </w:pPr>
    </w:p>
    <w:p w:rsidR="005A0A26" w:rsidRDefault="005A0A26" w:rsidP="003379D9">
      <w:pPr>
        <w:pStyle w:val="DOC-BodyText"/>
      </w:pPr>
      <w:r w:rsidRPr="00964E56">
        <w:rPr>
          <w:b/>
        </w:rPr>
        <w:t>Reagent Preparation</w:t>
      </w:r>
      <w:r>
        <w:tab/>
      </w:r>
    </w:p>
    <w:p w:rsidR="005A0A26" w:rsidRDefault="005A0A26" w:rsidP="003379D9">
      <w:pPr>
        <w:pStyle w:val="DOC-BodyText"/>
      </w:pPr>
    </w:p>
    <w:p w:rsidR="005A0A26" w:rsidRDefault="005A0A26" w:rsidP="003379D9">
      <w:pPr>
        <w:pStyle w:val="DOC-BodyText"/>
        <w:rPr>
          <w:b/>
        </w:rPr>
      </w:pPr>
      <w:r w:rsidRPr="00E61C94">
        <w:rPr>
          <w:rFonts w:cs="Tahoma"/>
        </w:rPr>
        <w:t>Q.F.A. Thrombin (Bovine)</w:t>
      </w:r>
    </w:p>
    <w:p w:rsidR="00F851E8" w:rsidRDefault="00F851E8" w:rsidP="00F851E8">
      <w:pPr>
        <w:pStyle w:val="DOC-BodyText"/>
        <w:ind w:left="720"/>
      </w:pPr>
    </w:p>
    <w:p w:rsidR="005A0A26" w:rsidRDefault="005A0A26" w:rsidP="00E61C94">
      <w:pPr>
        <w:pStyle w:val="DOC-BodyText"/>
        <w:numPr>
          <w:ilvl w:val="0"/>
          <w:numId w:val="2"/>
        </w:numPr>
      </w:pPr>
      <w:r w:rsidRPr="004D5146">
        <w:rPr>
          <w:bCs/>
        </w:rPr>
        <w:t xml:space="preserve">Allow </w:t>
      </w:r>
      <w:r w:rsidR="001320AE">
        <w:rPr>
          <w:bCs/>
        </w:rPr>
        <w:t xml:space="preserve">the </w:t>
      </w:r>
      <w:r w:rsidRPr="004D5146">
        <w:rPr>
          <w:bCs/>
        </w:rPr>
        <w:t>vial of reagent to equilibrate at 15-25</w:t>
      </w:r>
      <w:r w:rsidR="00DD553D" w:rsidRPr="00C015DB">
        <w:rPr>
          <w:bCs/>
        </w:rPr>
        <w:t>º</w:t>
      </w:r>
      <w:r w:rsidR="00DD553D" w:rsidRPr="004D5146">
        <w:rPr>
          <w:bCs/>
        </w:rPr>
        <w:t xml:space="preserve"> </w:t>
      </w:r>
      <w:r w:rsidRPr="004D5146">
        <w:rPr>
          <w:bCs/>
        </w:rPr>
        <w:t>C for at least 15 minutes before reconstitution.</w:t>
      </w:r>
      <w:r w:rsidRPr="004D5146">
        <w:t xml:space="preserve"> </w:t>
      </w:r>
    </w:p>
    <w:p w:rsidR="005A0A26" w:rsidRPr="00E61C94" w:rsidRDefault="005A0A26" w:rsidP="00E61C94">
      <w:pPr>
        <w:pStyle w:val="DOC-BodyText"/>
        <w:ind w:left="720"/>
      </w:pPr>
    </w:p>
    <w:p w:rsidR="005A0A26" w:rsidRPr="00E61C94" w:rsidRDefault="005A0A26" w:rsidP="00E61C94">
      <w:pPr>
        <w:pStyle w:val="DOC-BodyText"/>
        <w:numPr>
          <w:ilvl w:val="0"/>
          <w:numId w:val="2"/>
        </w:numPr>
      </w:pPr>
      <w:r w:rsidRPr="00E61C94">
        <w:rPr>
          <w:bCs/>
        </w:rPr>
        <w:t xml:space="preserve">Dissolve the contents of each vial with </w:t>
      </w:r>
      <w:r w:rsidR="00152F13">
        <w:rPr>
          <w:bCs/>
        </w:rPr>
        <w:t>2</w:t>
      </w:r>
      <w:r w:rsidRPr="00E61C94">
        <w:rPr>
          <w:bCs/>
        </w:rPr>
        <w:t xml:space="preserve"> mL of </w:t>
      </w:r>
      <w:r>
        <w:rPr>
          <w:bCs/>
        </w:rPr>
        <w:t>NERL reagent grade</w:t>
      </w:r>
      <w:r w:rsidRPr="00E61C94">
        <w:rPr>
          <w:bCs/>
        </w:rPr>
        <w:t xml:space="preserve"> water or equivalent.. </w:t>
      </w:r>
    </w:p>
    <w:p w:rsidR="005A0A26" w:rsidRDefault="005A0A26" w:rsidP="003379D9">
      <w:pPr>
        <w:pStyle w:val="DOC-BodyText"/>
        <w:ind w:left="720"/>
        <w:rPr>
          <w:bCs/>
        </w:rPr>
      </w:pPr>
    </w:p>
    <w:p w:rsidR="005A0A26" w:rsidRDefault="005A0A26" w:rsidP="003379D9">
      <w:pPr>
        <w:pStyle w:val="DOC-BodyText"/>
        <w:numPr>
          <w:ilvl w:val="0"/>
          <w:numId w:val="2"/>
        </w:numPr>
        <w:rPr>
          <w:bCs/>
        </w:rPr>
      </w:pPr>
      <w:r w:rsidRPr="004D5146">
        <w:rPr>
          <w:bCs/>
        </w:rPr>
        <w:t xml:space="preserve">Replace the stopper and swirl gently. </w:t>
      </w:r>
    </w:p>
    <w:p w:rsidR="005A0A26" w:rsidRDefault="005A0A26" w:rsidP="003379D9">
      <w:pPr>
        <w:pStyle w:val="DOC-BodyText"/>
        <w:ind w:left="720"/>
        <w:rPr>
          <w:bCs/>
        </w:rPr>
      </w:pPr>
    </w:p>
    <w:p w:rsidR="005A0A26" w:rsidRPr="003C2245" w:rsidRDefault="005A0A26" w:rsidP="003379D9">
      <w:pPr>
        <w:pStyle w:val="DOC-BodyText"/>
        <w:numPr>
          <w:ilvl w:val="0"/>
          <w:numId w:val="2"/>
        </w:numPr>
        <w:rPr>
          <w:bCs/>
        </w:rPr>
      </w:pPr>
      <w:r w:rsidRPr="004D5146">
        <w:rPr>
          <w:bCs/>
        </w:rPr>
        <w:t xml:space="preserve">Let sit for </w:t>
      </w:r>
      <w:r>
        <w:rPr>
          <w:bCs/>
        </w:rPr>
        <w:t>30</w:t>
      </w:r>
      <w:r w:rsidRPr="004D5146">
        <w:rPr>
          <w:bCs/>
        </w:rPr>
        <w:t xml:space="preserve"> minutes at 15-25</w:t>
      </w:r>
      <w:r w:rsidR="00DD553D" w:rsidRPr="00C015DB">
        <w:rPr>
          <w:bCs/>
        </w:rPr>
        <w:t>º</w:t>
      </w:r>
      <w:r w:rsidR="00DD553D" w:rsidRPr="004D5146">
        <w:rPr>
          <w:bCs/>
        </w:rPr>
        <w:t xml:space="preserve"> </w:t>
      </w:r>
      <w:r w:rsidRPr="004D5146">
        <w:rPr>
          <w:bCs/>
        </w:rPr>
        <w:t>C and invert to mix before use.</w:t>
      </w:r>
    </w:p>
    <w:p w:rsidR="005A0A26" w:rsidRDefault="005A0A26" w:rsidP="003379D9">
      <w:pPr>
        <w:pStyle w:val="DOC-BodyText"/>
      </w:pPr>
    </w:p>
    <w:p w:rsidR="005A0A26" w:rsidRDefault="005A0A26" w:rsidP="003379D9">
      <w:pPr>
        <w:pStyle w:val="DOC-BodyText"/>
      </w:pPr>
      <w:r w:rsidRPr="00964E56">
        <w:rPr>
          <w:b/>
        </w:rPr>
        <w:t>Reagent Storage and Stability</w:t>
      </w:r>
    </w:p>
    <w:p w:rsidR="005A0A26" w:rsidRDefault="005A0A26" w:rsidP="003379D9">
      <w:pPr>
        <w:pStyle w:val="DOC-BodyText"/>
      </w:pPr>
      <w:r>
        <w:br/>
        <w:t>Unopened reagents are stable until the expiration date shown on the vial when stored at 2-8</w:t>
      </w:r>
      <w:r w:rsidR="00DD553D" w:rsidRPr="00C015DB">
        <w:rPr>
          <w:bCs/>
        </w:rPr>
        <w:t>º</w:t>
      </w:r>
      <w:r>
        <w:t>C.</w:t>
      </w:r>
    </w:p>
    <w:p w:rsidR="005A0A26" w:rsidRDefault="005A0A26" w:rsidP="003379D9">
      <w:pPr>
        <w:pStyle w:val="DOC-BodyText"/>
      </w:pPr>
    </w:p>
    <w:p w:rsidR="00305FED" w:rsidRDefault="00305FED" w:rsidP="003379D9">
      <w:pPr>
        <w:pStyle w:val="DOC-BodyTex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A0"/>
      </w:tblPr>
      <w:tblGrid>
        <w:gridCol w:w="5508"/>
        <w:gridCol w:w="5508"/>
      </w:tblGrid>
      <w:tr w:rsidR="005A0A26" w:rsidTr="00F24656">
        <w:tc>
          <w:tcPr>
            <w:tcW w:w="11016" w:type="dxa"/>
            <w:gridSpan w:val="2"/>
            <w:tcBorders>
              <w:top w:val="single" w:sz="12" w:space="0" w:color="auto"/>
              <w:bottom w:val="single" w:sz="12" w:space="0" w:color="auto"/>
            </w:tcBorders>
            <w:shd w:val="pct15" w:color="auto" w:fill="auto"/>
            <w:vAlign w:val="bottom"/>
          </w:tcPr>
          <w:p w:rsidR="005A0A26" w:rsidRPr="004D7037" w:rsidRDefault="005A0A26" w:rsidP="0046017D">
            <w:pPr>
              <w:pStyle w:val="DOC-BodyText"/>
              <w:jc w:val="center"/>
              <w:rPr>
                <w:b/>
              </w:rPr>
            </w:pPr>
            <w:r w:rsidRPr="004D7037">
              <w:rPr>
                <w:b/>
              </w:rPr>
              <w:t>Stability</w:t>
            </w:r>
            <w:r w:rsidR="00DA31C0">
              <w:rPr>
                <w:b/>
              </w:rPr>
              <w:t xml:space="preserve"> after Reconstitution</w:t>
            </w:r>
          </w:p>
        </w:tc>
      </w:tr>
      <w:tr w:rsidR="005A0A26" w:rsidTr="00F24656">
        <w:trPr>
          <w:trHeight w:val="267"/>
        </w:trPr>
        <w:tc>
          <w:tcPr>
            <w:tcW w:w="5508" w:type="dxa"/>
            <w:vMerge w:val="restart"/>
            <w:tcBorders>
              <w:top w:val="single" w:sz="12" w:space="0" w:color="auto"/>
            </w:tcBorders>
            <w:vAlign w:val="center"/>
          </w:tcPr>
          <w:p w:rsidR="005A0A26" w:rsidRPr="004D7037" w:rsidRDefault="005A0A26" w:rsidP="00C346D3">
            <w:pPr>
              <w:pStyle w:val="DOC-BodyText"/>
            </w:pPr>
            <w:r w:rsidRPr="004D7037">
              <w:rPr>
                <w:rFonts w:cs="Tahoma"/>
              </w:rPr>
              <w:t>Q.F.A. Thrombin</w:t>
            </w:r>
          </w:p>
        </w:tc>
        <w:tc>
          <w:tcPr>
            <w:tcW w:w="5508" w:type="dxa"/>
            <w:tcBorders>
              <w:top w:val="single" w:sz="12" w:space="0" w:color="auto"/>
            </w:tcBorders>
          </w:tcPr>
          <w:p w:rsidR="005A0A26" w:rsidRPr="004D7037" w:rsidRDefault="005A0A26" w:rsidP="00C346D3">
            <w:pPr>
              <w:pStyle w:val="DOC-BodyText"/>
            </w:pPr>
            <w:r w:rsidRPr="004D7037">
              <w:t xml:space="preserve">7 days at 2-8°C, </w:t>
            </w:r>
          </w:p>
        </w:tc>
      </w:tr>
      <w:tr w:rsidR="005A0A26" w:rsidTr="00F24656">
        <w:trPr>
          <w:trHeight w:val="260"/>
        </w:trPr>
        <w:tc>
          <w:tcPr>
            <w:tcW w:w="5508" w:type="dxa"/>
            <w:vMerge/>
            <w:tcBorders>
              <w:bottom w:val="single" w:sz="12" w:space="0" w:color="auto"/>
            </w:tcBorders>
          </w:tcPr>
          <w:p w:rsidR="005A0A26" w:rsidRPr="004D7037" w:rsidRDefault="005A0A26" w:rsidP="00C346D3">
            <w:pPr>
              <w:pStyle w:val="DOC-BodyText"/>
            </w:pPr>
          </w:p>
        </w:tc>
        <w:tc>
          <w:tcPr>
            <w:tcW w:w="5508" w:type="dxa"/>
            <w:tcBorders>
              <w:bottom w:val="single" w:sz="12" w:space="0" w:color="auto"/>
            </w:tcBorders>
          </w:tcPr>
          <w:p w:rsidR="005A0A26" w:rsidRPr="004D7037" w:rsidRDefault="005A0A26" w:rsidP="005B3C68">
            <w:pPr>
              <w:pStyle w:val="DOC-BodyText"/>
            </w:pPr>
            <w:r w:rsidRPr="004D7037">
              <w:t>7 days at 15°C on the ACL TOP</w:t>
            </w:r>
          </w:p>
        </w:tc>
      </w:tr>
    </w:tbl>
    <w:p w:rsidR="004D1B28" w:rsidRDefault="004D1B28" w:rsidP="003379D9">
      <w:pPr>
        <w:pStyle w:val="DOC-BodyText"/>
        <w:rPr>
          <w:b/>
        </w:rPr>
      </w:pPr>
    </w:p>
    <w:p w:rsidR="004D1B28" w:rsidRDefault="004D1B28" w:rsidP="003379D9">
      <w:pPr>
        <w:pStyle w:val="DOC-BodyText"/>
        <w:rPr>
          <w:b/>
        </w:rPr>
      </w:pPr>
    </w:p>
    <w:p w:rsidR="005A0A26" w:rsidRPr="00964E56" w:rsidRDefault="005A0A26" w:rsidP="003379D9">
      <w:pPr>
        <w:pStyle w:val="DOC-BodyText"/>
        <w:rPr>
          <w:b/>
        </w:rPr>
      </w:pPr>
      <w:r w:rsidRPr="00C346D3">
        <w:rPr>
          <w:b/>
        </w:rPr>
        <w:t>Additional Materials Needed</w:t>
      </w:r>
    </w:p>
    <w:p w:rsidR="005A0A26" w:rsidRDefault="005A0A26" w:rsidP="003379D9">
      <w:pPr>
        <w:pStyle w:val="DOC-BodyText"/>
      </w:pPr>
    </w:p>
    <w:p w:rsidR="005A0A26" w:rsidRDefault="005A0A26" w:rsidP="003379D9">
      <w:pPr>
        <w:pStyle w:val="DOC-BodyText"/>
      </w:pPr>
      <w:r>
        <w:t xml:space="preserve">HemosIL Normal Control </w:t>
      </w:r>
    </w:p>
    <w:p w:rsidR="005A0A26" w:rsidRDefault="005A0A26" w:rsidP="00C346D3">
      <w:pPr>
        <w:pStyle w:val="DOC-BodyText"/>
      </w:pPr>
      <w:r>
        <w:t>HemosIL Calibration Plasma</w:t>
      </w:r>
    </w:p>
    <w:p w:rsidR="005A0A26" w:rsidRDefault="005A0A26" w:rsidP="00C346D3">
      <w:pPr>
        <w:pStyle w:val="DOC-BodyText"/>
      </w:pPr>
      <w:r>
        <w:t>HemosIL Low Fibrinogen Control</w:t>
      </w:r>
    </w:p>
    <w:p w:rsidR="005A0A26" w:rsidRDefault="005A0A26" w:rsidP="00C346D3">
      <w:pPr>
        <w:pStyle w:val="DOC-BodyText"/>
      </w:pPr>
      <w:r>
        <w:t xml:space="preserve">NERL water                </w:t>
      </w:r>
    </w:p>
    <w:p w:rsidR="005A0A26" w:rsidRDefault="005A0A26" w:rsidP="00C346D3">
      <w:pPr>
        <w:pStyle w:val="DOC-BodyText"/>
      </w:pPr>
      <w:r>
        <w:t xml:space="preserve">Factor Diluent                     </w:t>
      </w:r>
    </w:p>
    <w:p w:rsidR="005A0A26" w:rsidRDefault="005A0A26" w:rsidP="003379D9">
      <w:pPr>
        <w:pStyle w:val="DOC-BodyText"/>
        <w:ind w:left="4320" w:hanging="4320"/>
      </w:pPr>
      <w:r>
        <w:t>HemosIL Cleaning Agent (Clean B diluted):</w:t>
      </w:r>
      <w:r>
        <w:rPr>
          <w:rFonts w:ascii="Tahoma" w:hAnsi="Tahoma" w:cs="Tahoma"/>
          <w:bCs/>
          <w:color w:val="000000"/>
          <w:sz w:val="20"/>
        </w:rPr>
        <w:t xml:space="preserve">  </w:t>
      </w:r>
      <w:r w:rsidRPr="00530A64">
        <w:rPr>
          <w:bCs/>
        </w:rPr>
        <w:t xml:space="preserve">Dilute Cleaning Agent 1:8 with </w:t>
      </w:r>
      <w:r>
        <w:rPr>
          <w:bCs/>
        </w:rPr>
        <w:t>NERL Reagent Grade water (or equivalent)</w:t>
      </w:r>
      <w:r w:rsidRPr="00530A64">
        <w:rPr>
          <w:bCs/>
        </w:rPr>
        <w:t xml:space="preserve"> (</w:t>
      </w:r>
      <w:r w:rsidR="004833D8">
        <w:rPr>
          <w:bCs/>
        </w:rPr>
        <w:t>2</w:t>
      </w:r>
      <w:r>
        <w:rPr>
          <w:bCs/>
        </w:rPr>
        <w:t xml:space="preserve"> mL Cleaning agent </w:t>
      </w:r>
      <w:r w:rsidRPr="00530A64">
        <w:rPr>
          <w:bCs/>
        </w:rPr>
        <w:t>+</w:t>
      </w:r>
      <w:r w:rsidR="004833D8">
        <w:rPr>
          <w:bCs/>
        </w:rPr>
        <w:t>14</w:t>
      </w:r>
      <w:r>
        <w:rPr>
          <w:bCs/>
        </w:rPr>
        <w:t xml:space="preserve"> mL of NERL water</w:t>
      </w:r>
      <w:r w:rsidRPr="00530A64">
        <w:rPr>
          <w:bCs/>
        </w:rPr>
        <w:t>)</w:t>
      </w:r>
    </w:p>
    <w:p w:rsidR="005A0A26" w:rsidRDefault="005A0A26" w:rsidP="003379D9">
      <w:pPr>
        <w:pStyle w:val="DOC-BodyText"/>
      </w:pPr>
    </w:p>
    <w:p w:rsidR="005A0A26" w:rsidRDefault="005A0A26" w:rsidP="003379D9">
      <w:pPr>
        <w:pStyle w:val="DOC-BodyText"/>
      </w:pPr>
    </w:p>
    <w:p w:rsidR="005A0A26" w:rsidRDefault="005A0A26" w:rsidP="003379D9">
      <w:pPr>
        <w:pStyle w:val="DOC-BodyText"/>
        <w:rPr>
          <w:b/>
        </w:rPr>
      </w:pPr>
      <w:r>
        <w:rPr>
          <w:b/>
        </w:rPr>
        <w:t>CALIBRATION</w:t>
      </w:r>
    </w:p>
    <w:p w:rsidR="005A0A26" w:rsidRDefault="005A0A26" w:rsidP="003379D9">
      <w:pPr>
        <w:pStyle w:val="DOC-BodyText"/>
        <w:rPr>
          <w:b/>
        </w:rPr>
      </w:pPr>
    </w:p>
    <w:p w:rsidR="005A0A26" w:rsidRDefault="005A0A26" w:rsidP="00C346D3">
      <w:pPr>
        <w:pStyle w:val="DOC-BodyText"/>
        <w:rPr>
          <w:rFonts w:cs="Tahoma"/>
          <w:bCs/>
        </w:rPr>
      </w:pPr>
      <w:r w:rsidRPr="00C346D3">
        <w:rPr>
          <w:rFonts w:cs="Tahoma"/>
          <w:bCs/>
        </w:rPr>
        <w:t xml:space="preserve">Calibration and storage of a valid Fibrinogen QFA calibration curve are required to obtain Fibrinogen results. Calibration is performed: </w:t>
      </w:r>
    </w:p>
    <w:p w:rsidR="003E067B" w:rsidRPr="00C346D3" w:rsidRDefault="003E067B" w:rsidP="00C346D3">
      <w:pPr>
        <w:pStyle w:val="DOC-BodyText"/>
        <w:rPr>
          <w:rFonts w:cs="Tahoma"/>
          <w:bCs/>
        </w:rPr>
      </w:pPr>
    </w:p>
    <w:p w:rsidR="0046017D" w:rsidRDefault="0046017D" w:rsidP="0046017D">
      <w:pPr>
        <w:pStyle w:val="DOC-BodyText"/>
        <w:numPr>
          <w:ilvl w:val="0"/>
          <w:numId w:val="14"/>
        </w:numPr>
        <w:tabs>
          <w:tab w:val="clear" w:pos="360"/>
          <w:tab w:val="num" w:pos="630"/>
        </w:tabs>
        <w:ind w:left="630"/>
      </w:pPr>
      <w:r>
        <w:t>Per manufacturer recommendation</w:t>
      </w:r>
    </w:p>
    <w:p w:rsidR="0046017D" w:rsidRDefault="0046017D" w:rsidP="0046017D">
      <w:pPr>
        <w:pStyle w:val="DOC-BodyText"/>
        <w:numPr>
          <w:ilvl w:val="0"/>
          <w:numId w:val="14"/>
        </w:numPr>
        <w:tabs>
          <w:tab w:val="clear" w:pos="360"/>
          <w:tab w:val="num" w:pos="630"/>
        </w:tabs>
        <w:ind w:left="630"/>
      </w:pPr>
      <w:r>
        <w:t>Every 3-6 months</w:t>
      </w:r>
    </w:p>
    <w:p w:rsidR="0046017D" w:rsidRPr="00F2449F" w:rsidRDefault="0046017D" w:rsidP="0046017D">
      <w:pPr>
        <w:pStyle w:val="DOC-BodyText"/>
        <w:numPr>
          <w:ilvl w:val="0"/>
          <w:numId w:val="14"/>
        </w:numPr>
        <w:tabs>
          <w:tab w:val="clear" w:pos="360"/>
          <w:tab w:val="num" w:pos="630"/>
        </w:tabs>
        <w:ind w:left="630"/>
      </w:pPr>
      <w:r w:rsidRPr="00F2449F">
        <w:t>With a change of reagent lot numbers</w:t>
      </w:r>
    </w:p>
    <w:p w:rsidR="0046017D" w:rsidRPr="00F2449F" w:rsidRDefault="0046017D" w:rsidP="0046017D">
      <w:pPr>
        <w:pStyle w:val="DOC-BodyText"/>
        <w:numPr>
          <w:ilvl w:val="0"/>
          <w:numId w:val="14"/>
        </w:numPr>
        <w:tabs>
          <w:tab w:val="clear" w:pos="360"/>
          <w:tab w:val="num" w:pos="630"/>
        </w:tabs>
        <w:ind w:left="630"/>
      </w:pPr>
      <w:r w:rsidRPr="00F2449F">
        <w:t>After major parts replacement</w:t>
      </w:r>
    </w:p>
    <w:p w:rsidR="0046017D" w:rsidRPr="00F2449F" w:rsidRDefault="0046017D" w:rsidP="0046017D">
      <w:pPr>
        <w:pStyle w:val="DOC-BodyText"/>
        <w:numPr>
          <w:ilvl w:val="0"/>
          <w:numId w:val="14"/>
        </w:numPr>
        <w:tabs>
          <w:tab w:val="clear" w:pos="360"/>
          <w:tab w:val="num" w:pos="630"/>
        </w:tabs>
        <w:ind w:left="630"/>
      </w:pPr>
      <w:r w:rsidRPr="00F2449F">
        <w:t>To satisfy local regulatory requirements</w:t>
      </w:r>
    </w:p>
    <w:p w:rsidR="0046017D" w:rsidRDefault="0046017D" w:rsidP="0046017D">
      <w:pPr>
        <w:pStyle w:val="DOC-BodyText"/>
        <w:numPr>
          <w:ilvl w:val="0"/>
          <w:numId w:val="14"/>
        </w:numPr>
        <w:tabs>
          <w:tab w:val="clear" w:pos="360"/>
          <w:tab w:val="num" w:pos="630"/>
        </w:tabs>
        <w:ind w:left="630"/>
      </w:pPr>
      <w:r w:rsidRPr="00F2449F">
        <w:t>At laboratory discretion</w:t>
      </w:r>
    </w:p>
    <w:p w:rsidR="0046017D" w:rsidRDefault="0046017D" w:rsidP="0046017D">
      <w:pPr>
        <w:pStyle w:val="DOC-BodyText"/>
        <w:numPr>
          <w:ilvl w:val="0"/>
          <w:numId w:val="14"/>
        </w:numPr>
        <w:tabs>
          <w:tab w:val="clear" w:pos="360"/>
          <w:tab w:val="num" w:pos="630"/>
        </w:tabs>
        <w:ind w:left="630"/>
      </w:pPr>
      <w:r>
        <w:t>When indicated by Quality Control data</w:t>
      </w:r>
    </w:p>
    <w:p w:rsidR="0046017D" w:rsidRPr="00206615" w:rsidRDefault="0046017D" w:rsidP="0046017D">
      <w:pPr>
        <w:pStyle w:val="DOC-BodyText"/>
        <w:numPr>
          <w:ilvl w:val="0"/>
          <w:numId w:val="14"/>
        </w:numPr>
        <w:tabs>
          <w:tab w:val="clear" w:pos="360"/>
          <w:tab w:val="num" w:pos="630"/>
        </w:tabs>
        <w:ind w:left="630"/>
        <w:rPr>
          <w:bCs/>
        </w:rPr>
      </w:pPr>
      <w:r w:rsidRPr="00206615">
        <w:rPr>
          <w:bCs/>
        </w:rPr>
        <w:t>To validate the analytical measurement range</w:t>
      </w:r>
    </w:p>
    <w:p w:rsidR="005A0A26" w:rsidRDefault="005A0A26" w:rsidP="009D5802">
      <w:pPr>
        <w:pStyle w:val="DOC-BodyText"/>
        <w:rPr>
          <w:b/>
          <w:bCs/>
        </w:rPr>
      </w:pPr>
    </w:p>
    <w:p w:rsidR="005A0A26" w:rsidRDefault="005A0A26" w:rsidP="009D5802">
      <w:pPr>
        <w:pStyle w:val="DOC-BodyText"/>
        <w:rPr>
          <w:b/>
          <w:bCs/>
        </w:rPr>
      </w:pPr>
      <w:r w:rsidRPr="00727BF2">
        <w:rPr>
          <w:b/>
          <w:bCs/>
        </w:rPr>
        <w:t>Calibrator Preparation</w:t>
      </w:r>
    </w:p>
    <w:p w:rsidR="005A0A26" w:rsidRDefault="005A0A26" w:rsidP="009D5802">
      <w:pPr>
        <w:pStyle w:val="DOC-BodyText"/>
        <w:tabs>
          <w:tab w:val="left" w:pos="960"/>
        </w:tabs>
        <w:rPr>
          <w:b/>
          <w:bCs/>
        </w:rPr>
      </w:pPr>
      <w:r>
        <w:rPr>
          <w:b/>
          <w:bCs/>
        </w:rPr>
        <w:tab/>
      </w:r>
    </w:p>
    <w:p w:rsidR="005A0A26" w:rsidRPr="006759B9" w:rsidRDefault="005A0A26" w:rsidP="009D5802">
      <w:pPr>
        <w:pStyle w:val="DOC-BodyText"/>
        <w:numPr>
          <w:ilvl w:val="0"/>
          <w:numId w:val="10"/>
        </w:numPr>
        <w:ind w:left="360"/>
        <w:rPr>
          <w:bCs/>
        </w:rPr>
      </w:pPr>
      <w:r w:rsidRPr="006759B9">
        <w:rPr>
          <w:rFonts w:cs="Tahoma"/>
          <w:bCs/>
          <w:color w:val="000000"/>
        </w:rPr>
        <w:t>Reconstitute one vial of</w:t>
      </w:r>
      <w:r>
        <w:rPr>
          <w:rFonts w:cs="Tahoma"/>
          <w:bCs/>
          <w:color w:val="000000"/>
        </w:rPr>
        <w:t xml:space="preserve"> Calibration Plasma</w:t>
      </w:r>
      <w:r w:rsidRPr="006759B9">
        <w:rPr>
          <w:rFonts w:cs="Tahoma"/>
          <w:bCs/>
          <w:color w:val="000000"/>
        </w:rPr>
        <w:t xml:space="preserve"> with 1.0 mL of </w:t>
      </w:r>
      <w:r w:rsidRPr="00C015DB">
        <w:rPr>
          <w:bCs/>
        </w:rPr>
        <w:t xml:space="preserve">NERL </w:t>
      </w:r>
      <w:r>
        <w:rPr>
          <w:bCs/>
        </w:rPr>
        <w:t xml:space="preserve">reagent grade </w:t>
      </w:r>
      <w:r w:rsidRPr="00C015DB">
        <w:rPr>
          <w:bCs/>
        </w:rPr>
        <w:t>water</w:t>
      </w:r>
      <w:r w:rsidRPr="006759B9">
        <w:rPr>
          <w:rFonts w:cs="Tahoma"/>
          <w:bCs/>
          <w:color w:val="000000"/>
        </w:rPr>
        <w:t xml:space="preserve"> or equivalent.</w:t>
      </w:r>
      <w:r w:rsidRPr="006759B9">
        <w:rPr>
          <w:rFonts w:cs="Tahoma"/>
          <w:bCs/>
          <w:color w:val="000000"/>
          <w:vertAlign w:val="superscript"/>
        </w:rPr>
        <w:t xml:space="preserve"> </w:t>
      </w:r>
    </w:p>
    <w:p w:rsidR="005A0A26" w:rsidRDefault="005A0A26" w:rsidP="009D5802">
      <w:pPr>
        <w:pStyle w:val="DOC-BodyText"/>
        <w:ind w:left="360"/>
        <w:rPr>
          <w:bCs/>
        </w:rPr>
      </w:pPr>
    </w:p>
    <w:p w:rsidR="0046017D" w:rsidRPr="0046017D" w:rsidRDefault="005A0A26" w:rsidP="0046017D">
      <w:pPr>
        <w:pStyle w:val="DOC-BodyText"/>
        <w:numPr>
          <w:ilvl w:val="0"/>
          <w:numId w:val="10"/>
        </w:numPr>
        <w:ind w:left="360"/>
        <w:rPr>
          <w:bCs/>
        </w:rPr>
      </w:pPr>
      <w:r w:rsidRPr="006759B9">
        <w:rPr>
          <w:rFonts w:cs="Tahoma"/>
          <w:bCs/>
          <w:color w:val="000000"/>
        </w:rPr>
        <w:t>Replace the stopper and</w:t>
      </w:r>
      <w:r w:rsidR="0046017D">
        <w:rPr>
          <w:rFonts w:cs="Tahoma"/>
          <w:bCs/>
          <w:color w:val="000000"/>
        </w:rPr>
        <w:t xml:space="preserve"> swirl gently.</w:t>
      </w:r>
      <w:r w:rsidRPr="006759B9">
        <w:rPr>
          <w:rFonts w:cs="Tahoma"/>
          <w:bCs/>
          <w:color w:val="000000"/>
        </w:rPr>
        <w:t xml:space="preserve"> </w:t>
      </w:r>
    </w:p>
    <w:p w:rsidR="0046017D" w:rsidRPr="0046017D" w:rsidRDefault="0046017D" w:rsidP="0046017D">
      <w:pPr>
        <w:pStyle w:val="DOC-BodyText"/>
        <w:rPr>
          <w:bCs/>
        </w:rPr>
      </w:pPr>
    </w:p>
    <w:p w:rsidR="005A0A26" w:rsidRPr="006759B9" w:rsidRDefault="0046017D" w:rsidP="009D5802">
      <w:pPr>
        <w:pStyle w:val="DOC-BodyText"/>
        <w:numPr>
          <w:ilvl w:val="0"/>
          <w:numId w:val="10"/>
        </w:numPr>
        <w:ind w:left="360"/>
        <w:rPr>
          <w:bCs/>
        </w:rPr>
      </w:pPr>
      <w:r>
        <w:rPr>
          <w:rFonts w:cs="Tahoma"/>
          <w:bCs/>
          <w:color w:val="000000"/>
        </w:rPr>
        <w:t>K</w:t>
      </w:r>
      <w:r w:rsidR="005A0A26" w:rsidRPr="006759B9">
        <w:rPr>
          <w:rFonts w:cs="Tahoma"/>
          <w:bCs/>
          <w:color w:val="000000"/>
        </w:rPr>
        <w:t xml:space="preserve">eep </w:t>
      </w:r>
      <w:r>
        <w:rPr>
          <w:rFonts w:cs="Tahoma"/>
          <w:bCs/>
          <w:color w:val="000000"/>
        </w:rPr>
        <w:t xml:space="preserve">Calibration Plasma </w:t>
      </w:r>
      <w:r w:rsidR="005A0A26" w:rsidRPr="006759B9">
        <w:rPr>
          <w:rFonts w:cs="Tahoma"/>
          <w:bCs/>
          <w:color w:val="000000"/>
        </w:rPr>
        <w:t>at 15-25ºC for 30 minutes. Ensure the complete reconstitution of the calibrator.</w:t>
      </w:r>
    </w:p>
    <w:p w:rsidR="005A0A26" w:rsidRDefault="005A0A26" w:rsidP="009D5802">
      <w:pPr>
        <w:pStyle w:val="ListParagraph"/>
        <w:spacing w:after="0" w:line="240" w:lineRule="auto"/>
        <w:ind w:left="360"/>
        <w:rPr>
          <w:rFonts w:cs="Tahoma"/>
          <w:bCs/>
          <w:color w:val="000000"/>
        </w:rPr>
      </w:pPr>
    </w:p>
    <w:p w:rsidR="005A0A26" w:rsidRPr="009D5802" w:rsidRDefault="005A0A26" w:rsidP="009D5802">
      <w:pPr>
        <w:pStyle w:val="DOC-BodyText"/>
        <w:numPr>
          <w:ilvl w:val="0"/>
          <w:numId w:val="10"/>
        </w:numPr>
        <w:ind w:left="360"/>
        <w:rPr>
          <w:bCs/>
        </w:rPr>
      </w:pPr>
      <w:r w:rsidRPr="006759B9">
        <w:rPr>
          <w:rFonts w:cs="Tahoma"/>
          <w:bCs/>
          <w:color w:val="000000"/>
        </w:rPr>
        <w:t>Gently swirl and invert to mix before use. Do not shake. Avoid foam formation.</w:t>
      </w:r>
    </w:p>
    <w:p w:rsidR="005A0A26" w:rsidRDefault="005A0A26" w:rsidP="009D5802">
      <w:pPr>
        <w:pStyle w:val="DOC-BodyText"/>
        <w:rPr>
          <w:rFonts w:ascii="Calibri" w:hAnsi="Calibri"/>
          <w:bCs/>
          <w:szCs w:val="22"/>
        </w:rPr>
      </w:pPr>
    </w:p>
    <w:p w:rsidR="005A0A26" w:rsidRPr="009D5802" w:rsidRDefault="005A0A26" w:rsidP="009D5802">
      <w:pPr>
        <w:pStyle w:val="DOC-BodyText"/>
        <w:rPr>
          <w:rFonts w:cs="Arial"/>
          <w:bCs/>
          <w:szCs w:val="22"/>
        </w:rPr>
      </w:pPr>
      <w:r w:rsidRPr="00727BF2">
        <w:rPr>
          <w:rFonts w:cs="Arial"/>
          <w:b/>
          <w:bCs/>
          <w:szCs w:val="22"/>
        </w:rPr>
        <w:t>Note:</w:t>
      </w:r>
      <w:r w:rsidRPr="009D5802">
        <w:rPr>
          <w:rFonts w:cs="Arial"/>
          <w:bCs/>
          <w:szCs w:val="22"/>
        </w:rPr>
        <w:t xml:space="preserve"> After reconstitution the Calibration plasma should be handled in the same manner as fresh citrated</w:t>
      </w:r>
      <w:r>
        <w:rPr>
          <w:rFonts w:cs="Arial"/>
          <w:bCs/>
          <w:szCs w:val="22"/>
        </w:rPr>
        <w:t xml:space="preserve"> </w:t>
      </w:r>
      <w:r w:rsidRPr="009D5802">
        <w:rPr>
          <w:rFonts w:cs="Arial"/>
          <w:bCs/>
          <w:szCs w:val="22"/>
        </w:rPr>
        <w:t>plasma.</w:t>
      </w:r>
    </w:p>
    <w:p w:rsidR="005A0A26" w:rsidRDefault="005A0A26" w:rsidP="009D5802">
      <w:pPr>
        <w:pStyle w:val="ListParagraph"/>
        <w:spacing w:after="0" w:line="240" w:lineRule="auto"/>
        <w:ind w:left="0"/>
        <w:rPr>
          <w:bCs/>
        </w:rPr>
      </w:pPr>
    </w:p>
    <w:p w:rsidR="005A0A26" w:rsidRDefault="005A0A26" w:rsidP="009D5802">
      <w:pPr>
        <w:pStyle w:val="DOC-BodyText"/>
        <w:rPr>
          <w:b/>
          <w:bCs/>
        </w:rPr>
      </w:pPr>
      <w:r>
        <w:rPr>
          <w:b/>
          <w:bCs/>
        </w:rPr>
        <w:t>Calibrator Storage and Stability</w:t>
      </w:r>
    </w:p>
    <w:p w:rsidR="005A0A26" w:rsidRDefault="005A0A26" w:rsidP="009D5802">
      <w:pPr>
        <w:pStyle w:val="DOC-BodyText"/>
        <w:rPr>
          <w:b/>
          <w:bCs/>
        </w:rPr>
      </w:pPr>
    </w:p>
    <w:p w:rsidR="005A0A26" w:rsidRDefault="005A0A26" w:rsidP="009D5802">
      <w:pPr>
        <w:pStyle w:val="DOC-BodyText"/>
        <w:rPr>
          <w:rFonts w:cs="Tahoma"/>
        </w:rPr>
      </w:pPr>
      <w:r w:rsidRPr="005A159B">
        <w:rPr>
          <w:rFonts w:cs="Tahoma"/>
        </w:rPr>
        <w:t>Unopened reagents are stable until the expiration date shown on the vial when stored at 2-8</w:t>
      </w:r>
      <w:r w:rsidR="00DD553D" w:rsidRPr="00C015DB">
        <w:rPr>
          <w:bCs/>
        </w:rPr>
        <w:t>º</w:t>
      </w:r>
      <w:r w:rsidR="00DD553D">
        <w:rPr>
          <w:rFonts w:cs="Tahoma"/>
        </w:rPr>
        <w:t>C</w:t>
      </w:r>
    </w:p>
    <w:p w:rsidR="005A0A26" w:rsidRDefault="005A0A26" w:rsidP="009D5802">
      <w:pPr>
        <w:pStyle w:val="DOC-BodyText"/>
        <w:rPr>
          <w:b/>
          <w:bCs/>
        </w:rPr>
      </w:pPr>
    </w:p>
    <w:p w:rsidR="005A0A26" w:rsidRDefault="005A0A26" w:rsidP="009D5802">
      <w:pPr>
        <w:pStyle w:val="DOC-BodyText"/>
        <w:rPr>
          <w:b/>
          <w:bCs/>
        </w:rPr>
      </w:pPr>
      <w:r w:rsidRPr="005A159B">
        <w:rPr>
          <w:rFonts w:cs="Tahoma"/>
        </w:rPr>
        <w:t xml:space="preserve">Reconstituted </w:t>
      </w:r>
      <w:r w:rsidR="0046017D" w:rsidRPr="005A159B">
        <w:rPr>
          <w:rFonts w:cs="Tahoma"/>
        </w:rPr>
        <w:t>calibrator is</w:t>
      </w:r>
      <w:r w:rsidR="00043AA9">
        <w:rPr>
          <w:rFonts w:cs="Tahoma"/>
        </w:rPr>
        <w:t xml:space="preserve"> stable for</w:t>
      </w:r>
      <w:r w:rsidRPr="005A159B">
        <w:rPr>
          <w:rFonts w:cs="Tahoma"/>
        </w:rPr>
        <w:t xml:space="preserve"> </w:t>
      </w:r>
      <w:r>
        <w:rPr>
          <w:rFonts w:cs="Tahoma"/>
        </w:rPr>
        <w:t>2</w:t>
      </w:r>
      <w:r w:rsidRPr="005A159B">
        <w:rPr>
          <w:rFonts w:cs="Tahoma"/>
        </w:rPr>
        <w:t>4 hours at 2-8</w:t>
      </w:r>
      <w:r w:rsidR="00DD553D" w:rsidRPr="00C015DB">
        <w:rPr>
          <w:bCs/>
        </w:rPr>
        <w:t>º</w:t>
      </w:r>
      <w:r w:rsidRPr="005A159B">
        <w:rPr>
          <w:rFonts w:cs="Tahoma"/>
        </w:rPr>
        <w:t>C in the original vial</w:t>
      </w:r>
      <w:r>
        <w:rPr>
          <w:rFonts w:cs="Tahoma"/>
        </w:rPr>
        <w:t>.</w:t>
      </w:r>
    </w:p>
    <w:p w:rsidR="005A0A26" w:rsidRDefault="005A0A26" w:rsidP="003379D9">
      <w:pPr>
        <w:pStyle w:val="DOC-BodyText"/>
        <w:rPr>
          <w:b/>
          <w:bCs/>
        </w:rPr>
      </w:pPr>
    </w:p>
    <w:p w:rsidR="005A0A26" w:rsidRDefault="005A0A26" w:rsidP="003379D9">
      <w:pPr>
        <w:pStyle w:val="DOC-BodyText"/>
        <w:rPr>
          <w:b/>
          <w:bCs/>
        </w:rPr>
      </w:pPr>
      <w:r w:rsidRPr="00C346D3">
        <w:rPr>
          <w:b/>
          <w:bCs/>
        </w:rPr>
        <w:t>Method for Calibration (if necessary):</w:t>
      </w:r>
    </w:p>
    <w:p w:rsidR="005A0A26" w:rsidRPr="00C346D3" w:rsidRDefault="005A0A26" w:rsidP="003379D9">
      <w:pPr>
        <w:pStyle w:val="DOC-BodyText"/>
        <w:rPr>
          <w:bCs/>
        </w:rPr>
      </w:pPr>
    </w:p>
    <w:p w:rsidR="005A0A26" w:rsidRPr="00C346D3" w:rsidRDefault="005A0A26" w:rsidP="00C346D3">
      <w:pPr>
        <w:pStyle w:val="DOC-BodyText"/>
        <w:numPr>
          <w:ilvl w:val="0"/>
          <w:numId w:val="9"/>
        </w:numPr>
        <w:rPr>
          <w:bCs/>
        </w:rPr>
      </w:pPr>
      <w:r w:rsidRPr="00C346D3">
        <w:t>Define Results Units and Rerun Rules in the Q.F.A. Thrombin Test Definition if necessary (</w:t>
      </w:r>
      <w:r w:rsidRPr="00C346D3">
        <w:rPr>
          <w:bCs/>
        </w:rPr>
        <w:t>Setup, Test List, Test Code, Result Units</w:t>
      </w:r>
      <w:r w:rsidRPr="00C346D3">
        <w:t xml:space="preserve"> and </w:t>
      </w:r>
      <w:r w:rsidRPr="00C346D3">
        <w:rPr>
          <w:bCs/>
        </w:rPr>
        <w:t>Rerun Rules)</w:t>
      </w:r>
      <w:r w:rsidRPr="00C346D3">
        <w:t>.</w:t>
      </w:r>
    </w:p>
    <w:p w:rsidR="005A0A26" w:rsidRPr="00C346D3" w:rsidRDefault="005A0A26" w:rsidP="00C346D3">
      <w:pPr>
        <w:pStyle w:val="DOC-BodyText"/>
        <w:ind w:left="360"/>
        <w:rPr>
          <w:bCs/>
        </w:rPr>
      </w:pPr>
    </w:p>
    <w:p w:rsidR="005A0A26" w:rsidRDefault="005A0A26" w:rsidP="00C346D3">
      <w:pPr>
        <w:pStyle w:val="DOC-BodyText"/>
        <w:numPr>
          <w:ilvl w:val="0"/>
          <w:numId w:val="9"/>
        </w:numPr>
        <w:rPr>
          <w:bCs/>
        </w:rPr>
      </w:pPr>
      <w:r w:rsidRPr="00C346D3">
        <w:t xml:space="preserve">Choose </w:t>
      </w:r>
      <w:r w:rsidRPr="00C346D3">
        <w:rPr>
          <w:bCs/>
        </w:rPr>
        <w:t>Setup, Materials List.</w:t>
      </w:r>
    </w:p>
    <w:p w:rsidR="005A0A26" w:rsidRPr="00C346D3" w:rsidRDefault="005A0A26" w:rsidP="00C346D3">
      <w:pPr>
        <w:pStyle w:val="DOC-BodyText"/>
        <w:rPr>
          <w:bCs/>
        </w:rPr>
      </w:pPr>
    </w:p>
    <w:p w:rsidR="005A0A26" w:rsidRPr="00C346D3" w:rsidRDefault="005A0A26" w:rsidP="00C346D3">
      <w:pPr>
        <w:pStyle w:val="DOC-BodyText"/>
        <w:numPr>
          <w:ilvl w:val="0"/>
          <w:numId w:val="9"/>
        </w:numPr>
      </w:pPr>
      <w:r w:rsidRPr="00C346D3">
        <w:t xml:space="preserve">Double-click on the appropriate calibration plasma to open the </w:t>
      </w:r>
      <w:r w:rsidRPr="00C346D3">
        <w:rPr>
          <w:bCs/>
        </w:rPr>
        <w:t>Materials Definition</w:t>
      </w:r>
      <w:r w:rsidRPr="00C346D3">
        <w:t xml:space="preserve"> screen.</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Choose the Lot Specific Information tab and enter the Calibration Plasma lot number and Expiration Date.</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Enable Lot Management from the </w:t>
      </w:r>
      <w:smartTag w:uri="urn:schemas-microsoft-com:office:smarttags" w:element="place">
        <w:r w:rsidRPr="00C346D3">
          <w:t>Lot</w:t>
        </w:r>
      </w:smartTag>
      <w:r w:rsidRPr="00C346D3">
        <w:t xml:space="preserve"> Specific Information tab.</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Select the Save icon to store the lot number. Once the lot number is saved, the Assign Values icon becomes available.</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Select the </w:t>
      </w:r>
      <w:r w:rsidRPr="00C346D3">
        <w:rPr>
          <w:bCs/>
        </w:rPr>
        <w:t>Assign Values</w:t>
      </w:r>
      <w:r w:rsidRPr="00C346D3">
        <w:t xml:space="preserve"> icon.</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Enter the calibration value from the Calibration Plasma package insert.  Press </w:t>
      </w:r>
      <w:r w:rsidRPr="00C346D3">
        <w:rPr>
          <w:bCs/>
        </w:rPr>
        <w:t>OK</w:t>
      </w:r>
      <w:r w:rsidRPr="00C346D3">
        <w:t>.</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Choose the </w:t>
      </w:r>
      <w:r w:rsidRPr="00C346D3">
        <w:rPr>
          <w:bCs/>
        </w:rPr>
        <w:t>Previous Screen</w:t>
      </w:r>
      <w:r w:rsidRPr="00C346D3">
        <w:t xml:space="preserve"> icon to exit.</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Load the Q.F.A. Thrombin (Bovine) reagent, Calibration Plasma, Diluted Clean B and Factor Diluent on to the ACL TOP.</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Select </w:t>
      </w:r>
      <w:r w:rsidRPr="00C346D3">
        <w:rPr>
          <w:bCs/>
        </w:rPr>
        <w:t>Calibration, Status List</w:t>
      </w:r>
      <w:r w:rsidRPr="00C346D3">
        <w:t>.</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Double-click on Q.F.A. Thrombin Test Code to open the </w:t>
      </w:r>
      <w:r w:rsidRPr="00C346D3">
        <w:rPr>
          <w:bCs/>
        </w:rPr>
        <w:t>Calibration Details</w:t>
      </w:r>
      <w:r w:rsidRPr="00C346D3">
        <w:t xml:space="preserve"> screen.</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Choose the </w:t>
      </w:r>
      <w:r w:rsidRPr="00C346D3">
        <w:rPr>
          <w:bCs/>
        </w:rPr>
        <w:t>Run</w:t>
      </w:r>
      <w:r w:rsidRPr="00C346D3">
        <w:t xml:space="preserve"> icon.</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Select </w:t>
      </w:r>
      <w:r w:rsidRPr="00C346D3">
        <w:rPr>
          <w:bCs/>
        </w:rPr>
        <w:t>OK</w:t>
      </w:r>
      <w:r w:rsidRPr="00C346D3">
        <w:t xml:space="preserve"> at the “Do you confirm the operation?” prompt.</w:t>
      </w:r>
    </w:p>
    <w:p w:rsidR="005A0A26" w:rsidRDefault="005A0A26" w:rsidP="00C346D3">
      <w:pPr>
        <w:pStyle w:val="DOC-BodyText"/>
        <w:ind w:left="360"/>
      </w:pPr>
    </w:p>
    <w:p w:rsidR="005A0A26" w:rsidRPr="00C346D3" w:rsidRDefault="005A0A26" w:rsidP="00C346D3">
      <w:pPr>
        <w:pStyle w:val="DOC-BodyText"/>
        <w:numPr>
          <w:ilvl w:val="0"/>
          <w:numId w:val="9"/>
        </w:numPr>
      </w:pPr>
      <w:r w:rsidRPr="00C346D3">
        <w:t xml:space="preserve">Choose the </w:t>
      </w:r>
      <w:r w:rsidRPr="00C346D3">
        <w:rPr>
          <w:bCs/>
        </w:rPr>
        <w:t>Previous Screen</w:t>
      </w:r>
      <w:r w:rsidRPr="00C346D3">
        <w:t xml:space="preserve"> icon to exit.</w:t>
      </w:r>
    </w:p>
    <w:p w:rsidR="005A0A26" w:rsidRPr="00C346D3" w:rsidRDefault="005A0A26" w:rsidP="00C346D3">
      <w:pPr>
        <w:pStyle w:val="DOC-BodyText"/>
        <w:ind w:left="360"/>
        <w:rPr>
          <w:bCs/>
        </w:rPr>
      </w:pPr>
    </w:p>
    <w:p w:rsidR="005A0A26" w:rsidRPr="00C346D3" w:rsidRDefault="005A0A26" w:rsidP="00C346D3">
      <w:pPr>
        <w:pStyle w:val="DOC-BodyText"/>
        <w:numPr>
          <w:ilvl w:val="0"/>
          <w:numId w:val="9"/>
        </w:numPr>
        <w:rPr>
          <w:bCs/>
        </w:rPr>
      </w:pPr>
      <w:r w:rsidRPr="00C346D3">
        <w:t xml:space="preserve">Verify the Job Status for the Q.F.A. Test says </w:t>
      </w:r>
      <w:r w:rsidRPr="00C346D3">
        <w:rPr>
          <w:bCs/>
        </w:rPr>
        <w:t>Active.</w:t>
      </w:r>
    </w:p>
    <w:p w:rsidR="005A0A26" w:rsidRDefault="005A0A26" w:rsidP="00C346D3">
      <w:pPr>
        <w:pStyle w:val="DOC-BodyText"/>
      </w:pPr>
    </w:p>
    <w:p w:rsidR="005A0A26" w:rsidRPr="00C346D3" w:rsidRDefault="005A0A26" w:rsidP="00C346D3">
      <w:pPr>
        <w:pStyle w:val="DOC-BodyText"/>
      </w:pPr>
      <w:r w:rsidRPr="00C346D3">
        <w:t>Once the calibration is complete</w:t>
      </w:r>
      <w:r w:rsidR="00E93D2A">
        <w:t>,</w:t>
      </w:r>
      <w:r w:rsidRPr="00C346D3">
        <w:t xml:space="preserve"> review </w:t>
      </w:r>
      <w:r w:rsidR="00E93D2A">
        <w:t xml:space="preserve">the </w:t>
      </w:r>
      <w:r w:rsidRPr="00C346D3">
        <w:t>calibration results.  An acceptable r</w:t>
      </w:r>
      <w:r w:rsidRPr="00C346D3">
        <w:rPr>
          <w:vertAlign w:val="superscript"/>
        </w:rPr>
        <w:t xml:space="preserve">2 </w:t>
      </w:r>
      <w:r w:rsidRPr="00C346D3">
        <w:t xml:space="preserve">- value is </w:t>
      </w:r>
      <w:r w:rsidRPr="00C346D3">
        <w:rPr>
          <w:u w:val="single"/>
        </w:rPr>
        <w:t>&gt;</w:t>
      </w:r>
      <w:r w:rsidRPr="00C346D3">
        <w:t xml:space="preserve">0.975. If there are no errors/failures and the calibration is acceptable, choose the </w:t>
      </w:r>
      <w:r w:rsidRPr="00C346D3">
        <w:rPr>
          <w:bCs/>
        </w:rPr>
        <w:t xml:space="preserve">Validate </w:t>
      </w:r>
      <w:r w:rsidRPr="00C346D3">
        <w:t>icon to validate the calibration curve.</w:t>
      </w:r>
      <w:r w:rsidRPr="00C346D3">
        <w:rPr>
          <w:vertAlign w:val="superscript"/>
        </w:rPr>
        <w:t>3</w:t>
      </w:r>
      <w:r w:rsidRPr="00C346D3">
        <w:t xml:space="preserve">    </w:t>
      </w:r>
    </w:p>
    <w:p w:rsidR="005A0A26" w:rsidRPr="00C346D3" w:rsidRDefault="005A0A26" w:rsidP="00C346D3">
      <w:pPr>
        <w:pStyle w:val="DOC-BodyText"/>
        <w:rPr>
          <w:bCs/>
        </w:rPr>
      </w:pPr>
    </w:p>
    <w:p w:rsidR="005A0A26" w:rsidRPr="00C346D3" w:rsidRDefault="005A0A26" w:rsidP="00C346D3">
      <w:pPr>
        <w:pStyle w:val="DOC-BodyText"/>
      </w:pPr>
      <w:r w:rsidRPr="00727BF2">
        <w:rPr>
          <w:b/>
          <w:bCs/>
        </w:rPr>
        <w:t>Note:</w:t>
      </w:r>
      <w:r w:rsidRPr="00C346D3">
        <w:rPr>
          <w:bCs/>
        </w:rPr>
        <w:t xml:space="preserve">  The QFA Low calibration curve must also be validated.</w:t>
      </w:r>
    </w:p>
    <w:p w:rsidR="005A0A26" w:rsidRDefault="005A0A26" w:rsidP="003379D9">
      <w:pPr>
        <w:pStyle w:val="DOC-BodyText"/>
      </w:pPr>
    </w:p>
    <w:p w:rsidR="005A0A26" w:rsidRPr="00541C2A" w:rsidRDefault="005A0A26" w:rsidP="003379D9">
      <w:pPr>
        <w:pStyle w:val="DOC-BodyText"/>
      </w:pPr>
    </w:p>
    <w:p w:rsidR="005A0A26" w:rsidRPr="00964E56" w:rsidRDefault="005A0A26" w:rsidP="003379D9">
      <w:pPr>
        <w:pStyle w:val="DOC-BodyText"/>
        <w:rPr>
          <w:b/>
        </w:rPr>
      </w:pPr>
      <w:r w:rsidRPr="00964E56">
        <w:rPr>
          <w:b/>
        </w:rPr>
        <w:t>QUALITY CONTROL</w:t>
      </w:r>
      <w:r w:rsidRPr="00964E56">
        <w:rPr>
          <w:b/>
        </w:rPr>
        <w:tab/>
      </w:r>
    </w:p>
    <w:p w:rsidR="005A0A26" w:rsidRDefault="005A0A26" w:rsidP="003379D9">
      <w:pPr>
        <w:pStyle w:val="DOC-BodyText"/>
      </w:pPr>
    </w:p>
    <w:p w:rsidR="005A0A26" w:rsidRDefault="005A0A26" w:rsidP="003379D9">
      <w:pPr>
        <w:pStyle w:val="DOC-BodyText"/>
      </w:pPr>
      <w:r>
        <w:t xml:space="preserve">Normal and abnormal controls are recommended for a complete quality control program. HemosIL controls are designed for this program and </w:t>
      </w:r>
      <w:r w:rsidR="00595DB5">
        <w:t xml:space="preserve">must </w:t>
      </w:r>
      <w:r>
        <w:t>be performed every 8 hours.</w:t>
      </w:r>
      <w:r w:rsidRPr="00304919">
        <w:t xml:space="preserve"> Controls should also be </w:t>
      </w:r>
      <w:r>
        <w:t>performed following</w:t>
      </w:r>
      <w:r w:rsidRPr="00304919">
        <w:t xml:space="preserve"> loading</w:t>
      </w:r>
      <w:r>
        <w:t xml:space="preserve"> of</w:t>
      </w:r>
      <w:r w:rsidRPr="00304919">
        <w:t xml:space="preserve"> new reagents</w:t>
      </w:r>
      <w:r w:rsidR="006D2B28">
        <w:t xml:space="preserve"> and after calibration</w:t>
      </w:r>
      <w:r>
        <w:t xml:space="preserve">.  </w:t>
      </w:r>
    </w:p>
    <w:p w:rsidR="005A0A26" w:rsidRDefault="005A0A26" w:rsidP="003379D9">
      <w:pPr>
        <w:pStyle w:val="DOC-BodyText"/>
      </w:pPr>
    </w:p>
    <w:p w:rsidR="005A0A26" w:rsidRDefault="005A0A26" w:rsidP="003379D9">
      <w:pPr>
        <w:pStyle w:val="DOC-BodyText"/>
      </w:pPr>
      <w:r>
        <w:t>The HemosIL controls are:</w:t>
      </w:r>
    </w:p>
    <w:p w:rsidR="006D2B28" w:rsidRDefault="006D2B28" w:rsidP="006D2B28">
      <w:pPr>
        <w:pStyle w:val="DOC-BodyText"/>
        <w:ind w:left="720"/>
      </w:pPr>
    </w:p>
    <w:p w:rsidR="005A0A26" w:rsidRDefault="005A0A26" w:rsidP="003379D9">
      <w:pPr>
        <w:pStyle w:val="DOC-BodyText"/>
        <w:numPr>
          <w:ilvl w:val="0"/>
          <w:numId w:val="3"/>
        </w:numPr>
      </w:pPr>
      <w:r>
        <w:t xml:space="preserve">HemosIL Normal Control </w:t>
      </w:r>
    </w:p>
    <w:p w:rsidR="005A0A26" w:rsidRPr="00727BF2" w:rsidRDefault="005A0A26" w:rsidP="00727BF2">
      <w:pPr>
        <w:pStyle w:val="DOC-BodyText"/>
        <w:numPr>
          <w:ilvl w:val="0"/>
          <w:numId w:val="3"/>
        </w:numPr>
        <w:rPr>
          <w:rFonts w:cs="Arial"/>
          <w:szCs w:val="22"/>
        </w:rPr>
      </w:pPr>
      <w:r w:rsidRPr="00727BF2">
        <w:rPr>
          <w:rFonts w:cs="Arial"/>
          <w:szCs w:val="22"/>
        </w:rPr>
        <w:t xml:space="preserve">HemosIL Low Fibrinogen Control </w:t>
      </w:r>
    </w:p>
    <w:p w:rsidR="005A0A26" w:rsidRDefault="005A0A26" w:rsidP="003379D9">
      <w:pPr>
        <w:pStyle w:val="DOC-BodyText"/>
      </w:pPr>
    </w:p>
    <w:p w:rsidR="005A0A26" w:rsidRPr="00FE3D6B" w:rsidRDefault="005A0A26" w:rsidP="003379D9">
      <w:pPr>
        <w:pStyle w:val="DOC-BodyText"/>
        <w:rPr>
          <w:b/>
        </w:rPr>
      </w:pPr>
      <w:r w:rsidRPr="00FE3D6B">
        <w:rPr>
          <w:b/>
        </w:rPr>
        <w:t>Quality Control Preparation</w:t>
      </w:r>
    </w:p>
    <w:p w:rsidR="005A0A26" w:rsidRDefault="005A0A26" w:rsidP="003379D9">
      <w:pPr>
        <w:pStyle w:val="DOC-BodyText"/>
      </w:pPr>
    </w:p>
    <w:p w:rsidR="005A0A26" w:rsidRDefault="005A0A26" w:rsidP="003379D9">
      <w:pPr>
        <w:pStyle w:val="DOC-BodyText"/>
        <w:numPr>
          <w:ilvl w:val="0"/>
          <w:numId w:val="4"/>
        </w:numPr>
        <w:ind w:left="360"/>
      </w:pPr>
      <w:r w:rsidRPr="009C0F43">
        <w:t xml:space="preserve">Dissolve the contents of each vial with 1 mL of </w:t>
      </w:r>
      <w:r>
        <w:t>NERL reagent grade</w:t>
      </w:r>
      <w:r w:rsidRPr="009C0F43">
        <w:t xml:space="preserve"> water or equivalent.</w:t>
      </w:r>
    </w:p>
    <w:p w:rsidR="005A0A26" w:rsidRDefault="005A0A26" w:rsidP="003379D9">
      <w:pPr>
        <w:pStyle w:val="DOC-BodyText"/>
        <w:ind w:left="360"/>
      </w:pPr>
    </w:p>
    <w:p w:rsidR="005A0A26" w:rsidRDefault="005A0A26" w:rsidP="003379D9">
      <w:pPr>
        <w:pStyle w:val="DOC-BodyText"/>
        <w:numPr>
          <w:ilvl w:val="0"/>
          <w:numId w:val="4"/>
        </w:numPr>
        <w:ind w:left="360"/>
      </w:pPr>
      <w:r w:rsidRPr="009C0F43">
        <w:t xml:space="preserve">Replace the stopper and swirl gently. </w:t>
      </w:r>
    </w:p>
    <w:p w:rsidR="005A0A26" w:rsidRDefault="005A0A26" w:rsidP="003379D9">
      <w:pPr>
        <w:pStyle w:val="DOC-BodyText"/>
      </w:pPr>
    </w:p>
    <w:p w:rsidR="005A0A26" w:rsidRDefault="005A0A26" w:rsidP="003379D9">
      <w:pPr>
        <w:pStyle w:val="DOC-BodyText"/>
        <w:numPr>
          <w:ilvl w:val="0"/>
          <w:numId w:val="4"/>
        </w:numPr>
        <w:ind w:left="360"/>
      </w:pPr>
      <w:r w:rsidRPr="009C0F43">
        <w:t>Keep the control at 15-25°C for 30 minutes and invert to mix before use. Do not shake. Avoid foam formation.</w:t>
      </w:r>
      <w:r>
        <w:br/>
      </w:r>
    </w:p>
    <w:p w:rsidR="005A0A26" w:rsidRPr="009C0F43" w:rsidRDefault="005A0A26" w:rsidP="003379D9">
      <w:pPr>
        <w:pStyle w:val="DOC-BodyText"/>
        <w:rPr>
          <w:b/>
        </w:rPr>
      </w:pPr>
      <w:r w:rsidRPr="009C0F43">
        <w:rPr>
          <w:b/>
        </w:rPr>
        <w:lastRenderedPageBreak/>
        <w:t xml:space="preserve">Quality Control </w:t>
      </w:r>
      <w:r>
        <w:rPr>
          <w:b/>
        </w:rPr>
        <w:t xml:space="preserve">Storage and </w:t>
      </w:r>
      <w:r w:rsidRPr="009C0F43">
        <w:rPr>
          <w:b/>
        </w:rPr>
        <w:t>Stability</w:t>
      </w:r>
    </w:p>
    <w:p w:rsidR="005A0A26" w:rsidRDefault="005A0A26" w:rsidP="003379D9">
      <w:pPr>
        <w:pStyle w:val="DOC-BodyText"/>
      </w:pPr>
    </w:p>
    <w:p w:rsidR="005A0A26" w:rsidRDefault="005A0A26" w:rsidP="003379D9">
      <w:pPr>
        <w:pStyle w:val="DOC-BodyText"/>
      </w:pPr>
      <w:r w:rsidRPr="009C0F43">
        <w:t xml:space="preserve">Unopened control is stable until the expiration date shown on the vial when stored at 2-8°C. </w:t>
      </w:r>
    </w:p>
    <w:p w:rsidR="005A0A26" w:rsidRDefault="005A0A26" w:rsidP="003379D9">
      <w:pPr>
        <w:pStyle w:val="DOC-BodyText"/>
      </w:pPr>
    </w:p>
    <w:p w:rsidR="005A0A26" w:rsidRDefault="005A0A26" w:rsidP="003379D9">
      <w:pPr>
        <w:pStyle w:val="DOC-BodyText"/>
      </w:pPr>
      <w:r w:rsidRPr="009C0F43">
        <w:t>Stability after reconstitut</w:t>
      </w:r>
      <w:r>
        <w:t>ion</w:t>
      </w:r>
      <w:r w:rsidRPr="009C0F43">
        <w:t xml:space="preserve"> at 2-8°C in the original via</w:t>
      </w:r>
      <w:r>
        <w:t xml:space="preserve">l is </w:t>
      </w:r>
      <w:r w:rsidRPr="009C0F43">
        <w:t>24 hours</w:t>
      </w:r>
      <w:r>
        <w:t>.</w:t>
      </w:r>
    </w:p>
    <w:p w:rsidR="005A0A26" w:rsidRDefault="005A0A26" w:rsidP="003379D9">
      <w:pPr>
        <w:pStyle w:val="DOC-BodyText"/>
      </w:pPr>
    </w:p>
    <w:p w:rsidR="005A0A26" w:rsidRDefault="005A0A26" w:rsidP="003379D9">
      <w:pPr>
        <w:pStyle w:val="DOC-BodyText"/>
      </w:pPr>
      <w:r w:rsidRPr="009C0F43">
        <w:t>Stability at 15-25°C in the original vial on-board the ACL TOP</w:t>
      </w:r>
      <w:r>
        <w:t xml:space="preserve"> is</w:t>
      </w:r>
      <w:r w:rsidRPr="009C0F43">
        <w:t xml:space="preserve"> 24 hours</w:t>
      </w:r>
      <w:r>
        <w:t>.</w:t>
      </w:r>
    </w:p>
    <w:p w:rsidR="005A0A26" w:rsidRDefault="005A0A26" w:rsidP="003379D9">
      <w:pPr>
        <w:pStyle w:val="DOC-BodyText"/>
      </w:pPr>
    </w:p>
    <w:p w:rsidR="005A0A26" w:rsidRDefault="005A0A26" w:rsidP="003379D9">
      <w:pPr>
        <w:pStyle w:val="DOC-BodyText"/>
      </w:pPr>
      <w:r>
        <w:tab/>
      </w:r>
    </w:p>
    <w:p w:rsidR="005A0A26" w:rsidRPr="009C0F43" w:rsidRDefault="00E50184" w:rsidP="003379D9">
      <w:pPr>
        <w:pStyle w:val="DOC-BodyText"/>
        <w:rPr>
          <w:b/>
        </w:rPr>
      </w:pPr>
      <w:r>
        <w:rPr>
          <w:b/>
        </w:rPr>
        <w:t xml:space="preserve">PROCEDURE </w:t>
      </w:r>
      <w:r w:rsidR="005A0A26" w:rsidRPr="009C0F43">
        <w:rPr>
          <w:b/>
        </w:rPr>
        <w:t>STEPS</w:t>
      </w:r>
    </w:p>
    <w:p w:rsidR="005A0A26" w:rsidRDefault="005A0A26" w:rsidP="003379D9">
      <w:pPr>
        <w:pStyle w:val="DOC-BodyText"/>
      </w:pPr>
    </w:p>
    <w:p w:rsidR="005A0A26" w:rsidRPr="0044251B" w:rsidRDefault="005A0A26" w:rsidP="003379D9">
      <w:pPr>
        <w:pStyle w:val="DOC-BodyText"/>
        <w:rPr>
          <w:b/>
        </w:rPr>
      </w:pPr>
      <w:r w:rsidRPr="0044251B">
        <w:rPr>
          <w:b/>
        </w:rPr>
        <w:t>Running QC and Patient</w:t>
      </w:r>
      <w:r w:rsidR="00E50184">
        <w:rPr>
          <w:b/>
        </w:rPr>
        <w:t xml:space="preserve"> S</w:t>
      </w:r>
      <w:r w:rsidR="00E52F35">
        <w:rPr>
          <w:b/>
        </w:rPr>
        <w:t>pecimens</w:t>
      </w:r>
    </w:p>
    <w:p w:rsidR="005A0A26" w:rsidRDefault="005A0A26" w:rsidP="003379D9">
      <w:pPr>
        <w:pStyle w:val="DOC-BodyText"/>
      </w:pPr>
    </w:p>
    <w:p w:rsidR="005A0A26" w:rsidRDefault="005A0A26" w:rsidP="00727BF2">
      <w:pPr>
        <w:pStyle w:val="DOC-BodyText"/>
        <w:numPr>
          <w:ilvl w:val="0"/>
          <w:numId w:val="12"/>
        </w:numPr>
        <w:tabs>
          <w:tab w:val="clear" w:pos="720"/>
        </w:tabs>
        <w:ind w:left="360"/>
      </w:pPr>
      <w:r w:rsidRPr="00727BF2">
        <w:t xml:space="preserve">Load reagent and </w:t>
      </w:r>
      <w:r w:rsidR="00E22508">
        <w:t>Clean B Diluted onto the ACL TOP</w:t>
      </w:r>
      <w:r w:rsidRPr="00727BF2">
        <w:t>.</w:t>
      </w:r>
    </w:p>
    <w:p w:rsidR="00321B23" w:rsidRDefault="00321B23" w:rsidP="00321B23">
      <w:pPr>
        <w:pStyle w:val="DOC-BodyText"/>
        <w:ind w:left="360"/>
      </w:pPr>
    </w:p>
    <w:p w:rsidR="00321B23" w:rsidRPr="00081B73" w:rsidRDefault="00321B23" w:rsidP="00321B23">
      <w:pPr>
        <w:pStyle w:val="DOC-BodyText"/>
        <w:ind w:left="720" w:hanging="360"/>
        <w:rPr>
          <w:rFonts w:cs="Arial"/>
          <w:szCs w:val="22"/>
          <w:u w:val="single"/>
        </w:rPr>
      </w:pPr>
      <w:r w:rsidRPr="00185222">
        <w:rPr>
          <w:rFonts w:cs="Arial"/>
          <w:szCs w:val="22"/>
          <w:u w:val="single"/>
        </w:rPr>
        <w:t>Reagent Mapping</w:t>
      </w:r>
    </w:p>
    <w:p w:rsidR="00321B23" w:rsidRDefault="00321B23" w:rsidP="00321B23">
      <w:pPr>
        <w:pStyle w:val="DOC-BodyText"/>
        <w:ind w:left="720" w:hanging="360"/>
        <w:rPr>
          <w:rFonts w:cs="Arial"/>
          <w:b/>
          <w:szCs w:val="22"/>
        </w:rPr>
      </w:pPr>
    </w:p>
    <w:p w:rsidR="00321B23" w:rsidRDefault="00321B23" w:rsidP="00321B23">
      <w:pPr>
        <w:pStyle w:val="DOC-BodyText"/>
        <w:ind w:left="360"/>
        <w:rPr>
          <w:rFonts w:cs="Arial"/>
          <w:szCs w:val="22"/>
        </w:rPr>
      </w:pPr>
      <w:r w:rsidRPr="00613E61">
        <w:rPr>
          <w:rFonts w:cs="Arial"/>
          <w:szCs w:val="22"/>
        </w:rPr>
        <w:t>In order for accurate test result, a reagent map has been establi</w:t>
      </w:r>
      <w:r>
        <w:rPr>
          <w:rFonts w:cs="Arial"/>
          <w:szCs w:val="22"/>
        </w:rPr>
        <w:t>shed for specific reagents. The following re</w:t>
      </w:r>
      <w:r w:rsidRPr="00613E61">
        <w:rPr>
          <w:rFonts w:cs="Arial"/>
          <w:szCs w:val="22"/>
        </w:rPr>
        <w:t xml:space="preserve">agents </w:t>
      </w:r>
      <w:r w:rsidRPr="00321B23">
        <w:rPr>
          <w:rFonts w:cs="Arial"/>
          <w:b/>
          <w:szCs w:val="22"/>
        </w:rPr>
        <w:t xml:space="preserve">must </w:t>
      </w:r>
      <w:r w:rsidRPr="00613E61">
        <w:rPr>
          <w:rFonts w:cs="Arial"/>
          <w:szCs w:val="22"/>
        </w:rPr>
        <w:t>be i</w:t>
      </w:r>
      <w:r>
        <w:rPr>
          <w:rFonts w:cs="Arial"/>
          <w:szCs w:val="22"/>
        </w:rPr>
        <w:t>n specific positions:</w:t>
      </w:r>
    </w:p>
    <w:p w:rsidR="00321B23" w:rsidRDefault="00321B23" w:rsidP="00321B23">
      <w:pPr>
        <w:pStyle w:val="DOC-BodyText"/>
        <w:numPr>
          <w:ilvl w:val="0"/>
          <w:numId w:val="13"/>
        </w:numPr>
        <w:rPr>
          <w:rFonts w:cs="Arial"/>
          <w:szCs w:val="22"/>
        </w:rPr>
      </w:pPr>
      <w:r>
        <w:rPr>
          <w:rFonts w:cs="Arial"/>
          <w:szCs w:val="22"/>
        </w:rPr>
        <w:t xml:space="preserve">PT </w:t>
      </w:r>
      <w:proofErr w:type="spellStart"/>
      <w:r>
        <w:rPr>
          <w:rFonts w:cs="Arial"/>
          <w:szCs w:val="22"/>
        </w:rPr>
        <w:t>Recombiplastin</w:t>
      </w:r>
      <w:proofErr w:type="spellEnd"/>
    </w:p>
    <w:p w:rsidR="00321B23" w:rsidRDefault="00321B23" w:rsidP="00321B23">
      <w:pPr>
        <w:pStyle w:val="DOC-BodyText"/>
        <w:numPr>
          <w:ilvl w:val="0"/>
          <w:numId w:val="13"/>
        </w:numPr>
        <w:rPr>
          <w:rFonts w:cs="Arial"/>
          <w:szCs w:val="22"/>
        </w:rPr>
      </w:pPr>
      <w:r>
        <w:rPr>
          <w:rFonts w:cs="Arial"/>
          <w:szCs w:val="22"/>
        </w:rPr>
        <w:t>Q.F.A Thrombin (Fibrinogen)</w:t>
      </w:r>
    </w:p>
    <w:p w:rsidR="00321B23" w:rsidRDefault="00321B23" w:rsidP="00321B23">
      <w:pPr>
        <w:pStyle w:val="DOC-BodyText"/>
        <w:numPr>
          <w:ilvl w:val="0"/>
          <w:numId w:val="13"/>
        </w:numPr>
        <w:rPr>
          <w:rFonts w:cs="Arial"/>
          <w:szCs w:val="22"/>
        </w:rPr>
      </w:pPr>
      <w:r>
        <w:rPr>
          <w:rFonts w:cs="Arial"/>
          <w:szCs w:val="22"/>
        </w:rPr>
        <w:t>Thrombin time</w:t>
      </w:r>
    </w:p>
    <w:p w:rsidR="00321B23" w:rsidRDefault="00321B23" w:rsidP="00321B23">
      <w:pPr>
        <w:pStyle w:val="DOC-BodyText"/>
        <w:numPr>
          <w:ilvl w:val="0"/>
          <w:numId w:val="13"/>
        </w:numPr>
        <w:rPr>
          <w:rFonts w:cs="Arial"/>
          <w:szCs w:val="22"/>
        </w:rPr>
      </w:pPr>
      <w:r>
        <w:rPr>
          <w:rFonts w:cs="Arial"/>
          <w:szCs w:val="22"/>
        </w:rPr>
        <w:t>Heparin Anti-</w:t>
      </w:r>
      <w:proofErr w:type="spellStart"/>
      <w:r>
        <w:rPr>
          <w:rFonts w:cs="Arial"/>
          <w:szCs w:val="22"/>
        </w:rPr>
        <w:t>Xa</w:t>
      </w:r>
      <w:proofErr w:type="spellEnd"/>
    </w:p>
    <w:p w:rsidR="00321B23" w:rsidRDefault="00321B23" w:rsidP="00321B23">
      <w:pPr>
        <w:pStyle w:val="DOC-BodyText"/>
        <w:numPr>
          <w:ilvl w:val="0"/>
          <w:numId w:val="13"/>
        </w:numPr>
        <w:rPr>
          <w:rFonts w:cs="Arial"/>
          <w:szCs w:val="22"/>
        </w:rPr>
      </w:pPr>
      <w:r>
        <w:rPr>
          <w:rFonts w:cs="Arial"/>
          <w:szCs w:val="22"/>
        </w:rPr>
        <w:t>Clean B Diluted</w:t>
      </w:r>
    </w:p>
    <w:p w:rsidR="00321B23" w:rsidRPr="00613E61" w:rsidRDefault="00321B23" w:rsidP="00321B23">
      <w:pPr>
        <w:pStyle w:val="DOC-BodyText"/>
        <w:ind w:left="360"/>
        <w:rPr>
          <w:rFonts w:cs="Arial"/>
          <w:szCs w:val="22"/>
        </w:rPr>
      </w:pPr>
    </w:p>
    <w:p w:rsidR="00321B23" w:rsidRDefault="00321B23" w:rsidP="00321B23">
      <w:pPr>
        <w:pStyle w:val="DOC-BodyText"/>
        <w:ind w:left="360"/>
        <w:rPr>
          <w:rFonts w:cs="Arial"/>
          <w:szCs w:val="22"/>
        </w:rPr>
      </w:pPr>
      <w:r w:rsidRPr="00613E61">
        <w:rPr>
          <w:rFonts w:cs="Arial"/>
          <w:szCs w:val="22"/>
        </w:rPr>
        <w:t xml:space="preserve">PT </w:t>
      </w:r>
      <w:proofErr w:type="spellStart"/>
      <w:r w:rsidRPr="00613E61">
        <w:rPr>
          <w:rFonts w:cs="Arial"/>
          <w:szCs w:val="22"/>
        </w:rPr>
        <w:t>Recombiplastin</w:t>
      </w:r>
      <w:proofErr w:type="spellEnd"/>
      <w:r w:rsidRPr="00613E61">
        <w:rPr>
          <w:rFonts w:cs="Arial"/>
          <w:szCs w:val="22"/>
        </w:rPr>
        <w:t xml:space="preserve">, </w:t>
      </w:r>
      <w:r>
        <w:rPr>
          <w:rFonts w:cs="Arial"/>
          <w:szCs w:val="22"/>
        </w:rPr>
        <w:t xml:space="preserve">Q.F.A Thrombin (Fibrinogen), Thrombin time, </w:t>
      </w:r>
      <w:r w:rsidRPr="00613E61">
        <w:rPr>
          <w:rFonts w:cs="Arial"/>
          <w:szCs w:val="22"/>
        </w:rPr>
        <w:t>Heparin Anti-</w:t>
      </w:r>
      <w:proofErr w:type="spellStart"/>
      <w:r w:rsidRPr="00613E61">
        <w:rPr>
          <w:rFonts w:cs="Arial"/>
          <w:szCs w:val="22"/>
        </w:rPr>
        <w:t>Xa</w:t>
      </w:r>
      <w:proofErr w:type="spellEnd"/>
      <w:r w:rsidRPr="00613E61">
        <w:rPr>
          <w:rFonts w:cs="Arial"/>
          <w:szCs w:val="22"/>
        </w:rPr>
        <w:t xml:space="preserve"> reagent and Clean B diluted </w:t>
      </w:r>
      <w:r w:rsidRPr="00613E61">
        <w:rPr>
          <w:rFonts w:cs="Arial"/>
          <w:b/>
          <w:szCs w:val="22"/>
        </w:rPr>
        <w:t>must</w:t>
      </w:r>
      <w:r w:rsidRPr="00613E61">
        <w:rPr>
          <w:rFonts w:cs="Arial"/>
          <w:szCs w:val="22"/>
        </w:rPr>
        <w:t xml:space="preserve"> be in the same rack</w:t>
      </w:r>
      <w:r>
        <w:rPr>
          <w:rFonts w:cs="Arial"/>
          <w:szCs w:val="22"/>
        </w:rPr>
        <w:t xml:space="preserve">. </w:t>
      </w:r>
    </w:p>
    <w:p w:rsidR="00321B23" w:rsidRDefault="00321B23" w:rsidP="00321B23">
      <w:pPr>
        <w:pStyle w:val="DOC-BodyText"/>
        <w:ind w:left="360"/>
      </w:pPr>
      <w:r w:rsidRPr="00613E61">
        <w:rPr>
          <w:rFonts w:cs="Arial"/>
          <w:szCs w:val="22"/>
        </w:rPr>
        <w:t>Clean B diluted must be in position 6 of that rack</w:t>
      </w:r>
      <w:r>
        <w:rPr>
          <w:rFonts w:cs="Arial"/>
          <w:szCs w:val="22"/>
        </w:rPr>
        <w:t>.</w:t>
      </w:r>
    </w:p>
    <w:p w:rsidR="005A0A26" w:rsidRPr="00727BF2"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 xml:space="preserve">Place QC materials with the barcodes facing out in a Diluent Rack and load onto the ACL TOP in a Diluent track. </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 xml:space="preserve">Choose </w:t>
      </w:r>
      <w:r w:rsidRPr="00727BF2">
        <w:rPr>
          <w:bCs/>
        </w:rPr>
        <w:t>QC</w:t>
      </w:r>
      <w:r w:rsidRPr="00727BF2">
        <w:t xml:space="preserve"> from the Main Menu and select </w:t>
      </w:r>
      <w:r w:rsidRPr="00727BF2">
        <w:rPr>
          <w:bCs/>
        </w:rPr>
        <w:t>Test Status List</w:t>
      </w:r>
      <w:r w:rsidRPr="00727BF2">
        <w:t>.</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Double-click on a Test Code to reveal the Test Materials Definition tree.</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 xml:space="preserve">Select any Q.F.A. Thrombin QC Control and choose the Program QC icon.  This will run all QC levels for that test.  </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Place sample tubes in a sample rack with barcodes facing outwards.</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Select an available sample track and load the sample rack when the barcode reader is in position.</w:t>
      </w:r>
    </w:p>
    <w:p w:rsidR="005A0A26" w:rsidRDefault="005A0A26" w:rsidP="00727BF2">
      <w:pPr>
        <w:pStyle w:val="DOC-BodyText"/>
        <w:ind w:left="360"/>
      </w:pPr>
    </w:p>
    <w:p w:rsidR="005A0A26" w:rsidRDefault="005A0A26" w:rsidP="00727BF2">
      <w:pPr>
        <w:pStyle w:val="DOC-BodyText"/>
        <w:numPr>
          <w:ilvl w:val="0"/>
          <w:numId w:val="12"/>
        </w:numPr>
        <w:tabs>
          <w:tab w:val="clear" w:pos="720"/>
        </w:tabs>
        <w:ind w:left="360"/>
      </w:pPr>
      <w:r w:rsidRPr="00727BF2">
        <w:t xml:space="preserve">Verify the samples have been identified and have a test ordered. If not, program the sample ID manually and/or order the test manually from the test and programming window. </w:t>
      </w:r>
    </w:p>
    <w:p w:rsidR="005A0A26" w:rsidRPr="00727BF2" w:rsidRDefault="005A0A26" w:rsidP="00727BF2">
      <w:pPr>
        <w:pStyle w:val="DOC-BodyText"/>
        <w:ind w:left="360"/>
      </w:pPr>
      <w:r w:rsidRPr="00727BF2">
        <w:rPr>
          <w:b/>
        </w:rPr>
        <w:t>Note:</w:t>
      </w:r>
      <w:r w:rsidRPr="00727BF2">
        <w:t xml:space="preserve">  Q.F.A.  Low test should </w:t>
      </w:r>
      <w:r w:rsidRPr="00727BF2">
        <w:rPr>
          <w:u w:val="single"/>
        </w:rPr>
        <w:t>only</w:t>
      </w:r>
      <w:r w:rsidRPr="00727BF2">
        <w:t xml:space="preserve"> be used for samples that are </w:t>
      </w:r>
      <w:r w:rsidRPr="00727BF2">
        <w:rPr>
          <w:u w:val="single"/>
        </w:rPr>
        <w:t>below the linear range</w:t>
      </w:r>
      <w:r w:rsidRPr="00727BF2">
        <w:t xml:space="preserve"> for the standard tests.  </w:t>
      </w:r>
    </w:p>
    <w:p w:rsidR="005A0A26" w:rsidRDefault="005A0A26" w:rsidP="00727BF2">
      <w:pPr>
        <w:pStyle w:val="DOC-BodyText"/>
        <w:ind w:left="360"/>
      </w:pPr>
    </w:p>
    <w:p w:rsidR="005A0A26" w:rsidRPr="00727BF2" w:rsidRDefault="005A0A26" w:rsidP="00727BF2">
      <w:pPr>
        <w:pStyle w:val="DOC-BodyText"/>
        <w:numPr>
          <w:ilvl w:val="0"/>
          <w:numId w:val="12"/>
        </w:numPr>
        <w:tabs>
          <w:tab w:val="clear" w:pos="720"/>
        </w:tabs>
        <w:ind w:left="360"/>
      </w:pPr>
      <w:r w:rsidRPr="00727BF2">
        <w:t xml:space="preserve">Choose the </w:t>
      </w:r>
      <w:r w:rsidRPr="00727BF2">
        <w:rPr>
          <w:bCs/>
        </w:rPr>
        <w:t>Run</w:t>
      </w:r>
      <w:r w:rsidRPr="00727BF2">
        <w:t xml:space="preserve"> icon if the ACL TOP</w:t>
      </w:r>
      <w:r w:rsidR="006D6CC3">
        <w:t xml:space="preserve"> </w:t>
      </w:r>
      <w:r w:rsidRPr="00727BF2">
        <w:t xml:space="preserve">is not currently running. </w:t>
      </w:r>
    </w:p>
    <w:p w:rsidR="005A0A26" w:rsidRPr="00727BF2" w:rsidRDefault="005A0A26" w:rsidP="00727BF2">
      <w:pPr>
        <w:pStyle w:val="DOC-BodyText"/>
        <w:ind w:left="360" w:hanging="360"/>
      </w:pPr>
    </w:p>
    <w:p w:rsidR="005A0A26" w:rsidRDefault="005A0A26" w:rsidP="003379D9">
      <w:pPr>
        <w:pStyle w:val="DOC-BodyText"/>
      </w:pPr>
    </w:p>
    <w:p w:rsidR="005A0A26" w:rsidRPr="0044251B" w:rsidRDefault="005A0A26" w:rsidP="003379D9">
      <w:pPr>
        <w:pStyle w:val="DOC-BodyText"/>
        <w:rPr>
          <w:b/>
        </w:rPr>
      </w:pPr>
      <w:r w:rsidRPr="0044251B">
        <w:rPr>
          <w:b/>
        </w:rPr>
        <w:t>CALCULATIONS</w:t>
      </w:r>
    </w:p>
    <w:p w:rsidR="005A0A26" w:rsidRDefault="005A0A26" w:rsidP="003379D9">
      <w:pPr>
        <w:pStyle w:val="DOC-BodyText"/>
      </w:pPr>
    </w:p>
    <w:p w:rsidR="005A0A26" w:rsidRDefault="005A0A26" w:rsidP="003379D9">
      <w:pPr>
        <w:pStyle w:val="DOC-BodyText"/>
      </w:pPr>
      <w:r w:rsidRPr="00DB4D7D">
        <w:lastRenderedPageBreak/>
        <w:t>The</w:t>
      </w:r>
      <w:r>
        <w:t xml:space="preserve"> </w:t>
      </w:r>
      <w:r w:rsidRPr="00727BF2">
        <w:t>ACL TOP</w:t>
      </w:r>
      <w:r w:rsidR="006D6CC3">
        <w:rPr>
          <w:vertAlign w:val="superscript"/>
        </w:rPr>
        <w:t xml:space="preserve"> </w:t>
      </w:r>
      <w:r w:rsidRPr="00DB4D7D">
        <w:t>automatically converts the results in seconds from a standard curve to mg/dL.</w:t>
      </w:r>
    </w:p>
    <w:p w:rsidR="005A0A26" w:rsidRDefault="005A0A26" w:rsidP="003379D9">
      <w:pPr>
        <w:pStyle w:val="DOC-BodyText"/>
      </w:pPr>
    </w:p>
    <w:p w:rsidR="00A03A52" w:rsidRDefault="00A03A52" w:rsidP="00E50184">
      <w:pPr>
        <w:pStyle w:val="Heading1"/>
        <w:spacing w:before="0" w:after="0" w:line="240" w:lineRule="auto"/>
        <w:rPr>
          <w:rFonts w:ascii="Arial" w:hAnsi="Arial" w:cs="Arial"/>
          <w:sz w:val="22"/>
          <w:szCs w:val="22"/>
        </w:rPr>
      </w:pPr>
    </w:p>
    <w:p w:rsidR="00E50184" w:rsidRPr="00F05E25" w:rsidRDefault="00E50184" w:rsidP="00E50184">
      <w:pPr>
        <w:pStyle w:val="Heading1"/>
        <w:spacing w:before="0" w:after="0" w:line="240" w:lineRule="auto"/>
        <w:rPr>
          <w:rFonts w:ascii="Arial" w:hAnsi="Arial" w:cs="Arial"/>
          <w:sz w:val="22"/>
          <w:szCs w:val="22"/>
        </w:rPr>
      </w:pPr>
      <w:r w:rsidRPr="00F05E25">
        <w:rPr>
          <w:rFonts w:ascii="Arial" w:hAnsi="Arial" w:cs="Arial"/>
          <w:sz w:val="22"/>
          <w:szCs w:val="22"/>
        </w:rPr>
        <w:t>PERFORMANCE CHARACTERISTICS</w:t>
      </w:r>
    </w:p>
    <w:p w:rsidR="00E50184" w:rsidRPr="00F05E25" w:rsidRDefault="00E50184" w:rsidP="00E50184">
      <w:pPr>
        <w:pStyle w:val="Heading1"/>
        <w:spacing w:before="0" w:after="0" w:line="240" w:lineRule="auto"/>
        <w:rPr>
          <w:rFonts w:ascii="Arial" w:hAnsi="Arial" w:cs="Arial"/>
          <w:sz w:val="22"/>
          <w:szCs w:val="22"/>
        </w:rPr>
      </w:pPr>
    </w:p>
    <w:p w:rsidR="00E50184" w:rsidRPr="00F05E25" w:rsidRDefault="00E50184" w:rsidP="00E50184">
      <w:pPr>
        <w:pStyle w:val="Heading1"/>
        <w:spacing w:before="0" w:after="0" w:line="240" w:lineRule="auto"/>
        <w:rPr>
          <w:rFonts w:ascii="Arial" w:hAnsi="Arial" w:cs="Arial"/>
          <w:sz w:val="22"/>
          <w:szCs w:val="22"/>
        </w:rPr>
      </w:pPr>
      <w:r w:rsidRPr="00F05E25">
        <w:rPr>
          <w:rFonts w:ascii="Arial" w:hAnsi="Arial" w:cs="Arial"/>
          <w:sz w:val="22"/>
          <w:szCs w:val="22"/>
        </w:rPr>
        <w:t>Reference Range</w:t>
      </w:r>
    </w:p>
    <w:p w:rsidR="005A0A26" w:rsidRDefault="005A0A26" w:rsidP="003379D9">
      <w:pPr>
        <w:pStyle w:val="DOC-BodyText"/>
      </w:pPr>
    </w:p>
    <w:p w:rsidR="00E50184" w:rsidRDefault="00971C9F" w:rsidP="00E946F2">
      <w:pPr>
        <w:pStyle w:val="DOC-BodyText"/>
      </w:pPr>
      <w:r>
        <w:rPr>
          <w:rFonts w:cs="Arial"/>
        </w:rPr>
        <w:t>180</w:t>
      </w:r>
      <w:r w:rsidR="00E50184" w:rsidRPr="00E93D2A">
        <w:rPr>
          <w:rFonts w:cs="Arial"/>
        </w:rPr>
        <w:t xml:space="preserve"> – 40</w:t>
      </w:r>
      <w:r>
        <w:rPr>
          <w:rFonts w:cs="Arial"/>
        </w:rPr>
        <w:t>2</w:t>
      </w:r>
      <w:r w:rsidR="00E50184" w:rsidRPr="00E93D2A">
        <w:rPr>
          <w:rFonts w:cs="Arial"/>
        </w:rPr>
        <w:t xml:space="preserve"> mg/dL</w:t>
      </w:r>
      <w:r w:rsidR="00E50184">
        <w:t xml:space="preserve"> </w:t>
      </w:r>
    </w:p>
    <w:p w:rsidR="00E50184" w:rsidRDefault="00E50184" w:rsidP="00E946F2">
      <w:pPr>
        <w:pStyle w:val="DOC-BodyText"/>
      </w:pPr>
    </w:p>
    <w:p w:rsidR="00E50184" w:rsidRDefault="00E50184" w:rsidP="00E946F2">
      <w:pPr>
        <w:pStyle w:val="DOC-BodyText"/>
        <w:rPr>
          <w:b/>
        </w:rPr>
      </w:pPr>
      <w:r>
        <w:rPr>
          <w:b/>
        </w:rPr>
        <w:t>Critical Value</w:t>
      </w:r>
    </w:p>
    <w:p w:rsidR="00E50184" w:rsidRDefault="00E50184" w:rsidP="00E946F2">
      <w:pPr>
        <w:pStyle w:val="DOC-BodyText"/>
        <w:rPr>
          <w:b/>
        </w:rPr>
      </w:pPr>
    </w:p>
    <w:p w:rsidR="00E50184" w:rsidRDefault="00E50184" w:rsidP="00E946F2">
      <w:pPr>
        <w:pStyle w:val="DOC-BodyText"/>
        <w:rPr>
          <w:b/>
        </w:rPr>
      </w:pPr>
      <w:r w:rsidRPr="004974FD">
        <w:rPr>
          <w:rFonts w:cs="Arial"/>
        </w:rPr>
        <w:t>&lt; 50 mg/dL</w:t>
      </w:r>
      <w:r>
        <w:rPr>
          <w:rFonts w:cs="Arial"/>
        </w:rPr>
        <w:t xml:space="preserve"> </w:t>
      </w:r>
      <w:r>
        <w:rPr>
          <w:szCs w:val="24"/>
        </w:rPr>
        <w:t>(</w:t>
      </w:r>
      <w:r w:rsidRPr="00C776FE">
        <w:rPr>
          <w:szCs w:val="24"/>
        </w:rPr>
        <w:t>Refer to FHS Critical Value Reporting Proto</w:t>
      </w:r>
      <w:r>
        <w:rPr>
          <w:szCs w:val="24"/>
        </w:rPr>
        <w:t>col)</w:t>
      </w:r>
    </w:p>
    <w:p w:rsidR="00E50184" w:rsidRDefault="00E50184" w:rsidP="00E50184">
      <w:pPr>
        <w:pStyle w:val="HEADINGUNDERLN"/>
        <w:jc w:val="left"/>
        <w:rPr>
          <w:rFonts w:cs="Arial"/>
          <w:sz w:val="22"/>
          <w:szCs w:val="22"/>
          <w:u w:val="none"/>
        </w:rPr>
      </w:pPr>
    </w:p>
    <w:p w:rsidR="00E50184" w:rsidRPr="00F05E25" w:rsidRDefault="00E50184" w:rsidP="00E50184">
      <w:pPr>
        <w:pStyle w:val="HEADINGUNDERLN"/>
        <w:jc w:val="left"/>
        <w:rPr>
          <w:rFonts w:cs="Arial"/>
          <w:sz w:val="22"/>
          <w:szCs w:val="22"/>
          <w:u w:val="none"/>
        </w:rPr>
      </w:pPr>
      <w:r w:rsidRPr="00F05E25">
        <w:rPr>
          <w:rFonts w:cs="Arial"/>
          <w:sz w:val="22"/>
          <w:szCs w:val="22"/>
          <w:u w:val="none"/>
        </w:rPr>
        <w:t>Analytic Measurement Range (AMR)</w:t>
      </w:r>
    </w:p>
    <w:p w:rsidR="00E50184" w:rsidRDefault="00E50184" w:rsidP="003379D9">
      <w:pPr>
        <w:spacing w:after="0"/>
        <w:rPr>
          <w:rFonts w:ascii="Arial" w:hAnsi="Arial"/>
        </w:rPr>
      </w:pPr>
    </w:p>
    <w:p w:rsidR="005A0A26" w:rsidRPr="00E93D2A" w:rsidRDefault="005A0A26" w:rsidP="003379D9">
      <w:pPr>
        <w:spacing w:after="0"/>
        <w:rPr>
          <w:rFonts w:ascii="Arial" w:hAnsi="Arial"/>
        </w:rPr>
      </w:pPr>
      <w:r w:rsidRPr="00E93D2A">
        <w:rPr>
          <w:rFonts w:ascii="Arial" w:hAnsi="Arial"/>
        </w:rPr>
        <w:t xml:space="preserve">Reportable Range: </w:t>
      </w:r>
      <w:r w:rsidR="003E6B14">
        <w:rPr>
          <w:rFonts w:ascii="Arial" w:hAnsi="Arial"/>
        </w:rPr>
        <w:t>35</w:t>
      </w:r>
      <w:r w:rsidRPr="00E93D2A">
        <w:rPr>
          <w:rFonts w:ascii="Arial" w:hAnsi="Arial"/>
        </w:rPr>
        <w:t>-1000</w:t>
      </w:r>
      <w:r w:rsidRPr="00E93D2A">
        <w:t xml:space="preserve"> </w:t>
      </w:r>
      <w:r w:rsidRPr="00E93D2A">
        <w:rPr>
          <w:rFonts w:ascii="Arial" w:hAnsi="Arial"/>
        </w:rPr>
        <w:t>mg/dL</w:t>
      </w:r>
    </w:p>
    <w:p w:rsidR="005A0A26" w:rsidRDefault="005A0A26" w:rsidP="003379D9">
      <w:pPr>
        <w:pStyle w:val="DOC-BodyText"/>
      </w:pPr>
    </w:p>
    <w:p w:rsidR="00A03A52" w:rsidRDefault="00A03A52" w:rsidP="00A03A52">
      <w:pPr>
        <w:pStyle w:val="DOC-BodyText"/>
        <w:rPr>
          <w:bCs/>
        </w:rPr>
      </w:pPr>
      <w:r w:rsidRPr="00C015DB">
        <w:rPr>
          <w:bCs/>
        </w:rPr>
        <w:t xml:space="preserve">For low </w:t>
      </w:r>
      <w:r w:rsidR="008F0671">
        <w:rPr>
          <w:bCs/>
        </w:rPr>
        <w:t xml:space="preserve">or high </w:t>
      </w:r>
      <w:r>
        <w:rPr>
          <w:bCs/>
        </w:rPr>
        <w:t xml:space="preserve">fibrinogen </w:t>
      </w:r>
      <w:r w:rsidRPr="00C015DB">
        <w:rPr>
          <w:bCs/>
        </w:rPr>
        <w:t>results,</w:t>
      </w:r>
      <w:r>
        <w:rPr>
          <w:bCs/>
        </w:rPr>
        <w:t xml:space="preserve"> report with Alpha responses of &lt;</w:t>
      </w:r>
      <w:r w:rsidR="003E6B14">
        <w:rPr>
          <w:bCs/>
        </w:rPr>
        <w:t>35</w:t>
      </w:r>
      <w:r w:rsidRPr="00C015DB">
        <w:rPr>
          <w:bCs/>
        </w:rPr>
        <w:t xml:space="preserve"> </w:t>
      </w:r>
      <w:r w:rsidR="00E22508">
        <w:rPr>
          <w:bCs/>
        </w:rPr>
        <w:t>m</w:t>
      </w:r>
      <w:r>
        <w:rPr>
          <w:bCs/>
        </w:rPr>
        <w:t>g</w:t>
      </w:r>
      <w:r w:rsidRPr="00C015DB">
        <w:rPr>
          <w:bCs/>
        </w:rPr>
        <w:t>/</w:t>
      </w:r>
      <w:r w:rsidR="00E22508">
        <w:rPr>
          <w:bCs/>
        </w:rPr>
        <w:t>dL or &gt;1000 m</w:t>
      </w:r>
      <w:r>
        <w:rPr>
          <w:bCs/>
        </w:rPr>
        <w:t>g/</w:t>
      </w:r>
      <w:r w:rsidR="00E22508">
        <w:rPr>
          <w:bCs/>
        </w:rPr>
        <w:t>d</w:t>
      </w:r>
      <w:r>
        <w:rPr>
          <w:bCs/>
        </w:rPr>
        <w:t xml:space="preserve">L </w:t>
      </w:r>
    </w:p>
    <w:p w:rsidR="00A03A52" w:rsidRDefault="00A03A52" w:rsidP="003379D9">
      <w:pPr>
        <w:pStyle w:val="DOC-BodyText"/>
      </w:pPr>
    </w:p>
    <w:p w:rsidR="00E50184" w:rsidRDefault="00E50184" w:rsidP="003379D9">
      <w:pPr>
        <w:pStyle w:val="DOC-BodyText"/>
        <w:rPr>
          <w:rFonts w:cs="Arial"/>
          <w:b/>
        </w:rPr>
      </w:pPr>
    </w:p>
    <w:p w:rsidR="005A0A26" w:rsidRDefault="00E50184" w:rsidP="003379D9">
      <w:pPr>
        <w:pStyle w:val="DOC-BodyText"/>
      </w:pPr>
      <w:r>
        <w:rPr>
          <w:rFonts w:cs="Arial"/>
          <w:b/>
        </w:rPr>
        <w:t>LIMITATIONS</w:t>
      </w:r>
    </w:p>
    <w:p w:rsidR="005A0A26" w:rsidRDefault="005A0A26" w:rsidP="003379D9">
      <w:pPr>
        <w:pStyle w:val="DOC-BodyText"/>
      </w:pPr>
    </w:p>
    <w:p w:rsidR="005A0A26" w:rsidRDefault="005A0A26" w:rsidP="003379D9">
      <w:pPr>
        <w:pStyle w:val="DOC-BodyText"/>
        <w:rPr>
          <w:b/>
        </w:rPr>
      </w:pPr>
      <w:r w:rsidRPr="00287E80">
        <w:rPr>
          <w:b/>
        </w:rPr>
        <w:t>Interference</w:t>
      </w:r>
      <w:r w:rsidR="00E50184">
        <w:rPr>
          <w:b/>
        </w:rPr>
        <w:t xml:space="preserve"> Substances</w:t>
      </w:r>
      <w:r>
        <w:rPr>
          <w:b/>
        </w:rPr>
        <w:t xml:space="preserve"> </w:t>
      </w:r>
    </w:p>
    <w:p w:rsidR="005A0A26" w:rsidRPr="00E946F2" w:rsidRDefault="005A0A26" w:rsidP="00E946F2">
      <w:pPr>
        <w:pStyle w:val="DOC-BodyText"/>
      </w:pPr>
    </w:p>
    <w:p w:rsidR="005A0A26" w:rsidRDefault="005A0A26" w:rsidP="00E946F2">
      <w:pPr>
        <w:pStyle w:val="DOC-BodyText"/>
      </w:pPr>
      <w:r w:rsidRPr="00E946F2">
        <w:t>Fibrinogen assay results may be affected by degradation (fibrin or fibrinogen) in the plasma assayed.</w:t>
      </w:r>
    </w:p>
    <w:p w:rsidR="005A0A26" w:rsidRPr="00E946F2" w:rsidRDefault="005A0A26" w:rsidP="00E946F2">
      <w:pPr>
        <w:pStyle w:val="DOC-BodyText"/>
      </w:pPr>
      <w:r w:rsidRPr="00E946F2">
        <w:t xml:space="preserve"> </w:t>
      </w:r>
    </w:p>
    <w:p w:rsidR="005A0A26" w:rsidRPr="00D73197" w:rsidRDefault="005A0A26" w:rsidP="00E946F2">
      <w:pPr>
        <w:pStyle w:val="DOC-BodyText"/>
      </w:pPr>
      <w:r w:rsidRPr="00D73197">
        <w:t xml:space="preserve">No interference on the ACL TOP Family </w:t>
      </w:r>
      <w:r w:rsidR="00541DCC">
        <w:t xml:space="preserve">by </w:t>
      </w:r>
      <w:r>
        <w:rPr>
          <w:bCs/>
        </w:rPr>
        <w:t>h</w:t>
      </w:r>
      <w:r w:rsidRPr="00D73197">
        <w:rPr>
          <w:bCs/>
        </w:rPr>
        <w:t xml:space="preserve">eparin </w:t>
      </w:r>
      <w:r w:rsidRPr="00D73197">
        <w:t>up to 2 U/mL</w:t>
      </w:r>
      <w:r>
        <w:t>,</w:t>
      </w:r>
      <w:r w:rsidRPr="00D73197">
        <w:t xml:space="preserve"> </w:t>
      </w:r>
      <w:r>
        <w:t>h</w:t>
      </w:r>
      <w:r w:rsidRPr="00D73197">
        <w:rPr>
          <w:bCs/>
        </w:rPr>
        <w:t xml:space="preserve">emoglobin </w:t>
      </w:r>
      <w:r w:rsidRPr="00D73197">
        <w:t>up to 375 mg/dL</w:t>
      </w:r>
      <w:r>
        <w:t>,</w:t>
      </w:r>
      <w:r w:rsidRPr="00D73197">
        <w:t xml:space="preserve"> </w:t>
      </w:r>
      <w:r>
        <w:t>t</w:t>
      </w:r>
      <w:r w:rsidRPr="00D73197">
        <w:rPr>
          <w:bCs/>
        </w:rPr>
        <w:t xml:space="preserve">riglycerides </w:t>
      </w:r>
      <w:r w:rsidRPr="00D73197">
        <w:t>up to 880 mg/dL</w:t>
      </w:r>
      <w:r>
        <w:t xml:space="preserve">, and </w:t>
      </w:r>
      <w:proofErr w:type="spellStart"/>
      <w:r>
        <w:t>b</w:t>
      </w:r>
      <w:r w:rsidRPr="00D73197">
        <w:rPr>
          <w:bCs/>
        </w:rPr>
        <w:t>ilirubin</w:t>
      </w:r>
      <w:proofErr w:type="spellEnd"/>
      <w:r w:rsidRPr="00D73197">
        <w:rPr>
          <w:bCs/>
        </w:rPr>
        <w:t xml:space="preserve"> </w:t>
      </w:r>
      <w:r w:rsidRPr="00D73197">
        <w:t>up to 23 mg/dL</w:t>
      </w:r>
      <w:r>
        <w:t>.</w:t>
      </w:r>
    </w:p>
    <w:p w:rsidR="005A0A26" w:rsidRDefault="005A0A26" w:rsidP="003379D9">
      <w:pPr>
        <w:pStyle w:val="DOC-BodyText"/>
      </w:pP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1982"/>
        <w:gridCol w:w="7469"/>
      </w:tblGrid>
      <w:tr w:rsidR="005A0A26" w:rsidRPr="00E50184" w:rsidTr="005B3C68">
        <w:trPr>
          <w:jc w:val="center"/>
        </w:trPr>
        <w:tc>
          <w:tcPr>
            <w:tcW w:w="632" w:type="pct"/>
            <w:shd w:val="pct15" w:color="auto" w:fill="auto"/>
            <w:vAlign w:val="bottom"/>
          </w:tcPr>
          <w:p w:rsidR="005A0A26" w:rsidRPr="00E50184" w:rsidRDefault="005A0A26" w:rsidP="00C346D3">
            <w:pPr>
              <w:pStyle w:val="DOC-BodyText"/>
              <w:jc w:val="center"/>
              <w:rPr>
                <w:rFonts w:cs="Arial"/>
                <w:b/>
                <w:sz w:val="20"/>
              </w:rPr>
            </w:pPr>
            <w:r w:rsidRPr="00E50184">
              <w:rPr>
                <w:b/>
                <w:sz w:val="20"/>
              </w:rPr>
              <w:t>Condition</w:t>
            </w:r>
          </w:p>
        </w:tc>
        <w:tc>
          <w:tcPr>
            <w:tcW w:w="916" w:type="pct"/>
            <w:shd w:val="pct15" w:color="auto" w:fill="auto"/>
            <w:vAlign w:val="bottom"/>
          </w:tcPr>
          <w:p w:rsidR="005A0A26" w:rsidRPr="00E50184" w:rsidRDefault="005A0A26" w:rsidP="00C346D3">
            <w:pPr>
              <w:pStyle w:val="DOC-BodyText"/>
              <w:jc w:val="center"/>
              <w:rPr>
                <w:rFonts w:cs="Arial"/>
                <w:b/>
                <w:sz w:val="20"/>
              </w:rPr>
            </w:pPr>
            <w:r w:rsidRPr="00E50184">
              <w:rPr>
                <w:b/>
                <w:sz w:val="20"/>
              </w:rPr>
              <w:t>Effect</w:t>
            </w:r>
          </w:p>
        </w:tc>
        <w:tc>
          <w:tcPr>
            <w:tcW w:w="3453" w:type="pct"/>
            <w:shd w:val="pct15" w:color="auto" w:fill="auto"/>
            <w:vAlign w:val="bottom"/>
          </w:tcPr>
          <w:p w:rsidR="005A0A26" w:rsidRPr="00E50184" w:rsidRDefault="005A0A26" w:rsidP="00C346D3">
            <w:pPr>
              <w:pStyle w:val="DOC-BodyText"/>
              <w:jc w:val="center"/>
              <w:rPr>
                <w:rFonts w:cs="Arial"/>
                <w:b/>
                <w:sz w:val="20"/>
              </w:rPr>
            </w:pPr>
            <w:r w:rsidRPr="00E50184">
              <w:rPr>
                <w:b/>
                <w:sz w:val="20"/>
              </w:rPr>
              <w:t>Action/Additional Info</w:t>
            </w:r>
          </w:p>
        </w:tc>
      </w:tr>
      <w:tr w:rsidR="005A0A26" w:rsidRPr="00E50184" w:rsidTr="005B3C68">
        <w:trPr>
          <w:jc w:val="center"/>
        </w:trPr>
        <w:tc>
          <w:tcPr>
            <w:tcW w:w="632" w:type="pct"/>
            <w:vAlign w:val="center"/>
          </w:tcPr>
          <w:p w:rsidR="005A0A26" w:rsidRPr="00E50184" w:rsidRDefault="005A0A26" w:rsidP="00C346D3">
            <w:pPr>
              <w:pStyle w:val="DOC-BodyText"/>
              <w:rPr>
                <w:sz w:val="20"/>
              </w:rPr>
            </w:pPr>
            <w:proofErr w:type="spellStart"/>
            <w:r w:rsidRPr="00E50184">
              <w:rPr>
                <w:sz w:val="20"/>
              </w:rPr>
              <w:t>Lipemia</w:t>
            </w:r>
            <w:proofErr w:type="spellEnd"/>
          </w:p>
        </w:tc>
        <w:tc>
          <w:tcPr>
            <w:tcW w:w="916" w:type="pct"/>
            <w:vAlign w:val="center"/>
          </w:tcPr>
          <w:p w:rsidR="005A0A26" w:rsidRPr="00E50184" w:rsidRDefault="005A0A26" w:rsidP="00C346D3">
            <w:pPr>
              <w:pStyle w:val="DOC-BodyText"/>
              <w:rPr>
                <w:sz w:val="20"/>
              </w:rPr>
            </w:pPr>
            <w:r w:rsidRPr="00E50184">
              <w:rPr>
                <w:sz w:val="20"/>
              </w:rPr>
              <w:t>May affect</w:t>
            </w:r>
          </w:p>
        </w:tc>
        <w:tc>
          <w:tcPr>
            <w:tcW w:w="3453" w:type="pct"/>
            <w:vAlign w:val="center"/>
          </w:tcPr>
          <w:p w:rsidR="005A0A26" w:rsidRPr="00E50184" w:rsidRDefault="005A0A26" w:rsidP="00A03A52">
            <w:pPr>
              <w:pStyle w:val="DOC-BodyText"/>
              <w:rPr>
                <w:sz w:val="20"/>
              </w:rPr>
            </w:pPr>
            <w:r w:rsidRPr="00E50184">
              <w:rPr>
                <w:sz w:val="20"/>
              </w:rPr>
              <w:t xml:space="preserve">If </w:t>
            </w:r>
            <w:proofErr w:type="spellStart"/>
            <w:r w:rsidRPr="00E50184">
              <w:rPr>
                <w:sz w:val="20"/>
              </w:rPr>
              <w:t>lipemic</w:t>
            </w:r>
            <w:proofErr w:type="spellEnd"/>
            <w:r w:rsidRPr="00E50184">
              <w:rPr>
                <w:sz w:val="20"/>
              </w:rPr>
              <w:t xml:space="preserve"> may have to </w:t>
            </w:r>
            <w:proofErr w:type="spellStart"/>
            <w:r w:rsidRPr="00E50184">
              <w:rPr>
                <w:sz w:val="20"/>
              </w:rPr>
              <w:t>airfuge</w:t>
            </w:r>
            <w:proofErr w:type="spellEnd"/>
            <w:r w:rsidRPr="00E50184">
              <w:rPr>
                <w:sz w:val="20"/>
              </w:rPr>
              <w:t>. See Coagulation-Specimen Integrity</w:t>
            </w:r>
            <w:r w:rsidR="00A03A52">
              <w:rPr>
                <w:sz w:val="20"/>
              </w:rPr>
              <w:t>.</w:t>
            </w:r>
          </w:p>
        </w:tc>
      </w:tr>
      <w:tr w:rsidR="005A0A26" w:rsidRPr="00E50184" w:rsidTr="005B3C68">
        <w:trPr>
          <w:jc w:val="center"/>
        </w:trPr>
        <w:tc>
          <w:tcPr>
            <w:tcW w:w="632" w:type="pct"/>
            <w:vAlign w:val="center"/>
          </w:tcPr>
          <w:p w:rsidR="005A0A26" w:rsidRPr="00E50184" w:rsidRDefault="005A0A26" w:rsidP="00C346D3">
            <w:pPr>
              <w:pStyle w:val="DOC-BodyText"/>
              <w:rPr>
                <w:sz w:val="20"/>
              </w:rPr>
            </w:pPr>
            <w:proofErr w:type="spellStart"/>
            <w:r w:rsidRPr="00E50184">
              <w:rPr>
                <w:sz w:val="20"/>
              </w:rPr>
              <w:t>Hct</w:t>
            </w:r>
            <w:proofErr w:type="spellEnd"/>
            <w:r w:rsidRPr="00E50184">
              <w:rPr>
                <w:sz w:val="20"/>
              </w:rPr>
              <w:t xml:space="preserve"> ≥55%</w:t>
            </w:r>
          </w:p>
        </w:tc>
        <w:tc>
          <w:tcPr>
            <w:tcW w:w="916" w:type="pct"/>
            <w:vAlign w:val="center"/>
          </w:tcPr>
          <w:p w:rsidR="005A0A26" w:rsidRPr="00E50184" w:rsidRDefault="005A0A26" w:rsidP="00C346D3">
            <w:pPr>
              <w:pStyle w:val="DOC-BodyText"/>
              <w:rPr>
                <w:sz w:val="20"/>
              </w:rPr>
            </w:pPr>
            <w:r w:rsidRPr="00E50184">
              <w:rPr>
                <w:sz w:val="20"/>
              </w:rPr>
              <w:t>False Prolongation</w:t>
            </w:r>
          </w:p>
        </w:tc>
        <w:tc>
          <w:tcPr>
            <w:tcW w:w="3453" w:type="pct"/>
            <w:vAlign w:val="center"/>
          </w:tcPr>
          <w:p w:rsidR="005A0A26" w:rsidRPr="00E50184" w:rsidRDefault="005A0A26" w:rsidP="00C346D3">
            <w:pPr>
              <w:pStyle w:val="DOC-BodyText"/>
              <w:rPr>
                <w:sz w:val="20"/>
              </w:rPr>
            </w:pPr>
            <w:r w:rsidRPr="00E50184">
              <w:rPr>
                <w:sz w:val="20"/>
              </w:rPr>
              <w:t>See Anticoagulant Adjustment for High Hematocrits</w:t>
            </w:r>
            <w:r w:rsidR="00A03A52">
              <w:rPr>
                <w:sz w:val="20"/>
              </w:rPr>
              <w:t>.</w:t>
            </w:r>
          </w:p>
        </w:tc>
      </w:tr>
      <w:tr w:rsidR="005A0A26" w:rsidRPr="00E50184" w:rsidTr="005B3C68">
        <w:trPr>
          <w:jc w:val="center"/>
        </w:trPr>
        <w:tc>
          <w:tcPr>
            <w:tcW w:w="632" w:type="pct"/>
            <w:vAlign w:val="center"/>
          </w:tcPr>
          <w:p w:rsidR="005A0A26" w:rsidRPr="00E50184" w:rsidRDefault="005A0A26" w:rsidP="00C346D3">
            <w:pPr>
              <w:pStyle w:val="DOC-BodyText"/>
              <w:rPr>
                <w:sz w:val="20"/>
              </w:rPr>
            </w:pPr>
            <w:r w:rsidRPr="00E50184">
              <w:rPr>
                <w:sz w:val="20"/>
              </w:rPr>
              <w:t>Hemolysis</w:t>
            </w:r>
          </w:p>
        </w:tc>
        <w:tc>
          <w:tcPr>
            <w:tcW w:w="916" w:type="pct"/>
            <w:vAlign w:val="center"/>
          </w:tcPr>
          <w:p w:rsidR="005A0A26" w:rsidRPr="00E50184" w:rsidRDefault="005A0A26" w:rsidP="00C346D3">
            <w:pPr>
              <w:pStyle w:val="DOC-BodyText"/>
              <w:rPr>
                <w:sz w:val="20"/>
              </w:rPr>
            </w:pPr>
            <w:r w:rsidRPr="00E50184">
              <w:rPr>
                <w:sz w:val="20"/>
              </w:rPr>
              <w:t>May affect</w:t>
            </w:r>
          </w:p>
        </w:tc>
        <w:tc>
          <w:tcPr>
            <w:tcW w:w="3453" w:type="pct"/>
            <w:vAlign w:val="center"/>
          </w:tcPr>
          <w:p w:rsidR="005A0A26" w:rsidRPr="00E50184" w:rsidRDefault="005A0A26" w:rsidP="00A03A52">
            <w:pPr>
              <w:pStyle w:val="DOC-BodyText"/>
              <w:rPr>
                <w:sz w:val="20"/>
              </w:rPr>
            </w:pPr>
            <w:r w:rsidRPr="00E50184">
              <w:rPr>
                <w:sz w:val="20"/>
              </w:rPr>
              <w:t>See Coagulation-Specimen Integrity</w:t>
            </w:r>
            <w:r w:rsidR="00A03A52">
              <w:rPr>
                <w:sz w:val="20"/>
              </w:rPr>
              <w:t>.</w:t>
            </w:r>
            <w:r w:rsidRPr="00E50184">
              <w:rPr>
                <w:sz w:val="20"/>
              </w:rPr>
              <w:t xml:space="preserve"> </w:t>
            </w:r>
          </w:p>
        </w:tc>
      </w:tr>
    </w:tbl>
    <w:p w:rsidR="005A0A26" w:rsidRPr="00C015DB" w:rsidRDefault="005A0A26" w:rsidP="00D73197">
      <w:pPr>
        <w:pStyle w:val="DOC-BodyText"/>
        <w:rPr>
          <w:b/>
          <w:bCs/>
        </w:rPr>
      </w:pPr>
    </w:p>
    <w:p w:rsidR="005A0A26" w:rsidRPr="00C015DB" w:rsidRDefault="005A0A26" w:rsidP="00D73197">
      <w:pPr>
        <w:pStyle w:val="DOC-BodyText"/>
        <w:rPr>
          <w:b/>
          <w:bCs/>
        </w:rPr>
      </w:pPr>
    </w:p>
    <w:p w:rsidR="005A0A26" w:rsidRPr="00C015DB" w:rsidRDefault="005A0A26" w:rsidP="00D73197">
      <w:pPr>
        <w:pStyle w:val="DOC-BodyText"/>
        <w:rPr>
          <w:b/>
          <w:bCs/>
        </w:rPr>
      </w:pPr>
      <w:r>
        <w:rPr>
          <w:b/>
          <w:bCs/>
        </w:rPr>
        <w:t>REFERENCES</w:t>
      </w:r>
    </w:p>
    <w:p w:rsidR="005A0A26" w:rsidRPr="00C015DB" w:rsidRDefault="005A0A26" w:rsidP="00D73197">
      <w:pPr>
        <w:pStyle w:val="DOC-BodyText"/>
        <w:rPr>
          <w:b/>
          <w:bCs/>
        </w:rPr>
      </w:pPr>
    </w:p>
    <w:p w:rsidR="005A0A26" w:rsidRPr="00E50184" w:rsidRDefault="005A0A26" w:rsidP="0076010F">
      <w:pPr>
        <w:pStyle w:val="DOC-BodyText"/>
        <w:rPr>
          <w:sz w:val="20"/>
        </w:rPr>
      </w:pPr>
      <w:r w:rsidRPr="00E50184">
        <w:rPr>
          <w:bCs/>
          <w:sz w:val="20"/>
        </w:rPr>
        <w:t>ACL TOP</w:t>
      </w:r>
      <w:r w:rsidRPr="00E50184">
        <w:rPr>
          <w:bCs/>
          <w:sz w:val="20"/>
          <w:vertAlign w:val="superscript"/>
        </w:rPr>
        <w:t>®</w:t>
      </w:r>
      <w:r w:rsidRPr="00E50184">
        <w:rPr>
          <w:bCs/>
          <w:sz w:val="20"/>
        </w:rPr>
        <w:t xml:space="preserve"> Family On-Line Help </w:t>
      </w:r>
      <w:r w:rsidR="00CE4C89" w:rsidRPr="00E50184">
        <w:rPr>
          <w:bCs/>
          <w:sz w:val="20"/>
        </w:rPr>
        <w:t xml:space="preserve">Manual </w:t>
      </w:r>
      <w:r w:rsidR="00CE4C89" w:rsidRPr="00E50184">
        <w:rPr>
          <w:sz w:val="20"/>
        </w:rPr>
        <w:t>Rev 2.0, Instrumentation Laboratory.</w:t>
      </w:r>
    </w:p>
    <w:p w:rsidR="0076010F" w:rsidRPr="00E50184" w:rsidRDefault="0076010F" w:rsidP="0076010F">
      <w:pPr>
        <w:pStyle w:val="DOC-BodyText"/>
        <w:rPr>
          <w:bCs/>
          <w:sz w:val="20"/>
        </w:rPr>
      </w:pPr>
    </w:p>
    <w:p w:rsidR="005A0A26" w:rsidRPr="00E50184" w:rsidRDefault="005A0A26" w:rsidP="0076010F">
      <w:pPr>
        <w:pStyle w:val="DOC-BodyText"/>
        <w:rPr>
          <w:bCs/>
          <w:sz w:val="20"/>
        </w:rPr>
      </w:pPr>
      <w:r w:rsidRPr="00E50184">
        <w:rPr>
          <w:bCs/>
          <w:sz w:val="20"/>
        </w:rPr>
        <w:t>Clinical and Laboratory Standards Institute. Collection, Transport, and Processing of Blood Specimens for Testing Plasma-Based Coagulation and Molecular Hemostasis Assays; Approved Guideline - Fifth Edition, CLSI Document H21-A5; Vol. 28 No. 5</w:t>
      </w:r>
    </w:p>
    <w:p w:rsidR="0076010F" w:rsidRPr="00E50184" w:rsidRDefault="0076010F" w:rsidP="0076010F">
      <w:pPr>
        <w:pStyle w:val="DOC-BodyText"/>
        <w:rPr>
          <w:bCs/>
          <w:sz w:val="20"/>
        </w:rPr>
      </w:pPr>
    </w:p>
    <w:p w:rsidR="005A0A26" w:rsidRPr="00E50184" w:rsidRDefault="005A0A26" w:rsidP="0076010F">
      <w:pPr>
        <w:pStyle w:val="DOC-BodyText"/>
        <w:rPr>
          <w:bCs/>
          <w:sz w:val="20"/>
        </w:rPr>
      </w:pPr>
      <w:r w:rsidRPr="00E50184">
        <w:rPr>
          <w:bCs/>
          <w:sz w:val="20"/>
        </w:rPr>
        <w:t>HemosIL Q.F.A. Thrombin (Bovine) (PN 0020301700) package insert</w:t>
      </w:r>
      <w:r w:rsidR="00CE4C89" w:rsidRPr="00E50184">
        <w:rPr>
          <w:bCs/>
          <w:sz w:val="20"/>
        </w:rPr>
        <w:t xml:space="preserve"> issued 05/2012 Instrument Laboratory.</w:t>
      </w:r>
    </w:p>
    <w:p w:rsidR="0076010F" w:rsidRPr="00E50184" w:rsidRDefault="0076010F" w:rsidP="0076010F">
      <w:pPr>
        <w:pStyle w:val="DOC-BodyText"/>
        <w:rPr>
          <w:bCs/>
          <w:sz w:val="20"/>
        </w:rPr>
      </w:pPr>
    </w:p>
    <w:p w:rsidR="005A0A26" w:rsidRPr="00E50184" w:rsidRDefault="005A0A26" w:rsidP="0076010F">
      <w:pPr>
        <w:pStyle w:val="DOC-BodyText"/>
        <w:rPr>
          <w:bCs/>
          <w:sz w:val="20"/>
        </w:rPr>
      </w:pPr>
      <w:r w:rsidRPr="00E50184">
        <w:rPr>
          <w:bCs/>
          <w:sz w:val="20"/>
        </w:rPr>
        <w:t>HemosIL Q.F.A. Thrombin (Bovine) (PN 0020301800) package insert</w:t>
      </w:r>
      <w:r w:rsidR="00CE4C89" w:rsidRPr="00E50184">
        <w:rPr>
          <w:bCs/>
          <w:sz w:val="20"/>
        </w:rPr>
        <w:t xml:space="preserve"> issued 05/2012 Instrument Laboratory</w:t>
      </w:r>
    </w:p>
    <w:p w:rsidR="0076010F" w:rsidRPr="00E50184" w:rsidRDefault="0076010F" w:rsidP="0076010F">
      <w:pPr>
        <w:pStyle w:val="DOC-BodyText"/>
        <w:rPr>
          <w:bCs/>
          <w:sz w:val="20"/>
        </w:rPr>
      </w:pPr>
    </w:p>
    <w:p w:rsidR="005A0A26" w:rsidRPr="00E50184" w:rsidRDefault="005A0A26" w:rsidP="0076010F">
      <w:pPr>
        <w:pStyle w:val="DOC-BodyText"/>
        <w:rPr>
          <w:bCs/>
          <w:sz w:val="20"/>
        </w:rPr>
      </w:pPr>
      <w:r w:rsidRPr="00E50184">
        <w:rPr>
          <w:bCs/>
          <w:sz w:val="20"/>
        </w:rPr>
        <w:t xml:space="preserve">Reference Clinical and Laboratory Standards </w:t>
      </w:r>
      <w:proofErr w:type="spellStart"/>
      <w:r w:rsidRPr="00E50184">
        <w:rPr>
          <w:bCs/>
          <w:sz w:val="20"/>
        </w:rPr>
        <w:t>Institute.Preparation</w:t>
      </w:r>
      <w:proofErr w:type="spellEnd"/>
      <w:r w:rsidRPr="00E50184">
        <w:rPr>
          <w:bCs/>
          <w:sz w:val="20"/>
        </w:rPr>
        <w:t xml:space="preserve"> and Testing of Reagent Water in the Clinical </w:t>
      </w:r>
      <w:proofErr w:type="spellStart"/>
      <w:r w:rsidRPr="00E50184">
        <w:rPr>
          <w:bCs/>
          <w:sz w:val="20"/>
        </w:rPr>
        <w:t>Laboratory;Approved</w:t>
      </w:r>
      <w:proofErr w:type="spellEnd"/>
      <w:r w:rsidRPr="00E50184">
        <w:rPr>
          <w:bCs/>
          <w:sz w:val="20"/>
        </w:rPr>
        <w:t xml:space="preserve"> Guideline. Fourth Edition, CLSI Document C3-A4;Vol.26 No.22</w:t>
      </w:r>
    </w:p>
    <w:p w:rsidR="005A0A26" w:rsidRPr="00E50184" w:rsidRDefault="005A0A26" w:rsidP="00D73197">
      <w:pPr>
        <w:pStyle w:val="DOC-BodyText"/>
        <w:rPr>
          <w:sz w:val="20"/>
        </w:rPr>
      </w:pPr>
      <w:r w:rsidRPr="00E50184">
        <w:rPr>
          <w:sz w:val="20"/>
        </w:rPr>
        <w:tab/>
      </w:r>
      <w:r w:rsidRPr="00E50184">
        <w:rPr>
          <w:sz w:val="20"/>
        </w:rPr>
        <w:tab/>
      </w:r>
    </w:p>
    <w:p w:rsidR="005A0A26" w:rsidRDefault="005A0A26" w:rsidP="003379D9">
      <w:pPr>
        <w:pStyle w:val="DOC-BodyText"/>
      </w:pPr>
    </w:p>
    <w:p w:rsidR="005A0A26" w:rsidRDefault="005A0A26" w:rsidP="003379D9">
      <w:pPr>
        <w:pStyle w:val="DOC-BodyText"/>
      </w:pPr>
    </w:p>
    <w:p w:rsidR="005A0A26" w:rsidRDefault="005A0A26"/>
    <w:p w:rsidR="00104835" w:rsidRDefault="00104835" w:rsidP="003379D9">
      <w:pPr>
        <w:pStyle w:val="DOC-BodyText"/>
      </w:pPr>
    </w:p>
    <w:p w:rsidR="00104835" w:rsidRDefault="00104835" w:rsidP="003379D9">
      <w:pPr>
        <w:pStyle w:val="DOC-BodyText"/>
      </w:pPr>
    </w:p>
    <w:p w:rsidR="00104835" w:rsidRPr="00B27F4C" w:rsidRDefault="00104835" w:rsidP="003379D9">
      <w:pPr>
        <w:pStyle w:val="DOC-BodyText"/>
      </w:pPr>
    </w:p>
    <w:p w:rsidR="005A0A26" w:rsidRDefault="005A0A26" w:rsidP="003379D9">
      <w:pPr>
        <w:rPr>
          <w:rFonts w:ascii="Arial" w:hAnsi="Arial" w:cs="Arial"/>
        </w:rPr>
      </w:pPr>
    </w:p>
    <w:tbl>
      <w:tblPr>
        <w:tblpPr w:leftFromText="187" w:rightFromText="187"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731"/>
        <w:gridCol w:w="2058"/>
        <w:gridCol w:w="4769"/>
      </w:tblGrid>
      <w:tr w:rsidR="002B4CB5" w:rsidTr="00C671E7">
        <w:trPr>
          <w:cantSplit/>
          <w:trHeight w:val="440"/>
        </w:trPr>
        <w:tc>
          <w:tcPr>
            <w:tcW w:w="11016" w:type="dxa"/>
            <w:gridSpan w:val="4"/>
            <w:vAlign w:val="center"/>
          </w:tcPr>
          <w:p w:rsidR="002B4CB5" w:rsidRPr="00F43472" w:rsidRDefault="002B4CB5" w:rsidP="00C671E7">
            <w:pPr>
              <w:pStyle w:val="BodyText"/>
              <w:rPr>
                <w:b/>
              </w:rPr>
            </w:pPr>
            <w:r w:rsidRPr="00F43472">
              <w:rPr>
                <w:b/>
              </w:rPr>
              <w:t>DOCUMENT APPROVAL     Purpose of Document / Reason for Change:</w:t>
            </w:r>
          </w:p>
        </w:tc>
      </w:tr>
      <w:tr w:rsidR="002B4CB5" w:rsidTr="00C671E7">
        <w:trPr>
          <w:cantSplit/>
          <w:trHeight w:val="510"/>
        </w:trPr>
        <w:tc>
          <w:tcPr>
            <w:tcW w:w="11016" w:type="dxa"/>
            <w:gridSpan w:val="4"/>
          </w:tcPr>
          <w:p w:rsidR="002B4CB5" w:rsidRPr="00F43472" w:rsidRDefault="002B4CB5" w:rsidP="00C671E7">
            <w:pPr>
              <w:pStyle w:val="BodyText"/>
              <w:spacing w:before="60" w:after="60"/>
            </w:pPr>
          </w:p>
          <w:p w:rsidR="002B4CB5" w:rsidRPr="00F43472" w:rsidRDefault="00211262" w:rsidP="00C671E7">
            <w:pPr>
              <w:pStyle w:val="BodyText"/>
              <w:spacing w:before="60" w:after="60"/>
            </w:pPr>
            <w:r>
              <w:t>New Document for new test method/analyzer</w:t>
            </w:r>
          </w:p>
        </w:tc>
      </w:tr>
      <w:tr w:rsidR="002B4CB5" w:rsidTr="00C671E7">
        <w:trPr>
          <w:cantSplit/>
          <w:trHeight w:val="272"/>
        </w:trPr>
        <w:tc>
          <w:tcPr>
            <w:tcW w:w="11016" w:type="dxa"/>
            <w:gridSpan w:val="4"/>
          </w:tcPr>
          <w:p w:rsidR="002B4CB5" w:rsidRPr="00F43472" w:rsidRDefault="000A7038" w:rsidP="00C671E7">
            <w:pPr>
              <w:pStyle w:val="BodyText"/>
              <w:spacing w:before="60" w:after="60"/>
            </w:pPr>
            <w:r w:rsidRPr="00F43472">
              <w:rPr>
                <w:b/>
                <w:bCs/>
                <w:sz w:val="18"/>
              </w:rPr>
              <w:fldChar w:fldCharType="begin">
                <w:ffData>
                  <w:name w:val="Check10"/>
                  <w:enabled/>
                  <w:calcOnExit w:val="0"/>
                  <w:checkBox>
                    <w:sizeAuto/>
                    <w:default w:val="0"/>
                  </w:checkBox>
                </w:ffData>
              </w:fldChar>
            </w:r>
            <w:r w:rsidR="002B4CB5" w:rsidRPr="00F43472">
              <w:rPr>
                <w:b/>
                <w:bCs/>
                <w:sz w:val="18"/>
              </w:rPr>
              <w:instrText xml:space="preserve"> FORMCHECKBOX </w:instrText>
            </w:r>
            <w:r>
              <w:rPr>
                <w:b/>
                <w:bCs/>
                <w:sz w:val="18"/>
              </w:rPr>
            </w:r>
            <w:r>
              <w:rPr>
                <w:b/>
                <w:bCs/>
                <w:sz w:val="18"/>
              </w:rPr>
              <w:fldChar w:fldCharType="separate"/>
            </w:r>
            <w:r w:rsidRPr="00F43472">
              <w:rPr>
                <w:b/>
                <w:bCs/>
                <w:sz w:val="18"/>
              </w:rPr>
              <w:fldChar w:fldCharType="end"/>
            </w:r>
            <w:r w:rsidR="002B4CB5" w:rsidRPr="00F43472">
              <w:rPr>
                <w:sz w:val="18"/>
              </w:rPr>
              <w:t xml:space="preserve"> </w:t>
            </w:r>
            <w:r w:rsidR="002B4CB5" w:rsidRPr="00F43472">
              <w:rPr>
                <w:b/>
                <w:bCs/>
                <w:sz w:val="18"/>
              </w:rPr>
              <w:t xml:space="preserve"> </w:t>
            </w:r>
            <w:r w:rsidR="002B4CB5" w:rsidRPr="00F43472">
              <w:rPr>
                <w:bCs/>
                <w:i/>
                <w:sz w:val="18"/>
              </w:rPr>
              <w:t>No significant change to process in above revision.  Per CAP, this revision does not require further Medical Director approval.</w:t>
            </w:r>
          </w:p>
        </w:tc>
      </w:tr>
      <w:tr w:rsidR="002B4CB5" w:rsidTr="00C671E7">
        <w:trPr>
          <w:cantSplit/>
          <w:trHeight w:val="992"/>
        </w:trPr>
        <w:tc>
          <w:tcPr>
            <w:tcW w:w="1458" w:type="dxa"/>
            <w:vAlign w:val="center"/>
          </w:tcPr>
          <w:p w:rsidR="002B4CB5" w:rsidRPr="00F43472" w:rsidRDefault="002B4CB5" w:rsidP="00C671E7">
            <w:pPr>
              <w:pStyle w:val="BodyText"/>
              <w:jc w:val="right"/>
              <w:rPr>
                <w:b/>
                <w:sz w:val="18"/>
              </w:rPr>
            </w:pPr>
            <w:r w:rsidRPr="00F43472">
              <w:rPr>
                <w:b/>
                <w:sz w:val="18"/>
              </w:rPr>
              <w:t>Committee</w:t>
            </w:r>
            <w:r w:rsidRPr="00F43472">
              <w:rPr>
                <w:b/>
                <w:sz w:val="18"/>
              </w:rPr>
              <w:br/>
              <w:t xml:space="preserve">Approval </w:t>
            </w:r>
            <w:r w:rsidRPr="00F43472">
              <w:rPr>
                <w:b/>
                <w:sz w:val="18"/>
              </w:rPr>
              <w:br/>
              <w:t>Date</w:t>
            </w:r>
          </w:p>
        </w:tc>
        <w:bookmarkStart w:id="7" w:name="Check9"/>
        <w:tc>
          <w:tcPr>
            <w:tcW w:w="2731" w:type="dxa"/>
          </w:tcPr>
          <w:p w:rsidR="002B4CB5" w:rsidRPr="00F43472" w:rsidRDefault="000A7038" w:rsidP="00C671E7">
            <w:pPr>
              <w:pStyle w:val="BodyText"/>
              <w:spacing w:before="120" w:after="60"/>
              <w:rPr>
                <w:sz w:val="18"/>
              </w:rPr>
            </w:pPr>
            <w:r w:rsidRPr="00F43472">
              <w:rPr>
                <w:b/>
                <w:bCs/>
                <w:sz w:val="18"/>
              </w:rPr>
              <w:fldChar w:fldCharType="begin">
                <w:ffData>
                  <w:name w:val="Check9"/>
                  <w:enabled/>
                  <w:calcOnExit w:val="0"/>
                  <w:checkBox>
                    <w:sizeAuto/>
                    <w:default w:val="0"/>
                  </w:checkBox>
                </w:ffData>
              </w:fldChar>
            </w:r>
            <w:r w:rsidR="002B4CB5" w:rsidRPr="00F43472">
              <w:rPr>
                <w:b/>
                <w:bCs/>
                <w:sz w:val="18"/>
              </w:rPr>
              <w:instrText xml:space="preserve"> FORMCHECKBOX </w:instrText>
            </w:r>
            <w:r>
              <w:rPr>
                <w:b/>
                <w:bCs/>
                <w:sz w:val="18"/>
              </w:rPr>
            </w:r>
            <w:r>
              <w:rPr>
                <w:b/>
                <w:bCs/>
                <w:sz w:val="18"/>
              </w:rPr>
              <w:fldChar w:fldCharType="separate"/>
            </w:r>
            <w:r w:rsidRPr="00F43472">
              <w:rPr>
                <w:b/>
                <w:bCs/>
                <w:sz w:val="18"/>
              </w:rPr>
              <w:fldChar w:fldCharType="end"/>
            </w:r>
            <w:bookmarkEnd w:id="7"/>
            <w:r w:rsidR="002B4CB5" w:rsidRPr="00F43472">
              <w:rPr>
                <w:b/>
                <w:bCs/>
                <w:sz w:val="18"/>
              </w:rPr>
              <w:t xml:space="preserve"> </w:t>
            </w:r>
            <w:r w:rsidR="002B4CB5" w:rsidRPr="00F43472">
              <w:rPr>
                <w:sz w:val="18"/>
              </w:rPr>
              <w:t xml:space="preserve">Date:   </w:t>
            </w:r>
          </w:p>
          <w:bookmarkStart w:id="8" w:name="Check10"/>
          <w:p w:rsidR="002B4CB5" w:rsidRPr="00F43472" w:rsidRDefault="000A7038" w:rsidP="00C671E7">
            <w:pPr>
              <w:pStyle w:val="BodyText"/>
              <w:spacing w:after="60"/>
              <w:rPr>
                <w:sz w:val="18"/>
              </w:rPr>
            </w:pPr>
            <w:r w:rsidRPr="00F43472">
              <w:rPr>
                <w:b/>
                <w:bCs/>
                <w:sz w:val="18"/>
              </w:rPr>
              <w:fldChar w:fldCharType="begin">
                <w:ffData>
                  <w:name w:val="Check10"/>
                  <w:enabled/>
                  <w:calcOnExit w:val="0"/>
                  <w:checkBox>
                    <w:sizeAuto/>
                    <w:default w:val="0"/>
                  </w:checkBox>
                </w:ffData>
              </w:fldChar>
            </w:r>
            <w:r w:rsidR="002B4CB5" w:rsidRPr="00F43472">
              <w:rPr>
                <w:b/>
                <w:bCs/>
                <w:sz w:val="18"/>
              </w:rPr>
              <w:instrText xml:space="preserve"> FORMCHECKBOX </w:instrText>
            </w:r>
            <w:r>
              <w:rPr>
                <w:b/>
                <w:bCs/>
                <w:sz w:val="18"/>
              </w:rPr>
            </w:r>
            <w:r>
              <w:rPr>
                <w:b/>
                <w:bCs/>
                <w:sz w:val="18"/>
              </w:rPr>
              <w:fldChar w:fldCharType="separate"/>
            </w:r>
            <w:r w:rsidRPr="00F43472">
              <w:rPr>
                <w:b/>
                <w:bCs/>
                <w:sz w:val="18"/>
              </w:rPr>
              <w:fldChar w:fldCharType="end"/>
            </w:r>
            <w:bookmarkEnd w:id="8"/>
            <w:r w:rsidR="002B4CB5" w:rsidRPr="00F43472">
              <w:rPr>
                <w:sz w:val="18"/>
              </w:rPr>
              <w:t xml:space="preserve">  N/A – </w:t>
            </w:r>
            <w:r w:rsidR="002B4CB5" w:rsidRPr="00F43472">
              <w:rPr>
                <w:sz w:val="16"/>
              </w:rPr>
              <w:t>revision of</w:t>
            </w:r>
            <w:r w:rsidR="002B4CB5" w:rsidRPr="00F43472">
              <w:rPr>
                <w:sz w:val="18"/>
              </w:rPr>
              <w:t xml:space="preserve"> </w:t>
            </w:r>
            <w:r w:rsidR="002B4CB5" w:rsidRPr="00F43472">
              <w:rPr>
                <w:sz w:val="16"/>
              </w:rPr>
              <w:t xml:space="preserve">department-specific document which is used at only one facility  </w:t>
            </w:r>
            <w:r w:rsidR="002B4CB5" w:rsidRPr="00F43472">
              <w:rPr>
                <w:sz w:val="18"/>
              </w:rPr>
              <w:t xml:space="preserve"> </w:t>
            </w:r>
          </w:p>
        </w:tc>
        <w:tc>
          <w:tcPr>
            <w:tcW w:w="2058" w:type="dxa"/>
            <w:vAlign w:val="center"/>
          </w:tcPr>
          <w:p w:rsidR="002B4CB5" w:rsidRPr="00F43472" w:rsidRDefault="002B4CB5" w:rsidP="00C671E7">
            <w:pPr>
              <w:pStyle w:val="BodyText"/>
              <w:spacing w:before="120"/>
              <w:jc w:val="right"/>
              <w:rPr>
                <w:b/>
                <w:sz w:val="18"/>
              </w:rPr>
            </w:pPr>
            <w:r w:rsidRPr="00F43472">
              <w:rPr>
                <w:b/>
                <w:sz w:val="18"/>
              </w:rPr>
              <w:t>Medical Director Approval</w:t>
            </w:r>
            <w:r w:rsidRPr="00F43472">
              <w:rPr>
                <w:b/>
                <w:sz w:val="18"/>
              </w:rPr>
              <w:br/>
            </w:r>
            <w:r w:rsidRPr="00F43472">
              <w:rPr>
                <w:i/>
                <w:sz w:val="18"/>
              </w:rPr>
              <w:t>(Electronic Signature)</w:t>
            </w:r>
          </w:p>
        </w:tc>
        <w:tc>
          <w:tcPr>
            <w:tcW w:w="4769" w:type="dxa"/>
            <w:vAlign w:val="center"/>
          </w:tcPr>
          <w:p w:rsidR="002B4CB5" w:rsidRPr="00000956" w:rsidRDefault="002B4CB5" w:rsidP="00C671E7">
            <w:pPr>
              <w:rPr>
                <w:sz w:val="18"/>
              </w:rPr>
            </w:pPr>
            <w:r>
              <w:rPr>
                <w:noProof/>
                <w:sz w:val="18"/>
              </w:rPr>
              <w:drawing>
                <wp:inline distT="0" distB="0" distL="0" distR="0">
                  <wp:extent cx="19812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447675"/>
                          </a:xfrm>
                          <a:prstGeom prst="rect">
                            <a:avLst/>
                          </a:prstGeom>
                          <a:noFill/>
                          <a:ln>
                            <a:noFill/>
                          </a:ln>
                        </pic:spPr>
                      </pic:pic>
                    </a:graphicData>
                  </a:graphic>
                </wp:inline>
              </w:drawing>
            </w:r>
            <w:r>
              <w:rPr>
                <w:sz w:val="18"/>
              </w:rPr>
              <w:t>5/13/13</w:t>
            </w:r>
          </w:p>
        </w:tc>
      </w:tr>
    </w:tbl>
    <w:p w:rsidR="005A0A26" w:rsidRPr="00F3349F" w:rsidRDefault="005A0A26">
      <w:pPr>
        <w:rPr>
          <w:rFonts w:ascii="Arial" w:hAnsi="Arial" w:cs="Arial"/>
        </w:rPr>
      </w:pPr>
    </w:p>
    <w:sectPr w:rsidR="005A0A26" w:rsidRPr="00F3349F" w:rsidSect="003D03FC">
      <w:footerReference w:type="default" r:id="rId9"/>
      <w:type w:val="continuous"/>
      <w:pgSz w:w="12240" w:h="15840" w:code="1"/>
      <w:pgMar w:top="720" w:right="720" w:bottom="1440" w:left="720"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24" w:rsidRDefault="00303924" w:rsidP="00F3349F">
      <w:pPr>
        <w:spacing w:after="0" w:line="240" w:lineRule="auto"/>
      </w:pPr>
      <w:r>
        <w:separator/>
      </w:r>
    </w:p>
  </w:endnote>
  <w:endnote w:type="continuationSeparator" w:id="0">
    <w:p w:rsidR="00303924" w:rsidRDefault="00303924" w:rsidP="00F33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7758"/>
      <w:gridCol w:w="2160"/>
      <w:gridCol w:w="1098"/>
    </w:tblGrid>
    <w:tr w:rsidR="00303924" w:rsidTr="00DC4352">
      <w:tc>
        <w:tcPr>
          <w:tcW w:w="7758" w:type="dxa"/>
        </w:tcPr>
        <w:p w:rsidR="00303924" w:rsidRPr="004D7037" w:rsidRDefault="000A7038" w:rsidP="001C41B8">
          <w:pPr>
            <w:pStyle w:val="DOC-Footer"/>
          </w:pPr>
          <w:fldSimple w:instr=" FILENAME  \* FirstCap \p  \* MERGEFORMAT ">
            <w:r w:rsidR="00AC7F02">
              <w:rPr>
                <w:noProof/>
              </w:rPr>
              <w:t>P:\Coagulation Active\ACL TOP- Fibrinogen QFA (FIB)-00.docx</w:t>
            </w:r>
          </w:fldSimple>
        </w:p>
      </w:tc>
      <w:tc>
        <w:tcPr>
          <w:tcW w:w="2160" w:type="dxa"/>
        </w:tcPr>
        <w:p w:rsidR="00303924" w:rsidRPr="004D7037" w:rsidRDefault="00303924" w:rsidP="001C41B8">
          <w:pPr>
            <w:pStyle w:val="DOC-Footer"/>
            <w:rPr>
              <w:bCs/>
            </w:rPr>
          </w:pPr>
          <w:r w:rsidRPr="004D7037">
            <w:rPr>
              <w:bCs/>
            </w:rPr>
            <w:t xml:space="preserve">Effective Date: </w:t>
          </w:r>
          <w:r>
            <w:rPr>
              <w:bCs/>
            </w:rPr>
            <w:t xml:space="preserve"> 5/10/2013</w:t>
          </w:r>
        </w:p>
      </w:tc>
      <w:tc>
        <w:tcPr>
          <w:tcW w:w="1098" w:type="dxa"/>
        </w:tcPr>
        <w:p w:rsidR="00303924" w:rsidRPr="004D7037" w:rsidRDefault="00303924" w:rsidP="001C41B8">
          <w:pPr>
            <w:pStyle w:val="DOC-Footer"/>
            <w:rPr>
              <w:bCs/>
            </w:rPr>
          </w:pPr>
          <w:r w:rsidRPr="004D7037">
            <w:rPr>
              <w:bCs/>
            </w:rPr>
            <w:t xml:space="preserve">Page </w:t>
          </w:r>
          <w:r w:rsidR="000A7038" w:rsidRPr="004D7037">
            <w:rPr>
              <w:bCs/>
            </w:rPr>
            <w:fldChar w:fldCharType="begin"/>
          </w:r>
          <w:r w:rsidRPr="004D7037">
            <w:rPr>
              <w:bCs/>
            </w:rPr>
            <w:instrText xml:space="preserve"> PAGE </w:instrText>
          </w:r>
          <w:r w:rsidR="000A7038" w:rsidRPr="004D7037">
            <w:rPr>
              <w:bCs/>
            </w:rPr>
            <w:fldChar w:fldCharType="separate"/>
          </w:r>
          <w:r w:rsidR="001320AE">
            <w:rPr>
              <w:bCs/>
              <w:noProof/>
            </w:rPr>
            <w:t>2</w:t>
          </w:r>
          <w:r w:rsidR="000A7038" w:rsidRPr="004D7037">
            <w:rPr>
              <w:bCs/>
            </w:rPr>
            <w:fldChar w:fldCharType="end"/>
          </w:r>
          <w:r w:rsidRPr="004D7037">
            <w:rPr>
              <w:bCs/>
            </w:rPr>
            <w:t xml:space="preserve"> of </w:t>
          </w:r>
          <w:r w:rsidR="000A7038" w:rsidRPr="004D7037">
            <w:rPr>
              <w:bCs/>
            </w:rPr>
            <w:fldChar w:fldCharType="begin"/>
          </w:r>
          <w:r w:rsidRPr="004D7037">
            <w:rPr>
              <w:bCs/>
            </w:rPr>
            <w:instrText xml:space="preserve"> NUMPAGES </w:instrText>
          </w:r>
          <w:r w:rsidR="000A7038" w:rsidRPr="004D7037">
            <w:rPr>
              <w:bCs/>
            </w:rPr>
            <w:fldChar w:fldCharType="separate"/>
          </w:r>
          <w:r w:rsidR="001320AE">
            <w:rPr>
              <w:bCs/>
              <w:noProof/>
            </w:rPr>
            <w:t>7</w:t>
          </w:r>
          <w:r w:rsidR="000A7038" w:rsidRPr="004D7037">
            <w:rPr>
              <w:bCs/>
            </w:rPr>
            <w:fldChar w:fldCharType="end"/>
          </w:r>
        </w:p>
      </w:tc>
    </w:tr>
    <w:tr w:rsidR="00303924" w:rsidTr="00DC4352">
      <w:tc>
        <w:tcPr>
          <w:tcW w:w="11016" w:type="dxa"/>
          <w:gridSpan w:val="3"/>
        </w:tcPr>
        <w:p w:rsidR="00303924" w:rsidRPr="001C41B8" w:rsidRDefault="00303924" w:rsidP="001C41B8">
          <w:pPr>
            <w:tabs>
              <w:tab w:val="left" w:pos="5865"/>
            </w:tabs>
            <w:spacing w:before="60" w:after="60" w:line="240" w:lineRule="auto"/>
            <w:jc w:val="center"/>
            <w:rPr>
              <w:b/>
              <w:bCs/>
              <w:sz w:val="18"/>
            </w:rPr>
          </w:pPr>
          <w:r w:rsidRPr="001C41B8">
            <w:rPr>
              <w:b/>
              <w:bCs/>
              <w:i/>
              <w:color w:val="FF0000"/>
              <w:sz w:val="18"/>
            </w:rPr>
            <w:t>Unauthorized use or copying of this document is prohibited by FHS.</w:t>
          </w:r>
        </w:p>
      </w:tc>
    </w:tr>
  </w:tbl>
  <w:p w:rsidR="00303924" w:rsidRDefault="00303924" w:rsidP="00E17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24" w:rsidRDefault="00303924" w:rsidP="00F3349F">
      <w:pPr>
        <w:spacing w:after="0" w:line="240" w:lineRule="auto"/>
      </w:pPr>
      <w:r>
        <w:separator/>
      </w:r>
    </w:p>
  </w:footnote>
  <w:footnote w:type="continuationSeparator" w:id="0">
    <w:p w:rsidR="00303924" w:rsidRDefault="00303924" w:rsidP="00F33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3F9"/>
    <w:multiLevelType w:val="hybridMultilevel"/>
    <w:tmpl w:val="30964D22"/>
    <w:lvl w:ilvl="0" w:tplc="72D82126">
      <w:start w:val="1"/>
      <w:numFmt w:val="decimal"/>
      <w:lvlText w:val="%1."/>
      <w:lvlJc w:val="left"/>
      <w:pPr>
        <w:ind w:left="79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D27B3A"/>
    <w:multiLevelType w:val="multilevel"/>
    <w:tmpl w:val="52563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2B4FAD"/>
    <w:multiLevelType w:val="hybridMultilevel"/>
    <w:tmpl w:val="AEDCCABE"/>
    <w:lvl w:ilvl="0" w:tplc="E27A0116">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9B6F38"/>
    <w:multiLevelType w:val="hybridMultilevel"/>
    <w:tmpl w:val="5F3CE438"/>
    <w:lvl w:ilvl="0" w:tplc="F5DCAA8C">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62304"/>
    <w:multiLevelType w:val="hybridMultilevel"/>
    <w:tmpl w:val="125C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6046C"/>
    <w:multiLevelType w:val="hybridMultilevel"/>
    <w:tmpl w:val="1F183A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9195FBE"/>
    <w:multiLevelType w:val="hybridMultilevel"/>
    <w:tmpl w:val="9BD81FE4"/>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7">
    <w:nsid w:val="3C9E30C8"/>
    <w:multiLevelType w:val="hybridMultilevel"/>
    <w:tmpl w:val="6C8A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C77416"/>
    <w:multiLevelType w:val="hybridMultilevel"/>
    <w:tmpl w:val="7B807CD8"/>
    <w:lvl w:ilvl="0" w:tplc="AB486D08">
      <w:start w:val="1"/>
      <w:numFmt w:val="decimal"/>
      <w:lvlText w:val="%1."/>
      <w:lvlJc w:val="left"/>
      <w:pPr>
        <w:ind w:left="720" w:hanging="360"/>
      </w:pPr>
      <w:rPr>
        <w:rFonts w:cs="Times New Roman"/>
        <w:sz w:val="22"/>
        <w:szCs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23C0472"/>
    <w:multiLevelType w:val="hybridMultilevel"/>
    <w:tmpl w:val="64BAA9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2F5CB6"/>
    <w:multiLevelType w:val="hybridMultilevel"/>
    <w:tmpl w:val="F6802592"/>
    <w:lvl w:ilvl="0" w:tplc="AB486D08">
      <w:start w:val="1"/>
      <w:numFmt w:val="decimal"/>
      <w:lvlText w:val="%1."/>
      <w:lvlJc w:val="left"/>
      <w:pPr>
        <w:ind w:left="720" w:hanging="360"/>
      </w:pPr>
      <w:rPr>
        <w:rFonts w:cs="Times New Roman"/>
        <w:sz w:val="22"/>
        <w:szCs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5B5FAC"/>
    <w:multiLevelType w:val="hybridMultilevel"/>
    <w:tmpl w:val="0FC2041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37C239E"/>
    <w:multiLevelType w:val="hybridMultilevel"/>
    <w:tmpl w:val="31F2A0D6"/>
    <w:lvl w:ilvl="0" w:tplc="72D82126">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BC1BF8"/>
    <w:multiLevelType w:val="hybridMultilevel"/>
    <w:tmpl w:val="7F742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4"/>
  </w:num>
  <w:num w:numId="4">
    <w:abstractNumId w:val="6"/>
  </w:num>
  <w:num w:numId="5">
    <w:abstractNumId w:val="0"/>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0"/>
  </w:num>
  <w:num w:numId="11">
    <w:abstractNumId w:val="1"/>
  </w:num>
  <w:num w:numId="12">
    <w:abstractNumId w:val="5"/>
  </w:num>
  <w:num w:numId="13">
    <w:abstractNumId w:val="7"/>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E61C94"/>
    <w:rsid w:val="00000956"/>
    <w:rsid w:val="000217D8"/>
    <w:rsid w:val="0003658A"/>
    <w:rsid w:val="00043AA9"/>
    <w:rsid w:val="00077D7A"/>
    <w:rsid w:val="0008421A"/>
    <w:rsid w:val="000A2341"/>
    <w:rsid w:val="000A7038"/>
    <w:rsid w:val="000C7D53"/>
    <w:rsid w:val="000D11A4"/>
    <w:rsid w:val="000F0DBC"/>
    <w:rsid w:val="000F6BF5"/>
    <w:rsid w:val="00100D44"/>
    <w:rsid w:val="00104835"/>
    <w:rsid w:val="0012509F"/>
    <w:rsid w:val="001313EC"/>
    <w:rsid w:val="00131E3D"/>
    <w:rsid w:val="001320AE"/>
    <w:rsid w:val="00152E8B"/>
    <w:rsid w:val="00152F13"/>
    <w:rsid w:val="00154D5B"/>
    <w:rsid w:val="00173F2E"/>
    <w:rsid w:val="00174C84"/>
    <w:rsid w:val="0019137A"/>
    <w:rsid w:val="001C41B8"/>
    <w:rsid w:val="001C7682"/>
    <w:rsid w:val="00211262"/>
    <w:rsid w:val="002163EB"/>
    <w:rsid w:val="00287E80"/>
    <w:rsid w:val="00294F33"/>
    <w:rsid w:val="002A270A"/>
    <w:rsid w:val="002A4295"/>
    <w:rsid w:val="002B4CB5"/>
    <w:rsid w:val="002C16BE"/>
    <w:rsid w:val="002E1B38"/>
    <w:rsid w:val="002F1EFA"/>
    <w:rsid w:val="00303215"/>
    <w:rsid w:val="00303924"/>
    <w:rsid w:val="00304919"/>
    <w:rsid w:val="00305FED"/>
    <w:rsid w:val="003127A4"/>
    <w:rsid w:val="00321B23"/>
    <w:rsid w:val="003379D9"/>
    <w:rsid w:val="00351B81"/>
    <w:rsid w:val="003613C6"/>
    <w:rsid w:val="00366A91"/>
    <w:rsid w:val="003728E0"/>
    <w:rsid w:val="00376C61"/>
    <w:rsid w:val="00377A66"/>
    <w:rsid w:val="00383A08"/>
    <w:rsid w:val="00393270"/>
    <w:rsid w:val="003970CC"/>
    <w:rsid w:val="003C0E4B"/>
    <w:rsid w:val="003C2245"/>
    <w:rsid w:val="003D03FC"/>
    <w:rsid w:val="003D1A69"/>
    <w:rsid w:val="003D23A3"/>
    <w:rsid w:val="003D6EDF"/>
    <w:rsid w:val="003E067B"/>
    <w:rsid w:val="003E6B14"/>
    <w:rsid w:val="003E78BE"/>
    <w:rsid w:val="00405D00"/>
    <w:rsid w:val="004378C3"/>
    <w:rsid w:val="0044251B"/>
    <w:rsid w:val="0046017D"/>
    <w:rsid w:val="0047449D"/>
    <w:rsid w:val="004833D8"/>
    <w:rsid w:val="004974FD"/>
    <w:rsid w:val="004B1C7B"/>
    <w:rsid w:val="004D1B28"/>
    <w:rsid w:val="004D5146"/>
    <w:rsid w:val="004D7037"/>
    <w:rsid w:val="004F76AE"/>
    <w:rsid w:val="00530A64"/>
    <w:rsid w:val="00541C2A"/>
    <w:rsid w:val="00541DCC"/>
    <w:rsid w:val="00571316"/>
    <w:rsid w:val="00595DB5"/>
    <w:rsid w:val="005A0A26"/>
    <w:rsid w:val="005A159B"/>
    <w:rsid w:val="005A4B52"/>
    <w:rsid w:val="005B3009"/>
    <w:rsid w:val="005B3C68"/>
    <w:rsid w:val="005B6A95"/>
    <w:rsid w:val="005C46A4"/>
    <w:rsid w:val="005D561F"/>
    <w:rsid w:val="005E2FAE"/>
    <w:rsid w:val="00610B79"/>
    <w:rsid w:val="006261C1"/>
    <w:rsid w:val="00631B7F"/>
    <w:rsid w:val="00660CE6"/>
    <w:rsid w:val="00671EDC"/>
    <w:rsid w:val="006751BD"/>
    <w:rsid w:val="006759B9"/>
    <w:rsid w:val="00675A1E"/>
    <w:rsid w:val="006C1284"/>
    <w:rsid w:val="006D2B28"/>
    <w:rsid w:val="006D6CC3"/>
    <w:rsid w:val="00727BF2"/>
    <w:rsid w:val="00755014"/>
    <w:rsid w:val="00756EE4"/>
    <w:rsid w:val="0076010F"/>
    <w:rsid w:val="00767C3E"/>
    <w:rsid w:val="00783390"/>
    <w:rsid w:val="007C15AA"/>
    <w:rsid w:val="007C2B98"/>
    <w:rsid w:val="007E1356"/>
    <w:rsid w:val="0081165D"/>
    <w:rsid w:val="00835E4B"/>
    <w:rsid w:val="00853BC9"/>
    <w:rsid w:val="00871575"/>
    <w:rsid w:val="00882906"/>
    <w:rsid w:val="008C14B2"/>
    <w:rsid w:val="008F0671"/>
    <w:rsid w:val="008F2C05"/>
    <w:rsid w:val="00902D03"/>
    <w:rsid w:val="00964E56"/>
    <w:rsid w:val="00971C9F"/>
    <w:rsid w:val="009A754E"/>
    <w:rsid w:val="009B418F"/>
    <w:rsid w:val="009C0F43"/>
    <w:rsid w:val="009D5802"/>
    <w:rsid w:val="00A02F9F"/>
    <w:rsid w:val="00A03A52"/>
    <w:rsid w:val="00A70118"/>
    <w:rsid w:val="00A8339B"/>
    <w:rsid w:val="00A97309"/>
    <w:rsid w:val="00AC7F02"/>
    <w:rsid w:val="00AD588C"/>
    <w:rsid w:val="00AE13E7"/>
    <w:rsid w:val="00AF0774"/>
    <w:rsid w:val="00AF2AB5"/>
    <w:rsid w:val="00B0291B"/>
    <w:rsid w:val="00B10FB4"/>
    <w:rsid w:val="00B27DB2"/>
    <w:rsid w:val="00B27F4C"/>
    <w:rsid w:val="00B77D4D"/>
    <w:rsid w:val="00B940EE"/>
    <w:rsid w:val="00BB5B4C"/>
    <w:rsid w:val="00BB7DCB"/>
    <w:rsid w:val="00BC1AC7"/>
    <w:rsid w:val="00BD24C9"/>
    <w:rsid w:val="00BD2D1C"/>
    <w:rsid w:val="00BD5E1D"/>
    <w:rsid w:val="00BF37EF"/>
    <w:rsid w:val="00C015DB"/>
    <w:rsid w:val="00C03E13"/>
    <w:rsid w:val="00C326F1"/>
    <w:rsid w:val="00C346D3"/>
    <w:rsid w:val="00C34AD2"/>
    <w:rsid w:val="00C45D6B"/>
    <w:rsid w:val="00C64766"/>
    <w:rsid w:val="00C75951"/>
    <w:rsid w:val="00C83A4A"/>
    <w:rsid w:val="00C95157"/>
    <w:rsid w:val="00CB7B69"/>
    <w:rsid w:val="00CC01BC"/>
    <w:rsid w:val="00CE4C89"/>
    <w:rsid w:val="00CF6573"/>
    <w:rsid w:val="00D36868"/>
    <w:rsid w:val="00D73197"/>
    <w:rsid w:val="00D75519"/>
    <w:rsid w:val="00D850E0"/>
    <w:rsid w:val="00DA31C0"/>
    <w:rsid w:val="00DA5EB7"/>
    <w:rsid w:val="00DA7E56"/>
    <w:rsid w:val="00DB2F08"/>
    <w:rsid w:val="00DB4D7D"/>
    <w:rsid w:val="00DC4352"/>
    <w:rsid w:val="00DD1F87"/>
    <w:rsid w:val="00DD553D"/>
    <w:rsid w:val="00DF21F9"/>
    <w:rsid w:val="00DF7B64"/>
    <w:rsid w:val="00E019B3"/>
    <w:rsid w:val="00E17081"/>
    <w:rsid w:val="00E17DCF"/>
    <w:rsid w:val="00E22508"/>
    <w:rsid w:val="00E44B05"/>
    <w:rsid w:val="00E50184"/>
    <w:rsid w:val="00E52F35"/>
    <w:rsid w:val="00E61C94"/>
    <w:rsid w:val="00E93D2A"/>
    <w:rsid w:val="00E946F2"/>
    <w:rsid w:val="00EA0A55"/>
    <w:rsid w:val="00EC1D2E"/>
    <w:rsid w:val="00ED28D7"/>
    <w:rsid w:val="00F1770B"/>
    <w:rsid w:val="00F217C4"/>
    <w:rsid w:val="00F24656"/>
    <w:rsid w:val="00F3349F"/>
    <w:rsid w:val="00F56AA4"/>
    <w:rsid w:val="00F603DA"/>
    <w:rsid w:val="00F851E8"/>
    <w:rsid w:val="00F92E7A"/>
    <w:rsid w:val="00F9579D"/>
    <w:rsid w:val="00FA6A3F"/>
    <w:rsid w:val="00FB1904"/>
    <w:rsid w:val="00FB1C32"/>
    <w:rsid w:val="00FE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style>
  <w:style w:type="paragraph" w:styleId="Heading1">
    <w:name w:val="heading 1"/>
    <w:basedOn w:val="Normal"/>
    <w:next w:val="Normal"/>
    <w:link w:val="Heading1Char"/>
    <w:uiPriority w:val="9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A69"/>
    <w:rPr>
      <w:rFonts w:ascii="Cambria" w:hAnsi="Cambria"/>
      <w:b/>
      <w:kern w:val="32"/>
      <w:sz w:val="32"/>
    </w:rPr>
  </w:style>
  <w:style w:type="character" w:customStyle="1" w:styleId="Heading2Char">
    <w:name w:val="Heading 2 Char"/>
    <w:basedOn w:val="DefaultParagraphFont"/>
    <w:link w:val="Heading2"/>
    <w:uiPriority w:val="99"/>
    <w:semiHidden/>
    <w:locked/>
    <w:rsid w:val="001C41B8"/>
    <w:rPr>
      <w:rFonts w:ascii="Cambria" w:hAnsi="Cambria"/>
      <w:b/>
      <w:i/>
      <w:sz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
    <w:name w:val="Header Char"/>
    <w:basedOn w:val="DefaultParagraphFont"/>
    <w:uiPriority w:val="99"/>
    <w:locked/>
    <w:rsid w:val="008C14B2"/>
    <w:rPr>
      <w:rFonts w:ascii="Arial" w:hAnsi="Arial"/>
      <w:b/>
      <w:sz w:val="22"/>
    </w:rPr>
  </w:style>
  <w:style w:type="character" w:customStyle="1" w:styleId="HeaderChar1">
    <w:name w:val="Header Char1"/>
    <w:link w:val="Header"/>
    <w:uiPriority w:val="99"/>
    <w:locked/>
    <w:rsid w:val="00F3349F"/>
    <w:rPr>
      <w:rFonts w:ascii="Arial" w:hAnsi="Arial"/>
      <w:b/>
      <w:sz w:val="22"/>
    </w:rPr>
  </w:style>
  <w:style w:type="paragraph" w:styleId="BodyText">
    <w:name w:val="Body Text"/>
    <w:basedOn w:val="Normal"/>
    <w:link w:val="BodyTextChar"/>
    <w:uiPriority w:val="99"/>
    <w:rsid w:val="00F3349F"/>
    <w:pPr>
      <w:spacing w:after="0" w:line="240" w:lineRule="auto"/>
    </w:pPr>
    <w:rPr>
      <w:rFonts w:ascii="Arial" w:hAnsi="Arial"/>
      <w:szCs w:val="20"/>
    </w:rPr>
  </w:style>
  <w:style w:type="character" w:customStyle="1" w:styleId="BodyTextChar">
    <w:name w:val="Body Text Char"/>
    <w:basedOn w:val="DefaultParagraphFont"/>
    <w:link w:val="BodyText"/>
    <w:uiPriority w:val="99"/>
    <w:locked/>
    <w:rsid w:val="00F3349F"/>
    <w:rPr>
      <w:rFonts w:ascii="Arial" w:hAnsi="Arial"/>
      <w:sz w:val="22"/>
    </w:rPr>
  </w:style>
  <w:style w:type="paragraph" w:styleId="Footer">
    <w:name w:val="footer"/>
    <w:basedOn w:val="Normal"/>
    <w:link w:val="FooterChar"/>
    <w:uiPriority w:val="99"/>
    <w:rsid w:val="00F3349F"/>
    <w:pPr>
      <w:tabs>
        <w:tab w:val="center" w:pos="4680"/>
        <w:tab w:val="right" w:pos="9360"/>
      </w:tabs>
    </w:pPr>
  </w:style>
  <w:style w:type="character" w:customStyle="1" w:styleId="FooterChar">
    <w:name w:val="Footer Char"/>
    <w:basedOn w:val="DefaultParagraphFont"/>
    <w:link w:val="Footer"/>
    <w:uiPriority w:val="99"/>
    <w:locked/>
    <w:rsid w:val="00F3349F"/>
    <w:rPr>
      <w:sz w:val="22"/>
    </w:rPr>
  </w:style>
  <w:style w:type="paragraph" w:styleId="BalloonText">
    <w:name w:val="Balloon Text"/>
    <w:basedOn w:val="Normal"/>
    <w:link w:val="BalloonTextChar"/>
    <w:uiPriority w:val="99"/>
    <w:semiHidden/>
    <w:rsid w:val="00F3349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3349F"/>
    <w:rPr>
      <w:rFonts w:ascii="Tahoma" w:hAnsi="Tahoma"/>
      <w:sz w:val="16"/>
    </w:rPr>
  </w:style>
  <w:style w:type="character" w:styleId="Hyperlink">
    <w:name w:val="Hyperlink"/>
    <w:basedOn w:val="DefaultParagraphFont"/>
    <w:uiPriority w:val="99"/>
    <w:rsid w:val="00F603DA"/>
    <w:rPr>
      <w:rFonts w:cs="Times New Roman"/>
      <w:color w:val="0000FF"/>
      <w:u w:val="single"/>
    </w:rPr>
  </w:style>
  <w:style w:type="paragraph" w:customStyle="1" w:styleId="DOC-DocumentID">
    <w:name w:val="DOC-Document ID"/>
    <w:basedOn w:val="DOC-HEADING1"/>
    <w:uiPriority w:val="99"/>
    <w:rsid w:val="00B27F4C"/>
    <w:pPr>
      <w:spacing w:line="240" w:lineRule="auto"/>
      <w:jc w:val="right"/>
    </w:pPr>
  </w:style>
  <w:style w:type="paragraph" w:customStyle="1" w:styleId="DOC-TITLE">
    <w:name w:val="DOC-TITLE"/>
    <w:basedOn w:val="Normal"/>
    <w:uiPriority w:val="99"/>
    <w:rsid w:val="00C34AD2"/>
    <w:pPr>
      <w:spacing w:before="60" w:after="60"/>
      <w:jc w:val="center"/>
    </w:pPr>
    <w:rPr>
      <w:rFonts w:ascii="Arial" w:hAnsi="Arial"/>
      <w:b/>
      <w:caps/>
      <w:sz w:val="28"/>
    </w:rPr>
  </w:style>
  <w:style w:type="paragraph" w:customStyle="1" w:styleId="DOC-HEADING1">
    <w:name w:val="DOC-HEADING 1"/>
    <w:basedOn w:val="Heading1"/>
    <w:uiPriority w:val="99"/>
    <w:rsid w:val="00C34AD2"/>
    <w:pPr>
      <w:spacing w:before="0" w:after="0" w:line="480" w:lineRule="auto"/>
    </w:pPr>
    <w:rPr>
      <w:rFonts w:ascii="Arial" w:hAnsi="Arial"/>
      <w:caps/>
      <w:sz w:val="24"/>
    </w:rPr>
  </w:style>
  <w:style w:type="paragraph" w:customStyle="1" w:styleId="DOC-BodyText">
    <w:name w:val="DOC-Body Text"/>
    <w:basedOn w:val="BodyText"/>
    <w:uiPriority w:val="99"/>
    <w:qFormat/>
    <w:rsid w:val="003D1A69"/>
  </w:style>
  <w:style w:type="paragraph" w:customStyle="1" w:styleId="DOC-Heading2">
    <w:name w:val="DOC-Heading 2"/>
    <w:basedOn w:val="Heading2"/>
    <w:uiPriority w:val="99"/>
    <w:rsid w:val="00C34AD2"/>
    <w:pPr>
      <w:spacing w:before="0" w:after="0" w:line="240" w:lineRule="auto"/>
    </w:pPr>
    <w:rPr>
      <w:rFonts w:ascii="Arial" w:hAnsi="Arial" w:cs="Arial"/>
      <w:i w:val="0"/>
      <w:sz w:val="22"/>
    </w:rPr>
  </w:style>
  <w:style w:type="paragraph" w:customStyle="1" w:styleId="DOC-Footer">
    <w:name w:val="DOC-Footer"/>
    <w:basedOn w:val="Footer"/>
    <w:uiPriority w:val="99"/>
    <w:rsid w:val="001C41B8"/>
    <w:pPr>
      <w:spacing w:before="60" w:after="60" w:line="240" w:lineRule="auto"/>
    </w:pPr>
    <w:rPr>
      <w:rFonts w:cs="Arial"/>
      <w:b/>
      <w:sz w:val="16"/>
    </w:rPr>
  </w:style>
  <w:style w:type="table" w:styleId="TableGrid">
    <w:name w:val="Table Grid"/>
    <w:basedOn w:val="TableNormal"/>
    <w:uiPriority w:val="99"/>
    <w:rsid w:val="003379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79D9"/>
    <w:pPr>
      <w:ind w:left="720"/>
    </w:pPr>
  </w:style>
  <w:style w:type="character" w:styleId="CommentReference">
    <w:name w:val="annotation reference"/>
    <w:basedOn w:val="DefaultParagraphFont"/>
    <w:uiPriority w:val="99"/>
    <w:semiHidden/>
    <w:rsid w:val="00BF37EF"/>
    <w:rPr>
      <w:rFonts w:cs="Times New Roman"/>
      <w:sz w:val="16"/>
      <w:szCs w:val="16"/>
    </w:rPr>
  </w:style>
  <w:style w:type="paragraph" w:styleId="CommentText">
    <w:name w:val="annotation text"/>
    <w:basedOn w:val="Normal"/>
    <w:link w:val="CommentTextChar"/>
    <w:uiPriority w:val="99"/>
    <w:semiHidden/>
    <w:rsid w:val="00BF37EF"/>
    <w:rPr>
      <w:sz w:val="20"/>
      <w:szCs w:val="20"/>
    </w:rPr>
  </w:style>
  <w:style w:type="character" w:customStyle="1" w:styleId="CommentTextChar">
    <w:name w:val="Comment Text Char"/>
    <w:basedOn w:val="DefaultParagraphFont"/>
    <w:link w:val="CommentText"/>
    <w:uiPriority w:val="99"/>
    <w:semiHidden/>
    <w:locked/>
    <w:rsid w:val="00BF37EF"/>
    <w:rPr>
      <w:rFonts w:cs="Times New Roman"/>
    </w:rPr>
  </w:style>
  <w:style w:type="paragraph" w:styleId="CommentSubject">
    <w:name w:val="annotation subject"/>
    <w:basedOn w:val="CommentText"/>
    <w:next w:val="CommentText"/>
    <w:link w:val="CommentSubjectChar"/>
    <w:uiPriority w:val="99"/>
    <w:semiHidden/>
    <w:rsid w:val="00BF37EF"/>
    <w:rPr>
      <w:b/>
      <w:bCs/>
    </w:rPr>
  </w:style>
  <w:style w:type="character" w:customStyle="1" w:styleId="CommentSubjectChar">
    <w:name w:val="Comment Subject Char"/>
    <w:basedOn w:val="CommentTextChar"/>
    <w:link w:val="CommentSubject"/>
    <w:uiPriority w:val="99"/>
    <w:semiHidden/>
    <w:locked/>
    <w:rsid w:val="00BF37EF"/>
    <w:rPr>
      <w:rFonts w:cs="Times New Roman"/>
      <w:b/>
      <w:bCs/>
    </w:rPr>
  </w:style>
  <w:style w:type="paragraph" w:customStyle="1" w:styleId="HEADINGUNDERLN">
    <w:name w:val="HEADING UNDERLN"/>
    <w:basedOn w:val="Heading2"/>
    <w:next w:val="Heading1"/>
    <w:rsid w:val="00E50184"/>
    <w:pPr>
      <w:widowControl w:val="0"/>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2160" w:hanging="2160"/>
      <w:jc w:val="both"/>
    </w:pPr>
    <w:rPr>
      <w:rFonts w:ascii="Arial" w:hAnsi="Arial"/>
      <w:bCs w:val="0"/>
      <w:i w:val="0"/>
      <w:iCs w:val="0"/>
      <w:spacing w:val="-2"/>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style>
  <w:style w:type="paragraph" w:styleId="Heading1">
    <w:name w:val="heading 1"/>
    <w:basedOn w:val="Normal"/>
    <w:next w:val="Normal"/>
    <w:link w:val="Heading1Char"/>
    <w:uiPriority w:val="9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A69"/>
    <w:rPr>
      <w:rFonts w:ascii="Cambria" w:hAnsi="Cambria"/>
      <w:b/>
      <w:kern w:val="32"/>
      <w:sz w:val="32"/>
    </w:rPr>
  </w:style>
  <w:style w:type="character" w:customStyle="1" w:styleId="Heading2Char">
    <w:name w:val="Heading 2 Char"/>
    <w:basedOn w:val="DefaultParagraphFont"/>
    <w:link w:val="Heading2"/>
    <w:uiPriority w:val="99"/>
    <w:semiHidden/>
    <w:locked/>
    <w:rsid w:val="001C41B8"/>
    <w:rPr>
      <w:rFonts w:ascii="Cambria" w:hAnsi="Cambria"/>
      <w:b/>
      <w:i/>
      <w:sz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
    <w:name w:val="Header Char"/>
    <w:basedOn w:val="DefaultParagraphFont"/>
    <w:uiPriority w:val="99"/>
    <w:locked/>
    <w:rsid w:val="008C14B2"/>
    <w:rPr>
      <w:rFonts w:ascii="Arial" w:hAnsi="Arial"/>
      <w:b/>
      <w:sz w:val="22"/>
    </w:rPr>
  </w:style>
  <w:style w:type="character" w:customStyle="1" w:styleId="HeaderChar1">
    <w:name w:val="Header Char1"/>
    <w:link w:val="Header"/>
    <w:uiPriority w:val="99"/>
    <w:locked/>
    <w:rsid w:val="00F3349F"/>
    <w:rPr>
      <w:rFonts w:ascii="Arial" w:hAnsi="Arial"/>
      <w:b/>
      <w:sz w:val="22"/>
    </w:rPr>
  </w:style>
  <w:style w:type="paragraph" w:styleId="BodyText">
    <w:name w:val="Body Text"/>
    <w:basedOn w:val="Normal"/>
    <w:link w:val="BodyTextChar"/>
    <w:uiPriority w:val="99"/>
    <w:rsid w:val="00F3349F"/>
    <w:pPr>
      <w:spacing w:after="0" w:line="240" w:lineRule="auto"/>
    </w:pPr>
    <w:rPr>
      <w:rFonts w:ascii="Arial" w:hAnsi="Arial"/>
      <w:szCs w:val="20"/>
    </w:rPr>
  </w:style>
  <w:style w:type="character" w:customStyle="1" w:styleId="BodyTextChar">
    <w:name w:val="Body Text Char"/>
    <w:basedOn w:val="DefaultParagraphFont"/>
    <w:link w:val="BodyText"/>
    <w:uiPriority w:val="99"/>
    <w:locked/>
    <w:rsid w:val="00F3349F"/>
    <w:rPr>
      <w:rFonts w:ascii="Arial" w:hAnsi="Arial"/>
      <w:sz w:val="22"/>
    </w:rPr>
  </w:style>
  <w:style w:type="paragraph" w:styleId="Footer">
    <w:name w:val="footer"/>
    <w:basedOn w:val="Normal"/>
    <w:link w:val="FooterChar"/>
    <w:uiPriority w:val="99"/>
    <w:rsid w:val="00F3349F"/>
    <w:pPr>
      <w:tabs>
        <w:tab w:val="center" w:pos="4680"/>
        <w:tab w:val="right" w:pos="9360"/>
      </w:tabs>
    </w:pPr>
  </w:style>
  <w:style w:type="character" w:customStyle="1" w:styleId="FooterChar">
    <w:name w:val="Footer Char"/>
    <w:basedOn w:val="DefaultParagraphFont"/>
    <w:link w:val="Footer"/>
    <w:uiPriority w:val="99"/>
    <w:locked/>
    <w:rsid w:val="00F3349F"/>
    <w:rPr>
      <w:sz w:val="22"/>
    </w:rPr>
  </w:style>
  <w:style w:type="paragraph" w:styleId="BalloonText">
    <w:name w:val="Balloon Text"/>
    <w:basedOn w:val="Normal"/>
    <w:link w:val="BalloonTextChar"/>
    <w:uiPriority w:val="99"/>
    <w:semiHidden/>
    <w:rsid w:val="00F3349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3349F"/>
    <w:rPr>
      <w:rFonts w:ascii="Tahoma" w:hAnsi="Tahoma"/>
      <w:sz w:val="16"/>
    </w:rPr>
  </w:style>
  <w:style w:type="character" w:styleId="Hyperlink">
    <w:name w:val="Hyperlink"/>
    <w:basedOn w:val="DefaultParagraphFont"/>
    <w:uiPriority w:val="99"/>
    <w:rsid w:val="00F603DA"/>
    <w:rPr>
      <w:rFonts w:cs="Times New Roman"/>
      <w:color w:val="0000FF"/>
      <w:u w:val="single"/>
    </w:rPr>
  </w:style>
  <w:style w:type="paragraph" w:customStyle="1" w:styleId="DOC-DocumentID">
    <w:name w:val="DOC-Document ID"/>
    <w:basedOn w:val="DOC-HEADING1"/>
    <w:uiPriority w:val="99"/>
    <w:rsid w:val="00B27F4C"/>
    <w:pPr>
      <w:spacing w:line="240" w:lineRule="auto"/>
      <w:jc w:val="right"/>
    </w:pPr>
  </w:style>
  <w:style w:type="paragraph" w:customStyle="1" w:styleId="DOC-TITLE">
    <w:name w:val="DOC-TITLE"/>
    <w:basedOn w:val="Normal"/>
    <w:uiPriority w:val="99"/>
    <w:rsid w:val="00C34AD2"/>
    <w:pPr>
      <w:spacing w:before="60" w:after="60"/>
      <w:jc w:val="center"/>
    </w:pPr>
    <w:rPr>
      <w:rFonts w:ascii="Arial" w:hAnsi="Arial"/>
      <w:b/>
      <w:caps/>
      <w:sz w:val="28"/>
    </w:rPr>
  </w:style>
  <w:style w:type="paragraph" w:customStyle="1" w:styleId="DOC-HEADING1">
    <w:name w:val="DOC-HEADING 1"/>
    <w:basedOn w:val="Heading1"/>
    <w:uiPriority w:val="99"/>
    <w:rsid w:val="00C34AD2"/>
    <w:pPr>
      <w:spacing w:before="0" w:after="0" w:line="480" w:lineRule="auto"/>
    </w:pPr>
    <w:rPr>
      <w:rFonts w:ascii="Arial" w:hAnsi="Arial"/>
      <w:caps/>
      <w:sz w:val="24"/>
    </w:rPr>
  </w:style>
  <w:style w:type="paragraph" w:customStyle="1" w:styleId="DOC-BodyText">
    <w:name w:val="DOC-Body Text"/>
    <w:basedOn w:val="BodyText"/>
    <w:uiPriority w:val="99"/>
    <w:qFormat/>
    <w:rsid w:val="003D1A69"/>
  </w:style>
  <w:style w:type="paragraph" w:customStyle="1" w:styleId="DOC-Heading2">
    <w:name w:val="DOC-Heading 2"/>
    <w:basedOn w:val="Heading2"/>
    <w:uiPriority w:val="99"/>
    <w:rsid w:val="00C34AD2"/>
    <w:pPr>
      <w:spacing w:before="0" w:after="0" w:line="240" w:lineRule="auto"/>
    </w:pPr>
    <w:rPr>
      <w:rFonts w:ascii="Arial" w:hAnsi="Arial" w:cs="Arial"/>
      <w:i w:val="0"/>
      <w:sz w:val="22"/>
    </w:rPr>
  </w:style>
  <w:style w:type="paragraph" w:customStyle="1" w:styleId="DOC-Footer">
    <w:name w:val="DOC-Footer"/>
    <w:basedOn w:val="Footer"/>
    <w:uiPriority w:val="99"/>
    <w:rsid w:val="001C41B8"/>
    <w:pPr>
      <w:spacing w:before="60" w:after="60" w:line="240" w:lineRule="auto"/>
    </w:pPr>
    <w:rPr>
      <w:rFonts w:cs="Arial"/>
      <w:b/>
      <w:sz w:val="16"/>
    </w:rPr>
  </w:style>
  <w:style w:type="table" w:styleId="TableGrid">
    <w:name w:val="Table Grid"/>
    <w:basedOn w:val="TableNormal"/>
    <w:uiPriority w:val="99"/>
    <w:rsid w:val="003379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79D9"/>
    <w:pPr>
      <w:ind w:left="720"/>
    </w:pPr>
  </w:style>
  <w:style w:type="character" w:styleId="CommentReference">
    <w:name w:val="annotation reference"/>
    <w:basedOn w:val="DefaultParagraphFont"/>
    <w:uiPriority w:val="99"/>
    <w:semiHidden/>
    <w:rsid w:val="00BF37EF"/>
    <w:rPr>
      <w:rFonts w:cs="Times New Roman"/>
      <w:sz w:val="16"/>
      <w:szCs w:val="16"/>
    </w:rPr>
  </w:style>
  <w:style w:type="paragraph" w:styleId="CommentText">
    <w:name w:val="annotation text"/>
    <w:basedOn w:val="Normal"/>
    <w:link w:val="CommentTextChar"/>
    <w:uiPriority w:val="99"/>
    <w:semiHidden/>
    <w:rsid w:val="00BF37EF"/>
    <w:rPr>
      <w:sz w:val="20"/>
      <w:szCs w:val="20"/>
    </w:rPr>
  </w:style>
  <w:style w:type="character" w:customStyle="1" w:styleId="CommentTextChar">
    <w:name w:val="Comment Text Char"/>
    <w:basedOn w:val="DefaultParagraphFont"/>
    <w:link w:val="CommentText"/>
    <w:uiPriority w:val="99"/>
    <w:semiHidden/>
    <w:locked/>
    <w:rsid w:val="00BF37EF"/>
    <w:rPr>
      <w:rFonts w:cs="Times New Roman"/>
    </w:rPr>
  </w:style>
  <w:style w:type="paragraph" w:styleId="CommentSubject">
    <w:name w:val="annotation subject"/>
    <w:basedOn w:val="CommentText"/>
    <w:next w:val="CommentText"/>
    <w:link w:val="CommentSubjectChar"/>
    <w:uiPriority w:val="99"/>
    <w:semiHidden/>
    <w:rsid w:val="00BF37EF"/>
    <w:rPr>
      <w:b/>
      <w:bCs/>
    </w:rPr>
  </w:style>
  <w:style w:type="character" w:customStyle="1" w:styleId="CommentSubjectChar">
    <w:name w:val="Comment Subject Char"/>
    <w:basedOn w:val="CommentTextChar"/>
    <w:link w:val="CommentSubject"/>
    <w:uiPriority w:val="99"/>
    <w:semiHidden/>
    <w:locked/>
    <w:rsid w:val="00BF37EF"/>
    <w:rPr>
      <w:rFonts w:cs="Times New Roman"/>
      <w:b/>
      <w:bCs/>
    </w:rPr>
  </w:style>
  <w:style w:type="paragraph" w:customStyle="1" w:styleId="HEADINGUNDERLN">
    <w:name w:val="HEADING UNDERLN"/>
    <w:basedOn w:val="Heading2"/>
    <w:next w:val="Heading1"/>
    <w:rsid w:val="00E50184"/>
    <w:pPr>
      <w:widowControl w:val="0"/>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2160" w:hanging="2160"/>
      <w:jc w:val="both"/>
    </w:pPr>
    <w:rPr>
      <w:rFonts w:ascii="Arial" w:hAnsi="Arial"/>
      <w:bCs w:val="0"/>
      <w:i w:val="0"/>
      <w:iCs w:val="0"/>
      <w:spacing w:val="-2"/>
      <w:sz w:val="20"/>
      <w:szCs w:val="20"/>
      <w:u w:val="single"/>
    </w:rPr>
  </w:style>
</w:styles>
</file>

<file path=word/webSettings.xml><?xml version="1.0" encoding="utf-8"?>
<w:webSettings xmlns:r="http://schemas.openxmlformats.org/officeDocument/2006/relationships" xmlns:w="http://schemas.openxmlformats.org/wordprocessingml/2006/main">
  <w:divs>
    <w:div w:id="786510680">
      <w:marLeft w:val="150"/>
      <w:marRight w:val="150"/>
      <w:marTop w:val="150"/>
      <w:marBottom w:val="150"/>
      <w:divBdr>
        <w:top w:val="none" w:sz="0" w:space="0" w:color="auto"/>
        <w:left w:val="none" w:sz="0" w:space="0" w:color="auto"/>
        <w:bottom w:val="none" w:sz="0" w:space="0" w:color="auto"/>
        <w:right w:val="none" w:sz="0" w:space="0" w:color="auto"/>
      </w:divBdr>
      <w:divsChild>
        <w:div w:id="786510678">
          <w:marLeft w:val="0"/>
          <w:marRight w:val="0"/>
          <w:marTop w:val="0"/>
          <w:marBottom w:val="0"/>
          <w:divBdr>
            <w:top w:val="none" w:sz="0" w:space="0" w:color="auto"/>
            <w:left w:val="none" w:sz="0" w:space="0" w:color="auto"/>
            <w:bottom w:val="none" w:sz="0" w:space="0" w:color="auto"/>
            <w:right w:val="none" w:sz="0" w:space="0" w:color="auto"/>
          </w:divBdr>
          <w:divsChild>
            <w:div w:id="786510674">
              <w:marLeft w:val="0"/>
              <w:marRight w:val="0"/>
              <w:marTop w:val="0"/>
              <w:marBottom w:val="0"/>
              <w:divBdr>
                <w:top w:val="single" w:sz="48" w:space="0" w:color="D88C02"/>
                <w:left w:val="none" w:sz="0" w:space="0" w:color="auto"/>
                <w:bottom w:val="none" w:sz="0" w:space="0" w:color="auto"/>
                <w:right w:val="none" w:sz="0" w:space="0" w:color="auto"/>
              </w:divBdr>
              <w:divsChild>
                <w:div w:id="786510675">
                  <w:marLeft w:val="0"/>
                  <w:marRight w:val="0"/>
                  <w:marTop w:val="0"/>
                  <w:marBottom w:val="0"/>
                  <w:divBdr>
                    <w:top w:val="none" w:sz="0" w:space="0" w:color="auto"/>
                    <w:left w:val="none" w:sz="0" w:space="0" w:color="auto"/>
                    <w:bottom w:val="none" w:sz="0" w:space="0" w:color="auto"/>
                    <w:right w:val="none" w:sz="0" w:space="0" w:color="auto"/>
                  </w:divBdr>
                  <w:divsChild>
                    <w:div w:id="7865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10682">
      <w:marLeft w:val="197"/>
      <w:marRight w:val="197"/>
      <w:marTop w:val="197"/>
      <w:marBottom w:val="197"/>
      <w:divBdr>
        <w:top w:val="none" w:sz="0" w:space="0" w:color="auto"/>
        <w:left w:val="none" w:sz="0" w:space="0" w:color="auto"/>
        <w:bottom w:val="none" w:sz="0" w:space="0" w:color="auto"/>
        <w:right w:val="none" w:sz="0" w:space="0" w:color="auto"/>
      </w:divBdr>
      <w:divsChild>
        <w:div w:id="786510673">
          <w:marLeft w:val="0"/>
          <w:marRight w:val="0"/>
          <w:marTop w:val="0"/>
          <w:marBottom w:val="0"/>
          <w:divBdr>
            <w:top w:val="none" w:sz="0" w:space="0" w:color="auto"/>
            <w:left w:val="none" w:sz="0" w:space="0" w:color="auto"/>
            <w:bottom w:val="none" w:sz="0" w:space="0" w:color="auto"/>
            <w:right w:val="none" w:sz="0" w:space="0" w:color="auto"/>
          </w:divBdr>
          <w:divsChild>
            <w:div w:id="786510681">
              <w:marLeft w:val="0"/>
              <w:marRight w:val="0"/>
              <w:marTop w:val="0"/>
              <w:marBottom w:val="0"/>
              <w:divBdr>
                <w:top w:val="single" w:sz="48" w:space="0" w:color="D88C02"/>
                <w:left w:val="none" w:sz="0" w:space="0" w:color="auto"/>
                <w:bottom w:val="none" w:sz="0" w:space="0" w:color="auto"/>
                <w:right w:val="none" w:sz="0" w:space="0" w:color="auto"/>
              </w:divBdr>
              <w:divsChild>
                <w:div w:id="786510679">
                  <w:marLeft w:val="0"/>
                  <w:marRight w:val="0"/>
                  <w:marTop w:val="0"/>
                  <w:marBottom w:val="0"/>
                  <w:divBdr>
                    <w:top w:val="none" w:sz="0" w:space="0" w:color="auto"/>
                    <w:left w:val="none" w:sz="0" w:space="0" w:color="auto"/>
                    <w:bottom w:val="none" w:sz="0" w:space="0" w:color="auto"/>
                    <w:right w:val="none" w:sz="0" w:space="0" w:color="auto"/>
                  </w:divBdr>
                  <w:divsChild>
                    <w:div w:id="786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209-19-12\Work%20Instruc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 Instruction Template.dot</Template>
  <TotalTime>8</TotalTime>
  <Pages>7</Pages>
  <Words>1694</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ACL TOP-Fibrinogen QFA(FIB)</vt:lpstr>
    </vt:vector>
  </TitlesOfParts>
  <Company>FHS</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TOP-Fibrinogen QFA(FIB)</dc:title>
  <dc:subject>Fibrinogen</dc:subject>
  <dc:creator>Nuria </dc:creator>
  <cp:keywords>FIB, Fibrinogen</cp:keywords>
  <cp:lastModifiedBy>DCapers</cp:lastModifiedBy>
  <cp:revision>9</cp:revision>
  <cp:lastPrinted>2013-07-26T19:05:00Z</cp:lastPrinted>
  <dcterms:created xsi:type="dcterms:W3CDTF">2013-07-26T16:17:00Z</dcterms:created>
  <dcterms:modified xsi:type="dcterms:W3CDTF">2013-08-07T17:51:00Z</dcterms:modified>
  <cp:category>Coagulation </cp:category>
</cp:coreProperties>
</file>