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D34" w:rsidRDefault="00334824">
      <w:r>
        <w:t>MTS CAP survey corrective action competency:</w:t>
      </w:r>
      <w:r w:rsidR="007A7F06">
        <w:t xml:space="preserve"> SEM-B 2012</w:t>
      </w:r>
    </w:p>
    <w:p w:rsidR="000D44A7" w:rsidRDefault="000D44A7">
      <w:r>
        <w:t>Recently a SEM CAP survey was unsuccessful; using the semen analysis worksheets could have prevented the errors.</w:t>
      </w:r>
    </w:p>
    <w:p w:rsidR="007A7F06" w:rsidRDefault="007A7F06">
      <w:r>
        <w:t xml:space="preserve">SEM-11 and SEM-12 results were switched on CAP result form; see below </w:t>
      </w:r>
    </w:p>
    <w:p w:rsidR="0098212C" w:rsidRDefault="0098212C"/>
    <w:p w:rsidR="0098212C" w:rsidRDefault="0098212C">
      <w:r>
        <w:rPr>
          <w:noProof/>
        </w:rPr>
        <w:drawing>
          <wp:inline distT="0" distB="0" distL="0" distR="0">
            <wp:extent cx="6858000" cy="5251681"/>
            <wp:effectExtent l="19050" t="0" r="0" b="0"/>
            <wp:docPr id="4" name="Picture 1" descr="G:\Scan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can0008.JPG"/>
                    <pic:cNvPicPr>
                      <a:picLocks noChangeAspect="1" noChangeArrowheads="1"/>
                    </pic:cNvPicPr>
                  </pic:nvPicPr>
                  <pic:blipFill>
                    <a:blip r:embed="rId6" cstate="print"/>
                    <a:srcRect/>
                    <a:stretch>
                      <a:fillRect/>
                    </a:stretch>
                  </pic:blipFill>
                  <pic:spPr bwMode="auto">
                    <a:xfrm>
                      <a:off x="0" y="0"/>
                      <a:ext cx="6858000" cy="5251681"/>
                    </a:xfrm>
                    <a:prstGeom prst="rect">
                      <a:avLst/>
                    </a:prstGeom>
                    <a:noFill/>
                    <a:ln w="9525">
                      <a:noFill/>
                      <a:miter lim="800000"/>
                      <a:headEnd/>
                      <a:tailEnd/>
                    </a:ln>
                  </pic:spPr>
                </pic:pic>
              </a:graphicData>
            </a:graphic>
          </wp:inline>
        </w:drawing>
      </w:r>
    </w:p>
    <w:p w:rsidR="0098212C" w:rsidRDefault="0098212C"/>
    <w:p w:rsidR="0098212C" w:rsidRDefault="0098212C"/>
    <w:p w:rsidR="0098212C" w:rsidRDefault="0098212C"/>
    <w:p w:rsidR="0098212C" w:rsidRDefault="0098212C"/>
    <w:p w:rsidR="0098212C" w:rsidRDefault="0098212C"/>
    <w:p w:rsidR="0098212C" w:rsidRDefault="0098212C"/>
    <w:p w:rsidR="0098212C" w:rsidRDefault="0098212C"/>
    <w:p w:rsidR="0098212C" w:rsidRDefault="0098212C"/>
    <w:p w:rsidR="0098212C" w:rsidRDefault="0098212C"/>
    <w:p w:rsidR="0098212C" w:rsidRDefault="0098212C"/>
    <w:p w:rsidR="0098212C" w:rsidRDefault="007A7F06">
      <w:r>
        <w:t>The Complete Semen Analysis worksheets should be used. Proficiency Samples should be ran in the same manner as patients. These worksheets are with the Path review forms on top of the differential slide file box.</w:t>
      </w:r>
    </w:p>
    <w:p w:rsidR="0098212C" w:rsidRDefault="0098212C"/>
    <w:p w:rsidR="00334824" w:rsidRDefault="00E46B24" w:rsidP="007A7F06">
      <w:pPr>
        <w:jc w:val="center"/>
      </w:pPr>
      <w:r>
        <w:rPr>
          <w:noProof/>
        </w:rPr>
        <w:drawing>
          <wp:inline distT="0" distB="0" distL="0" distR="0">
            <wp:extent cx="5270500" cy="3952875"/>
            <wp:effectExtent l="19050" t="0" r="6350" b="0"/>
            <wp:docPr id="3" name="Picture 0"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bmp"/>
                    <pic:cNvPicPr/>
                  </pic:nvPicPr>
                  <pic:blipFill>
                    <a:blip r:embed="rId7" cstate="print"/>
                    <a:stretch>
                      <a:fillRect/>
                    </a:stretch>
                  </pic:blipFill>
                  <pic:spPr>
                    <a:xfrm>
                      <a:off x="0" y="0"/>
                      <a:ext cx="5270500" cy="3952875"/>
                    </a:xfrm>
                    <a:prstGeom prst="rect">
                      <a:avLst/>
                    </a:prstGeom>
                  </pic:spPr>
                </pic:pic>
              </a:graphicData>
            </a:graphic>
          </wp:inline>
        </w:drawing>
      </w:r>
    </w:p>
    <w:p w:rsidR="007A7F06" w:rsidRDefault="007A7F06" w:rsidP="007A7F06">
      <w:pPr>
        <w:jc w:val="center"/>
      </w:pPr>
      <w:r>
        <w:t>These forms will be filled out for both patients and Cap Surveys and filed with the result forms.</w:t>
      </w:r>
    </w:p>
    <w:p w:rsidR="007A7F06" w:rsidRDefault="007A7F06" w:rsidP="007A7F06">
      <w:pPr>
        <w:jc w:val="center"/>
      </w:pPr>
      <w:r>
        <w:t>Failure to do so will result in disciplinary action.</w:t>
      </w:r>
    </w:p>
    <w:p w:rsidR="007A7F06" w:rsidRDefault="007A7F06" w:rsidP="007A7F06">
      <w:pPr>
        <w:jc w:val="center"/>
      </w:pPr>
      <w:r>
        <w:t xml:space="preserve">Review the sperm analysis </w:t>
      </w:r>
      <w:r w:rsidR="003568B5">
        <w:t>procedure.</w:t>
      </w:r>
    </w:p>
    <w:p w:rsidR="007A7F06" w:rsidRDefault="007A7F06" w:rsidP="007A7F06">
      <w:pPr>
        <w:jc w:val="center"/>
      </w:pPr>
    </w:p>
    <w:p w:rsidR="007A7F06" w:rsidRDefault="007A7F06" w:rsidP="007A7F06">
      <w:pPr>
        <w:jc w:val="center"/>
      </w:pPr>
    </w:p>
    <w:p w:rsidR="0025155F" w:rsidRDefault="0025155F" w:rsidP="0025155F"/>
    <w:p w:rsidR="0025155F" w:rsidRDefault="0025155F" w:rsidP="00334824">
      <w:pPr>
        <w:pStyle w:val="ListParagraph"/>
      </w:pPr>
    </w:p>
    <w:p w:rsidR="0025155F" w:rsidRDefault="00E46B24" w:rsidP="00334824">
      <w:pPr>
        <w:pStyle w:val="ListParagraph"/>
      </w:pPr>
      <w:r>
        <w:t xml:space="preserve">Review policy </w:t>
      </w:r>
      <w:hyperlink r:id="rId8" w:history="1">
        <w:r w:rsidRPr="00E46B24">
          <w:rPr>
            <w:rStyle w:val="Hyperlink"/>
          </w:rPr>
          <w:t>here</w:t>
        </w:r>
      </w:hyperlink>
      <w:r>
        <w:t xml:space="preserve"> </w:t>
      </w:r>
    </w:p>
    <w:sectPr w:rsidR="0025155F" w:rsidSect="00E46B2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15D14"/>
    <w:multiLevelType w:val="hybridMultilevel"/>
    <w:tmpl w:val="FD486C1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34824"/>
    <w:rsid w:val="000D44A7"/>
    <w:rsid w:val="001A6889"/>
    <w:rsid w:val="0025155F"/>
    <w:rsid w:val="00334824"/>
    <w:rsid w:val="003568B5"/>
    <w:rsid w:val="006A0165"/>
    <w:rsid w:val="007A5D34"/>
    <w:rsid w:val="007A7F06"/>
    <w:rsid w:val="00871BE3"/>
    <w:rsid w:val="0098212C"/>
    <w:rsid w:val="00DD072D"/>
    <w:rsid w:val="00E46B24"/>
    <w:rsid w:val="00FA3D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D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824"/>
    <w:pPr>
      <w:ind w:left="720"/>
      <w:contextualSpacing/>
    </w:pPr>
  </w:style>
  <w:style w:type="paragraph" w:styleId="BalloonText">
    <w:name w:val="Balloon Text"/>
    <w:basedOn w:val="Normal"/>
    <w:link w:val="BalloonTextChar"/>
    <w:uiPriority w:val="99"/>
    <w:semiHidden/>
    <w:unhideWhenUsed/>
    <w:rsid w:val="00251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55F"/>
    <w:rPr>
      <w:rFonts w:ascii="Tahoma" w:hAnsi="Tahoma" w:cs="Tahoma"/>
      <w:sz w:val="16"/>
      <w:szCs w:val="16"/>
    </w:rPr>
  </w:style>
  <w:style w:type="character" w:styleId="Hyperlink">
    <w:name w:val="Hyperlink"/>
    <w:basedOn w:val="DefaultParagraphFont"/>
    <w:uiPriority w:val="99"/>
    <w:unhideWhenUsed/>
    <w:rsid w:val="00E46B24"/>
    <w:rPr>
      <w:color w:val="0000FF" w:themeColor="hyperlink"/>
      <w:u w:val="single"/>
    </w:rPr>
  </w:style>
  <w:style w:type="character" w:styleId="FollowedHyperlink">
    <w:name w:val="FollowedHyperlink"/>
    <w:basedOn w:val="DefaultParagraphFont"/>
    <w:uiPriority w:val="99"/>
    <w:semiHidden/>
    <w:unhideWhenUsed/>
    <w:rsid w:val="00E46B2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ome.wco.health-partners.org/documents_smm_pnp/public/16463_nvml.hem.t.026%20semen%20analysis.pdf"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BEB9E-1F98-45BD-9E72-D3E9B3E6F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119</Words>
  <Characters>680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CHPIT</Company>
  <LinksUpToDate>false</LinksUpToDate>
  <CharactersWithSpaces>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stum056</dc:creator>
  <cp:keywords/>
  <dc:description/>
  <cp:lastModifiedBy>stum056</cp:lastModifiedBy>
  <cp:revision>2</cp:revision>
  <dcterms:created xsi:type="dcterms:W3CDTF">2013-02-12T11:38:00Z</dcterms:created>
  <dcterms:modified xsi:type="dcterms:W3CDTF">2013-02-12T11:38:00Z</dcterms:modified>
</cp:coreProperties>
</file>