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32" w:rsidRDefault="00116432">
      <w:pPr>
        <w:rPr>
          <w:rFonts w:ascii="Verdana" w:hAnsi="Verdana"/>
          <w:color w:val="000000"/>
          <w:sz w:val="18"/>
          <w:szCs w:val="18"/>
        </w:rPr>
      </w:pPr>
      <w:r>
        <w:rPr>
          <w:rFonts w:ascii="Verdana" w:hAnsi="Verdana"/>
          <w:color w:val="000000"/>
          <w:sz w:val="18"/>
          <w:szCs w:val="18"/>
        </w:rPr>
        <w:t>The CAP recommends reporting WBC classifications as absolute values.</w:t>
      </w:r>
    </w:p>
    <w:p w:rsidR="002F65D1" w:rsidRDefault="00116432">
      <w:pPr>
        <w:rPr>
          <w:rFonts w:ascii="Verdana" w:hAnsi="Verdana"/>
          <w:color w:val="000000"/>
          <w:sz w:val="18"/>
          <w:szCs w:val="18"/>
        </w:rPr>
      </w:pPr>
      <w:r>
        <w:rPr>
          <w:rFonts w:ascii="Verdana" w:hAnsi="Verdana"/>
          <w:color w:val="000000"/>
          <w:sz w:val="18"/>
          <w:szCs w:val="18"/>
        </w:rPr>
        <w:t xml:space="preserve">Historically, we have reported only percentages of WBC’s with a reference range for the percentage, or relative concentration of the cell types.  However, for clinical interpretation, these WBC proportions must be converted to absolute numbers by multiplying the percentage of a given WBC type (for example, </w:t>
      </w:r>
      <w:proofErr w:type="spellStart"/>
      <w:r>
        <w:rPr>
          <w:rFonts w:ascii="Verdana" w:hAnsi="Verdana"/>
          <w:color w:val="000000"/>
          <w:sz w:val="18"/>
          <w:szCs w:val="18"/>
        </w:rPr>
        <w:t>neutrophils</w:t>
      </w:r>
      <w:proofErr w:type="spellEnd"/>
      <w:r>
        <w:rPr>
          <w:rFonts w:ascii="Verdana" w:hAnsi="Verdana"/>
          <w:color w:val="000000"/>
          <w:sz w:val="18"/>
          <w:szCs w:val="18"/>
        </w:rPr>
        <w:t>) by the overall WBC count. There is potential for error if this conversion is performed outside the laboratory by the clinical services. Generally, clinically relevant WBC elevations (“</w:t>
      </w:r>
      <w:proofErr w:type="spellStart"/>
      <w:r>
        <w:rPr>
          <w:rFonts w:ascii="Verdana" w:hAnsi="Verdana"/>
          <w:color w:val="000000"/>
          <w:sz w:val="18"/>
          <w:szCs w:val="18"/>
        </w:rPr>
        <w:t>cytoses</w:t>
      </w:r>
      <w:proofErr w:type="spellEnd"/>
      <w:r>
        <w:rPr>
          <w:rFonts w:ascii="Verdana" w:hAnsi="Verdana"/>
          <w:color w:val="000000"/>
          <w:sz w:val="18"/>
          <w:szCs w:val="18"/>
        </w:rPr>
        <w:t>”) and declines (“</w:t>
      </w:r>
      <w:proofErr w:type="spellStart"/>
      <w:r>
        <w:rPr>
          <w:rFonts w:ascii="Verdana" w:hAnsi="Verdana"/>
          <w:color w:val="000000"/>
          <w:sz w:val="18"/>
          <w:szCs w:val="18"/>
        </w:rPr>
        <w:t>cytopenias</w:t>
      </w:r>
      <w:proofErr w:type="spellEnd"/>
      <w:r>
        <w:rPr>
          <w:rFonts w:ascii="Verdana" w:hAnsi="Verdana"/>
          <w:color w:val="000000"/>
          <w:sz w:val="18"/>
          <w:szCs w:val="18"/>
        </w:rPr>
        <w:t>”) are defined by their absolute numbers, not by their relative proportions. Based on this, current recommendations, including those of the CAP Hematology and Clinical Microscopy Resource Committee and the Clinical and Laboratory Standards Institute, state that the absolute count is the preferred reporting method for the WBC differential.</w:t>
      </w:r>
    </w:p>
    <w:p w:rsidR="00116432" w:rsidRDefault="00116432">
      <w:pPr>
        <w:rPr>
          <w:rFonts w:ascii="Verdana" w:hAnsi="Verdana"/>
          <w:color w:val="000000"/>
          <w:sz w:val="18"/>
          <w:szCs w:val="18"/>
        </w:rPr>
      </w:pPr>
      <w:r>
        <w:rPr>
          <w:rFonts w:ascii="Verdana" w:hAnsi="Verdana"/>
          <w:color w:val="000000"/>
          <w:sz w:val="18"/>
          <w:szCs w:val="18"/>
        </w:rPr>
        <w:t>As of October 21</w:t>
      </w:r>
      <w:r w:rsidRPr="00116432">
        <w:rPr>
          <w:rFonts w:ascii="Verdana" w:hAnsi="Verdana"/>
          <w:color w:val="000000"/>
          <w:sz w:val="18"/>
          <w:szCs w:val="18"/>
          <w:vertAlign w:val="superscript"/>
        </w:rPr>
        <w:t>st</w:t>
      </w:r>
      <w:r>
        <w:rPr>
          <w:rFonts w:ascii="Verdana" w:hAnsi="Verdana"/>
          <w:color w:val="000000"/>
          <w:sz w:val="18"/>
          <w:szCs w:val="18"/>
        </w:rPr>
        <w:t xml:space="preserve"> 2013 we will no longer report the reference range for the percentages of the WBC differentials, and we will begin reporting a reference range for the absolute concentrations of WBC’s.</w:t>
      </w:r>
    </w:p>
    <w:p w:rsidR="00116432" w:rsidRDefault="00116432">
      <w:pPr>
        <w:rPr>
          <w:rFonts w:ascii="Verdana" w:hAnsi="Verdana"/>
          <w:color w:val="000000"/>
          <w:sz w:val="18"/>
          <w:szCs w:val="18"/>
        </w:rPr>
      </w:pPr>
      <w:r>
        <w:rPr>
          <w:rFonts w:ascii="Verdana" w:hAnsi="Verdana"/>
          <w:color w:val="000000"/>
          <w:sz w:val="18"/>
          <w:szCs w:val="18"/>
        </w:rPr>
        <w:t>The following chart gives the normal ranges</w:t>
      </w:r>
      <w:r w:rsidR="007956F3">
        <w:rPr>
          <w:rFonts w:ascii="Verdana" w:hAnsi="Verdana"/>
          <w:color w:val="000000"/>
          <w:sz w:val="18"/>
          <w:szCs w:val="18"/>
        </w:rPr>
        <w:t xml:space="preserve"> for absolute counts </w:t>
      </w:r>
      <w:r>
        <w:rPr>
          <w:rFonts w:ascii="Verdana" w:hAnsi="Verdana"/>
          <w:color w:val="000000"/>
          <w:sz w:val="18"/>
          <w:szCs w:val="18"/>
        </w:rPr>
        <w:t xml:space="preserve">approved by Dr. Malcolm </w:t>
      </w:r>
      <w:r w:rsidR="007956F3">
        <w:rPr>
          <w:rFonts w:ascii="Verdana" w:hAnsi="Verdana"/>
          <w:color w:val="000000"/>
          <w:sz w:val="18"/>
          <w:szCs w:val="18"/>
        </w:rPr>
        <w:t>for each</w:t>
      </w:r>
      <w:r>
        <w:rPr>
          <w:rFonts w:ascii="Verdana" w:hAnsi="Verdana"/>
          <w:color w:val="000000"/>
          <w:sz w:val="18"/>
          <w:szCs w:val="18"/>
        </w:rPr>
        <w:t xml:space="preserve"> age group.</w:t>
      </w:r>
    </w:p>
    <w:p w:rsidR="00116432" w:rsidRDefault="00116432">
      <w:pPr>
        <w:rPr>
          <w:rFonts w:ascii="Verdana" w:hAnsi="Verdana"/>
          <w:color w:val="000000"/>
          <w:sz w:val="18"/>
          <w:szCs w:val="18"/>
        </w:rPr>
      </w:pPr>
      <w:r>
        <w:rPr>
          <w:rFonts w:ascii="Verdana" w:hAnsi="Verdana"/>
          <w:color w:val="000000"/>
          <w:sz w:val="18"/>
          <w:szCs w:val="18"/>
        </w:rPr>
        <w:t>Note that these are reported in the same manner as the WBC, that is, in thousands per mm3.</w:t>
      </w:r>
    </w:p>
    <w:p w:rsidR="007956F3" w:rsidRDefault="007956F3">
      <w:pPr>
        <w:rPr>
          <w:rFonts w:ascii="Verdana" w:hAnsi="Verdana"/>
          <w:color w:val="000000"/>
          <w:sz w:val="18"/>
          <w:szCs w:val="18"/>
        </w:rPr>
      </w:pPr>
      <w:r>
        <w:rPr>
          <w:rFonts w:ascii="Verdana" w:hAnsi="Verdana"/>
          <w:color w:val="000000"/>
          <w:sz w:val="18"/>
          <w:szCs w:val="18"/>
        </w:rPr>
        <w:t xml:space="preserve">Also note that if the differential is performed manually, or by </w:t>
      </w:r>
      <w:proofErr w:type="spellStart"/>
      <w:r>
        <w:rPr>
          <w:rFonts w:ascii="Verdana" w:hAnsi="Verdana"/>
          <w:color w:val="000000"/>
          <w:sz w:val="18"/>
          <w:szCs w:val="18"/>
        </w:rPr>
        <w:t>cellavision</w:t>
      </w:r>
      <w:proofErr w:type="spellEnd"/>
      <w:r>
        <w:rPr>
          <w:rFonts w:ascii="Verdana" w:hAnsi="Verdana"/>
          <w:color w:val="000000"/>
          <w:sz w:val="18"/>
          <w:szCs w:val="18"/>
        </w:rPr>
        <w:t>, that the absolute values will calculate from the final differential percentages, and will not match the coulter printout.</w:t>
      </w:r>
    </w:p>
    <w:tbl>
      <w:tblPr>
        <w:tblW w:w="10320" w:type="dxa"/>
        <w:tblInd w:w="93" w:type="dxa"/>
        <w:tblLook w:val="04A0"/>
      </w:tblPr>
      <w:tblGrid>
        <w:gridCol w:w="1720"/>
        <w:gridCol w:w="1560"/>
        <w:gridCol w:w="1520"/>
        <w:gridCol w:w="1520"/>
        <w:gridCol w:w="1520"/>
        <w:gridCol w:w="1520"/>
        <w:gridCol w:w="960"/>
      </w:tblGrid>
      <w:tr w:rsidR="00116432" w:rsidRPr="00116432" w:rsidTr="00116432">
        <w:trPr>
          <w:trHeight w:val="510"/>
        </w:trPr>
        <w:tc>
          <w:tcPr>
            <w:tcW w:w="17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b/>
                <w:bCs/>
                <w:color w:val="000000"/>
              </w:rPr>
            </w:pPr>
            <w:r w:rsidRPr="00116432">
              <w:rPr>
                <w:rFonts w:ascii="Calibri" w:eastAsia="Times New Roman" w:hAnsi="Calibri" w:cs="Times New Roman"/>
                <w:b/>
                <w:bCs/>
                <w:color w:val="000000"/>
              </w:rPr>
              <w:t>Age Group</w:t>
            </w:r>
          </w:p>
        </w:tc>
        <w:tc>
          <w:tcPr>
            <w:tcW w:w="15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b/>
                <w:bCs/>
                <w:color w:val="000000"/>
                <w:sz w:val="28"/>
                <w:szCs w:val="28"/>
              </w:rPr>
            </w:pPr>
            <w:r w:rsidRPr="00116432">
              <w:rPr>
                <w:rFonts w:ascii="Calibri" w:eastAsia="Times New Roman" w:hAnsi="Calibri" w:cs="Times New Roman"/>
                <w:b/>
                <w:bCs/>
                <w:color w:val="000000"/>
                <w:sz w:val="28"/>
                <w:szCs w:val="28"/>
              </w:rPr>
              <w:t>#</w:t>
            </w:r>
            <w:proofErr w:type="spellStart"/>
            <w:r w:rsidRPr="00116432">
              <w:rPr>
                <w:rFonts w:ascii="Calibri" w:eastAsia="Times New Roman" w:hAnsi="Calibri" w:cs="Times New Roman"/>
                <w:b/>
                <w:bCs/>
                <w:color w:val="000000"/>
                <w:sz w:val="28"/>
                <w:szCs w:val="28"/>
              </w:rPr>
              <w:t>Neut</w:t>
            </w:r>
            <w:proofErr w:type="spellEnd"/>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b/>
                <w:bCs/>
                <w:color w:val="000000"/>
                <w:sz w:val="28"/>
                <w:szCs w:val="28"/>
              </w:rPr>
            </w:pPr>
            <w:r w:rsidRPr="00116432">
              <w:rPr>
                <w:rFonts w:ascii="Calibri" w:eastAsia="Times New Roman" w:hAnsi="Calibri" w:cs="Times New Roman"/>
                <w:b/>
                <w:bCs/>
                <w:color w:val="000000"/>
                <w:sz w:val="28"/>
                <w:szCs w:val="28"/>
              </w:rPr>
              <w:t>#Lymph</w:t>
            </w: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b/>
                <w:bCs/>
                <w:color w:val="000000"/>
                <w:sz w:val="28"/>
                <w:szCs w:val="28"/>
              </w:rPr>
            </w:pPr>
            <w:r w:rsidRPr="00116432">
              <w:rPr>
                <w:rFonts w:ascii="Calibri" w:eastAsia="Times New Roman" w:hAnsi="Calibri" w:cs="Times New Roman"/>
                <w:b/>
                <w:bCs/>
                <w:color w:val="000000"/>
                <w:sz w:val="28"/>
                <w:szCs w:val="28"/>
              </w:rPr>
              <w:t>#Mono</w:t>
            </w: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b/>
                <w:bCs/>
                <w:color w:val="000000"/>
                <w:sz w:val="28"/>
                <w:szCs w:val="28"/>
              </w:rPr>
            </w:pPr>
            <w:r w:rsidRPr="00116432">
              <w:rPr>
                <w:rFonts w:ascii="Calibri" w:eastAsia="Times New Roman" w:hAnsi="Calibri" w:cs="Times New Roman"/>
                <w:b/>
                <w:bCs/>
                <w:color w:val="000000"/>
                <w:sz w:val="28"/>
                <w:szCs w:val="28"/>
              </w:rPr>
              <w:t>#Eos</w:t>
            </w: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b/>
                <w:bCs/>
                <w:color w:val="000000"/>
                <w:sz w:val="28"/>
                <w:szCs w:val="28"/>
              </w:rPr>
            </w:pPr>
            <w:r w:rsidRPr="00116432">
              <w:rPr>
                <w:rFonts w:ascii="Calibri" w:eastAsia="Times New Roman" w:hAnsi="Calibri" w:cs="Times New Roman"/>
                <w:b/>
                <w:bCs/>
                <w:color w:val="000000"/>
                <w:sz w:val="28"/>
                <w:szCs w:val="28"/>
              </w:rPr>
              <w:t>#</w:t>
            </w:r>
            <w:proofErr w:type="spellStart"/>
            <w:r w:rsidRPr="00116432">
              <w:rPr>
                <w:rFonts w:ascii="Calibri" w:eastAsia="Times New Roman" w:hAnsi="Calibri" w:cs="Times New Roman"/>
                <w:b/>
                <w:bCs/>
                <w:color w:val="000000"/>
                <w:sz w:val="28"/>
                <w:szCs w:val="28"/>
              </w:rPr>
              <w:t>Baso</w:t>
            </w:r>
            <w:proofErr w:type="spellEnd"/>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0 - 6 Days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1.5 - 11.4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1.75 - 11.5</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0.2 - 1.8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7 days - 2 Mo.</w:t>
            </w:r>
          </w:p>
        </w:tc>
        <w:tc>
          <w:tcPr>
            <w:tcW w:w="156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1.0 - 9.5</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2.0 - 16.5</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0.2 - 2.2</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2 Mo. - 2 Yrs</w:t>
            </w:r>
          </w:p>
        </w:tc>
        <w:tc>
          <w:tcPr>
            <w:tcW w:w="156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1.0 - 8.5</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3.0 - 13.5</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0.3 - 2.7</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2 - 6 Yrs</w:t>
            </w:r>
          </w:p>
        </w:tc>
        <w:tc>
          <w:tcPr>
            <w:tcW w:w="156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1.5 - 8.0</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1.5 - 9.5</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0.3 - 1.2</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6 - 12 Yrs</w:t>
            </w:r>
          </w:p>
        </w:tc>
        <w:tc>
          <w:tcPr>
            <w:tcW w:w="156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1.5 - 8.0</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1.5 - 7.0</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0.3 - 0.9</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sz w:val="24"/>
                <w:szCs w:val="24"/>
              </w:rPr>
            </w:pPr>
            <w:r w:rsidRPr="00116432">
              <w:rPr>
                <w:rFonts w:ascii="Calibri" w:eastAsia="Times New Roman" w:hAnsi="Calibri" w:cs="Times New Roman"/>
                <w:color w:val="000000"/>
                <w:sz w:val="24"/>
                <w:szCs w:val="24"/>
              </w:rPr>
              <w:t>&gt; 12 yrs</w:t>
            </w:r>
          </w:p>
        </w:tc>
        <w:tc>
          <w:tcPr>
            <w:tcW w:w="156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1.8 - 7.7</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1.0 - 4.8</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0.4 - 1.3</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0 - 0.4</w:t>
            </w:r>
          </w:p>
        </w:tc>
        <w:tc>
          <w:tcPr>
            <w:tcW w:w="1520" w:type="dxa"/>
            <w:tcBorders>
              <w:top w:val="nil"/>
              <w:left w:val="nil"/>
              <w:bottom w:val="single" w:sz="4" w:space="0" w:color="auto"/>
              <w:right w:val="single" w:sz="4" w:space="0" w:color="auto"/>
            </w:tcBorders>
            <w:shd w:val="clear" w:color="auto" w:fill="auto"/>
            <w:noWrap/>
            <w:vAlign w:val="bottom"/>
            <w:hideMark/>
          </w:tcPr>
          <w:p w:rsidR="00116432" w:rsidRPr="00116432" w:rsidRDefault="00116432" w:rsidP="00116432">
            <w:pPr>
              <w:spacing w:after="0" w:line="240" w:lineRule="auto"/>
              <w:jc w:val="center"/>
              <w:rPr>
                <w:rFonts w:ascii="Calibri" w:eastAsia="Times New Roman" w:hAnsi="Calibri" w:cs="Times New Roman"/>
                <w:color w:val="000000"/>
              </w:rPr>
            </w:pPr>
            <w:r w:rsidRPr="00116432">
              <w:rPr>
                <w:rFonts w:ascii="Calibri" w:eastAsia="Times New Roman" w:hAnsi="Calibri" w:cs="Times New Roman"/>
                <w:color w:val="000000"/>
              </w:rPr>
              <w:t>0 - 0.1</w:t>
            </w: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r w:rsidR="00116432" w:rsidRPr="00116432" w:rsidTr="00116432">
        <w:trPr>
          <w:trHeight w:val="300"/>
        </w:trPr>
        <w:tc>
          <w:tcPr>
            <w:tcW w:w="17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15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116432" w:rsidRPr="00116432" w:rsidRDefault="00116432" w:rsidP="00116432">
            <w:pPr>
              <w:spacing w:after="0" w:line="240" w:lineRule="auto"/>
              <w:rPr>
                <w:rFonts w:ascii="Calibri" w:eastAsia="Times New Roman" w:hAnsi="Calibri" w:cs="Times New Roman"/>
                <w:color w:val="000000"/>
              </w:rPr>
            </w:pPr>
          </w:p>
        </w:tc>
      </w:tr>
    </w:tbl>
    <w:p w:rsidR="00116432" w:rsidRDefault="007956F3">
      <w:r>
        <w:t xml:space="preserve">The following information is from an article in CAP today about reporting in absolute values, and gives specific examples of clinical significance related to increased absolute concentrations </w:t>
      </w:r>
      <w:proofErr w:type="gramStart"/>
      <w:r>
        <w:t xml:space="preserve">( </w:t>
      </w:r>
      <w:proofErr w:type="spellStart"/>
      <w:r>
        <w:t>cytosis</w:t>
      </w:r>
      <w:proofErr w:type="spellEnd"/>
      <w:proofErr w:type="gramEnd"/>
      <w:r>
        <w:t xml:space="preserve"> ) and decreased absolute concentrations ( </w:t>
      </w:r>
      <w:proofErr w:type="spellStart"/>
      <w:r>
        <w:t>cytopenias</w:t>
      </w:r>
      <w:proofErr w:type="spellEnd"/>
      <w:r>
        <w:t xml:space="preserve"> ).</w:t>
      </w:r>
    </w:p>
    <w:p w:rsidR="007956F3" w:rsidRDefault="007956F3" w:rsidP="007956F3">
      <w:pPr>
        <w:pStyle w:val="NormalWeb"/>
        <w:rPr>
          <w:rFonts w:ascii="Verdana" w:hAnsi="Verdana"/>
          <w:color w:val="000000"/>
          <w:sz w:val="18"/>
          <w:szCs w:val="18"/>
        </w:rPr>
      </w:pPr>
      <w:proofErr w:type="gramStart"/>
      <w:r>
        <w:rPr>
          <w:rFonts w:ascii="Verdana" w:hAnsi="Verdana"/>
          <w:color w:val="000000"/>
          <w:sz w:val="18"/>
          <w:szCs w:val="18"/>
        </w:rPr>
        <w:t xml:space="preserve">Absolute </w:t>
      </w:r>
      <w:proofErr w:type="spellStart"/>
      <w:r>
        <w:rPr>
          <w:rFonts w:ascii="Verdana" w:hAnsi="Verdana"/>
          <w:color w:val="000000"/>
          <w:sz w:val="18"/>
          <w:szCs w:val="18"/>
        </w:rPr>
        <w:t>neutrophil</w:t>
      </w:r>
      <w:proofErr w:type="spellEnd"/>
      <w:r>
        <w:rPr>
          <w:rFonts w:ascii="Verdana" w:hAnsi="Verdana"/>
          <w:color w:val="000000"/>
          <w:sz w:val="18"/>
          <w:szCs w:val="18"/>
        </w:rPr>
        <w:t xml:space="preserve"> count (ANC).</w:t>
      </w:r>
      <w:proofErr w:type="gramEnd"/>
      <w:r>
        <w:rPr>
          <w:rFonts w:ascii="Verdana" w:hAnsi="Verdana"/>
          <w:color w:val="000000"/>
          <w:sz w:val="18"/>
          <w:szCs w:val="18"/>
        </w:rPr>
        <w:t xml:space="preserve"> The functional ANC includes the absolute number of segmented </w:t>
      </w:r>
      <w:proofErr w:type="spellStart"/>
      <w:r>
        <w:rPr>
          <w:rFonts w:ascii="Verdana" w:hAnsi="Verdana"/>
          <w:color w:val="000000"/>
          <w:sz w:val="18"/>
          <w:szCs w:val="18"/>
        </w:rPr>
        <w:t>neutro</w:t>
      </w:r>
      <w:r>
        <w:rPr>
          <w:rFonts w:ascii="Verdana" w:hAnsi="Verdana"/>
          <w:color w:val="000000"/>
          <w:sz w:val="18"/>
          <w:szCs w:val="18"/>
        </w:rPr>
        <w:softHyphen/>
        <w:t>phils</w:t>
      </w:r>
      <w:proofErr w:type="spellEnd"/>
      <w:r>
        <w:rPr>
          <w:rFonts w:ascii="Verdana" w:hAnsi="Verdana"/>
          <w:color w:val="000000"/>
          <w:sz w:val="18"/>
          <w:szCs w:val="18"/>
        </w:rPr>
        <w:t xml:space="preserve"> and bands. </w:t>
      </w:r>
      <w:proofErr w:type="spellStart"/>
      <w:r>
        <w:rPr>
          <w:rFonts w:ascii="Verdana" w:hAnsi="Verdana"/>
          <w:color w:val="000000"/>
          <w:sz w:val="18"/>
          <w:szCs w:val="18"/>
        </w:rPr>
        <w:t>Neutrophilia</w:t>
      </w:r>
      <w:proofErr w:type="spellEnd"/>
      <w:r>
        <w:rPr>
          <w:rFonts w:ascii="Verdana" w:hAnsi="Verdana"/>
          <w:color w:val="000000"/>
          <w:sz w:val="18"/>
          <w:szCs w:val="18"/>
        </w:rPr>
        <w:t xml:space="preserve"> (&gt;6.8 × 10</w:t>
      </w:r>
      <w:r>
        <w:rPr>
          <w:rFonts w:ascii="Verdana" w:hAnsi="Verdana"/>
          <w:color w:val="000000"/>
          <w:sz w:val="18"/>
          <w:szCs w:val="18"/>
          <w:vertAlign w:val="superscript"/>
        </w:rPr>
        <w:t>9</w:t>
      </w:r>
      <w:r>
        <w:rPr>
          <w:rFonts w:ascii="Verdana" w:hAnsi="Verdana"/>
          <w:color w:val="000000"/>
          <w:sz w:val="18"/>
          <w:szCs w:val="18"/>
        </w:rPr>
        <w:t xml:space="preserve">/L for adults in our laboratory) is associated with infections, a variety of inflammatory disorders, cytokine therapy, and some myeloid </w:t>
      </w:r>
      <w:proofErr w:type="spellStart"/>
      <w:r>
        <w:rPr>
          <w:rFonts w:ascii="Verdana" w:hAnsi="Verdana"/>
          <w:color w:val="000000"/>
          <w:sz w:val="18"/>
          <w:szCs w:val="18"/>
        </w:rPr>
        <w:t>neoplasms</w:t>
      </w:r>
      <w:proofErr w:type="spellEnd"/>
      <w:r>
        <w:rPr>
          <w:rFonts w:ascii="Verdana" w:hAnsi="Verdana"/>
          <w:color w:val="000000"/>
          <w:sz w:val="18"/>
          <w:szCs w:val="18"/>
        </w:rPr>
        <w:t xml:space="preserve">. </w:t>
      </w:r>
      <w:proofErr w:type="spellStart"/>
      <w:r>
        <w:rPr>
          <w:rFonts w:ascii="Verdana" w:hAnsi="Verdana"/>
          <w:color w:val="000000"/>
          <w:sz w:val="18"/>
          <w:szCs w:val="18"/>
        </w:rPr>
        <w:t>Neutropenia</w:t>
      </w:r>
      <w:proofErr w:type="spellEnd"/>
      <w:r>
        <w:rPr>
          <w:rFonts w:ascii="Verdana" w:hAnsi="Verdana"/>
          <w:color w:val="000000"/>
          <w:sz w:val="18"/>
          <w:szCs w:val="18"/>
        </w:rPr>
        <w:t xml:space="preserve"> (&lt;1.8 × 10</w:t>
      </w:r>
      <w:r>
        <w:rPr>
          <w:rFonts w:ascii="Verdana" w:hAnsi="Verdana"/>
          <w:color w:val="000000"/>
          <w:sz w:val="18"/>
          <w:szCs w:val="18"/>
          <w:vertAlign w:val="superscript"/>
        </w:rPr>
        <w:t>9</w:t>
      </w:r>
      <w:r>
        <w:rPr>
          <w:rFonts w:ascii="Verdana" w:hAnsi="Verdana"/>
          <w:color w:val="000000"/>
          <w:sz w:val="18"/>
          <w:szCs w:val="18"/>
        </w:rPr>
        <w:t xml:space="preserve">/L for adults in our laboratory) can be seen with various medications, including chemotherapy, toxins, bone marrow replacement (for example, metastatic tumor, </w:t>
      </w:r>
      <w:proofErr w:type="spellStart"/>
      <w:r>
        <w:rPr>
          <w:rFonts w:ascii="Verdana" w:hAnsi="Verdana"/>
          <w:color w:val="000000"/>
          <w:sz w:val="18"/>
          <w:szCs w:val="18"/>
        </w:rPr>
        <w:t>granulomas</w:t>
      </w:r>
      <w:proofErr w:type="spellEnd"/>
      <w:r>
        <w:rPr>
          <w:rFonts w:ascii="Verdana" w:hAnsi="Verdana"/>
          <w:color w:val="000000"/>
          <w:sz w:val="18"/>
          <w:szCs w:val="18"/>
        </w:rPr>
        <w:t xml:space="preserve">), </w:t>
      </w:r>
      <w:proofErr w:type="spellStart"/>
      <w:r>
        <w:rPr>
          <w:rFonts w:ascii="Verdana" w:hAnsi="Verdana"/>
          <w:color w:val="000000"/>
          <w:sz w:val="18"/>
          <w:szCs w:val="18"/>
        </w:rPr>
        <w:t>myelodysplastic</w:t>
      </w:r>
      <w:proofErr w:type="spellEnd"/>
      <w:r>
        <w:rPr>
          <w:rFonts w:ascii="Verdana" w:hAnsi="Verdana"/>
          <w:color w:val="000000"/>
          <w:sz w:val="18"/>
          <w:szCs w:val="18"/>
        </w:rPr>
        <w:t xml:space="preserve"> syndromes, autoimmune disorders, and congenital disorders. Generally, the degree of </w:t>
      </w:r>
      <w:proofErr w:type="spellStart"/>
      <w:r>
        <w:rPr>
          <w:rFonts w:ascii="Verdana" w:hAnsi="Verdana"/>
          <w:color w:val="000000"/>
          <w:sz w:val="18"/>
          <w:szCs w:val="18"/>
        </w:rPr>
        <w:t>neutropenia</w:t>
      </w:r>
      <w:proofErr w:type="spellEnd"/>
      <w:r>
        <w:rPr>
          <w:rFonts w:ascii="Verdana" w:hAnsi="Verdana"/>
          <w:color w:val="000000"/>
          <w:sz w:val="18"/>
          <w:szCs w:val="18"/>
        </w:rPr>
        <w:t xml:space="preserve"> defines the patient’s risk of infection. </w:t>
      </w:r>
    </w:p>
    <w:p w:rsidR="007956F3" w:rsidRDefault="007956F3" w:rsidP="007956F3">
      <w:pPr>
        <w:pStyle w:val="NormalWeb"/>
        <w:rPr>
          <w:rFonts w:ascii="Verdana" w:hAnsi="Verdana"/>
          <w:color w:val="000000"/>
          <w:sz w:val="18"/>
          <w:szCs w:val="18"/>
        </w:rPr>
      </w:pPr>
      <w:r>
        <w:rPr>
          <w:rFonts w:ascii="Verdana" w:hAnsi="Verdana"/>
          <w:color w:val="000000"/>
          <w:sz w:val="18"/>
          <w:szCs w:val="18"/>
        </w:rPr>
        <w:lastRenderedPageBreak/>
        <w:t>For example, an ANC less than 0.5 × 10</w:t>
      </w:r>
      <w:r>
        <w:rPr>
          <w:rFonts w:ascii="Verdana" w:hAnsi="Verdana"/>
          <w:color w:val="000000"/>
          <w:sz w:val="18"/>
          <w:szCs w:val="18"/>
          <w:vertAlign w:val="superscript"/>
        </w:rPr>
        <w:t>9</w:t>
      </w:r>
      <w:r>
        <w:rPr>
          <w:rFonts w:ascii="Verdana" w:hAnsi="Verdana"/>
          <w:color w:val="000000"/>
          <w:sz w:val="18"/>
          <w:szCs w:val="18"/>
        </w:rPr>
        <w:t xml:space="preserve">/L </w:t>
      </w:r>
      <w:proofErr w:type="gramStart"/>
      <w:r>
        <w:rPr>
          <w:rFonts w:ascii="Verdana" w:hAnsi="Verdana"/>
          <w:color w:val="000000"/>
          <w:sz w:val="18"/>
          <w:szCs w:val="18"/>
        </w:rPr>
        <w:t>is</w:t>
      </w:r>
      <w:proofErr w:type="gramEnd"/>
      <w:r>
        <w:rPr>
          <w:rFonts w:ascii="Verdana" w:hAnsi="Verdana"/>
          <w:color w:val="000000"/>
          <w:sz w:val="18"/>
          <w:szCs w:val="18"/>
        </w:rPr>
        <w:t xml:space="preserve"> associated with a significantly increased propensity for serious infection; a patient with this degree of </w:t>
      </w:r>
      <w:proofErr w:type="spellStart"/>
      <w:r>
        <w:rPr>
          <w:rFonts w:ascii="Verdana" w:hAnsi="Verdana"/>
          <w:color w:val="000000"/>
          <w:sz w:val="18"/>
          <w:szCs w:val="18"/>
        </w:rPr>
        <w:t>neutropenia</w:t>
      </w:r>
      <w:proofErr w:type="spellEnd"/>
      <w:r>
        <w:rPr>
          <w:rFonts w:ascii="Verdana" w:hAnsi="Verdana"/>
          <w:color w:val="000000"/>
          <w:sz w:val="18"/>
          <w:szCs w:val="18"/>
        </w:rPr>
        <w:t xml:space="preserve"> and a fever most often requires </w:t>
      </w:r>
      <w:proofErr w:type="spellStart"/>
      <w:r>
        <w:rPr>
          <w:rFonts w:ascii="Verdana" w:hAnsi="Verdana"/>
          <w:color w:val="000000"/>
          <w:sz w:val="18"/>
          <w:szCs w:val="18"/>
        </w:rPr>
        <w:t>parenteral</w:t>
      </w:r>
      <w:proofErr w:type="spellEnd"/>
      <w:r>
        <w:rPr>
          <w:rFonts w:ascii="Verdana" w:hAnsi="Verdana"/>
          <w:color w:val="000000"/>
          <w:sz w:val="18"/>
          <w:szCs w:val="18"/>
        </w:rPr>
        <w:t xml:space="preserve"> antibiotics. Patients with an ANC of 0.5–1.0 × 10</w:t>
      </w:r>
      <w:r>
        <w:rPr>
          <w:rFonts w:ascii="Verdana" w:hAnsi="Verdana"/>
          <w:color w:val="000000"/>
          <w:sz w:val="18"/>
          <w:szCs w:val="18"/>
          <w:vertAlign w:val="superscript"/>
        </w:rPr>
        <w:t>9</w:t>
      </w:r>
      <w:r>
        <w:rPr>
          <w:rFonts w:ascii="Verdana" w:hAnsi="Verdana"/>
          <w:color w:val="000000"/>
          <w:sz w:val="18"/>
          <w:szCs w:val="18"/>
        </w:rPr>
        <w:t xml:space="preserve">/L have some propensity for infection but often can be managed as an outpatient. </w:t>
      </w:r>
    </w:p>
    <w:p w:rsidR="007956F3" w:rsidRDefault="007956F3" w:rsidP="007956F3">
      <w:pPr>
        <w:pStyle w:val="NormalWeb"/>
        <w:rPr>
          <w:rFonts w:ascii="Verdana" w:hAnsi="Verdana"/>
          <w:color w:val="000000"/>
          <w:sz w:val="18"/>
          <w:szCs w:val="18"/>
        </w:rPr>
      </w:pPr>
      <w:proofErr w:type="gramStart"/>
      <w:r>
        <w:rPr>
          <w:rFonts w:ascii="Verdana" w:hAnsi="Verdana"/>
          <w:color w:val="000000"/>
          <w:sz w:val="18"/>
          <w:szCs w:val="18"/>
        </w:rPr>
        <w:t>Absolute lymphocyte count.</w:t>
      </w:r>
      <w:proofErr w:type="gramEnd"/>
      <w:r>
        <w:rPr>
          <w:rFonts w:ascii="Verdana" w:hAnsi="Verdana"/>
          <w:color w:val="000000"/>
          <w:sz w:val="18"/>
          <w:szCs w:val="18"/>
        </w:rPr>
        <w:t xml:space="preserve"> </w:t>
      </w:r>
      <w:proofErr w:type="spellStart"/>
      <w:r>
        <w:rPr>
          <w:rFonts w:ascii="Verdana" w:hAnsi="Verdana"/>
          <w:color w:val="000000"/>
          <w:sz w:val="18"/>
          <w:szCs w:val="18"/>
        </w:rPr>
        <w:t>Lymphocytosis</w:t>
      </w:r>
      <w:proofErr w:type="spellEnd"/>
      <w:r>
        <w:rPr>
          <w:rFonts w:ascii="Verdana" w:hAnsi="Verdana"/>
          <w:color w:val="000000"/>
          <w:sz w:val="18"/>
          <w:szCs w:val="18"/>
        </w:rPr>
        <w:t xml:space="preserve"> (&gt;3.4 × 10</w:t>
      </w:r>
      <w:r>
        <w:rPr>
          <w:rFonts w:ascii="Verdana" w:hAnsi="Verdana"/>
          <w:color w:val="000000"/>
          <w:sz w:val="18"/>
          <w:szCs w:val="18"/>
          <w:vertAlign w:val="superscript"/>
        </w:rPr>
        <w:t>9</w:t>
      </w:r>
      <w:r>
        <w:rPr>
          <w:rFonts w:ascii="Verdana" w:hAnsi="Verdana"/>
          <w:color w:val="000000"/>
          <w:sz w:val="18"/>
          <w:szCs w:val="18"/>
        </w:rPr>
        <w:t xml:space="preserve">/L for adults in our laboratory) may be noted in a variety of disorders, including infections, in particular viral infections, autoimmune diseases, and </w:t>
      </w:r>
      <w:proofErr w:type="spellStart"/>
      <w:r>
        <w:rPr>
          <w:rFonts w:ascii="Verdana" w:hAnsi="Verdana"/>
          <w:color w:val="000000"/>
          <w:sz w:val="18"/>
          <w:szCs w:val="18"/>
        </w:rPr>
        <w:t>lymphoproliferative</w:t>
      </w:r>
      <w:proofErr w:type="spellEnd"/>
      <w:r>
        <w:rPr>
          <w:rFonts w:ascii="Verdana" w:hAnsi="Verdana"/>
          <w:color w:val="000000"/>
          <w:sz w:val="18"/>
          <w:szCs w:val="18"/>
        </w:rPr>
        <w:t xml:space="preserve"> disorders. </w:t>
      </w:r>
    </w:p>
    <w:p w:rsidR="007956F3" w:rsidRDefault="007956F3" w:rsidP="007956F3">
      <w:pPr>
        <w:pStyle w:val="NormalWeb"/>
        <w:rPr>
          <w:rFonts w:ascii="Verdana" w:hAnsi="Verdana"/>
          <w:color w:val="000000"/>
          <w:sz w:val="18"/>
          <w:szCs w:val="18"/>
        </w:rPr>
      </w:pPr>
      <w:r>
        <w:rPr>
          <w:rFonts w:ascii="Verdana" w:hAnsi="Verdana"/>
          <w:color w:val="000000"/>
          <w:sz w:val="18"/>
          <w:szCs w:val="18"/>
        </w:rPr>
        <w:t xml:space="preserve">For example, a diagnosis of chronic lymphocytic leukemia requires a </w:t>
      </w:r>
      <w:proofErr w:type="spellStart"/>
      <w:r>
        <w:rPr>
          <w:rFonts w:ascii="Verdana" w:hAnsi="Verdana"/>
          <w:color w:val="000000"/>
          <w:sz w:val="18"/>
          <w:szCs w:val="18"/>
        </w:rPr>
        <w:t>clonal</w:t>
      </w:r>
      <w:proofErr w:type="spellEnd"/>
      <w:r>
        <w:rPr>
          <w:rFonts w:ascii="Verdana" w:hAnsi="Verdana"/>
          <w:color w:val="000000"/>
          <w:sz w:val="18"/>
          <w:szCs w:val="18"/>
        </w:rPr>
        <w:t xml:space="preserve"> </w:t>
      </w:r>
      <w:proofErr w:type="spellStart"/>
      <w:r>
        <w:rPr>
          <w:rFonts w:ascii="Verdana" w:hAnsi="Verdana"/>
          <w:color w:val="000000"/>
          <w:sz w:val="18"/>
          <w:szCs w:val="18"/>
        </w:rPr>
        <w:t>lymphocytosis</w:t>
      </w:r>
      <w:proofErr w:type="spellEnd"/>
      <w:r>
        <w:rPr>
          <w:rFonts w:ascii="Verdana" w:hAnsi="Verdana"/>
          <w:color w:val="000000"/>
          <w:sz w:val="18"/>
          <w:szCs w:val="18"/>
        </w:rPr>
        <w:t xml:space="preserve"> of =5.0 × 10</w:t>
      </w:r>
      <w:r>
        <w:rPr>
          <w:rFonts w:ascii="Verdana" w:hAnsi="Verdana"/>
          <w:color w:val="000000"/>
          <w:sz w:val="18"/>
          <w:szCs w:val="18"/>
          <w:vertAlign w:val="superscript"/>
        </w:rPr>
        <w:t>9</w:t>
      </w:r>
      <w:r>
        <w:rPr>
          <w:rFonts w:ascii="Verdana" w:hAnsi="Verdana"/>
          <w:color w:val="000000"/>
          <w:sz w:val="18"/>
          <w:szCs w:val="18"/>
        </w:rPr>
        <w:t xml:space="preserve">/L for at least three months (in the absence of </w:t>
      </w:r>
      <w:proofErr w:type="spellStart"/>
      <w:r>
        <w:rPr>
          <w:rFonts w:ascii="Verdana" w:hAnsi="Verdana"/>
          <w:color w:val="000000"/>
          <w:sz w:val="18"/>
          <w:szCs w:val="18"/>
        </w:rPr>
        <w:t>extramedullary</w:t>
      </w:r>
      <w:proofErr w:type="spellEnd"/>
      <w:r>
        <w:rPr>
          <w:rFonts w:ascii="Verdana" w:hAnsi="Verdana"/>
          <w:color w:val="000000"/>
          <w:sz w:val="18"/>
          <w:szCs w:val="18"/>
        </w:rPr>
        <w:t xml:space="preserve"> disease). </w:t>
      </w:r>
    </w:p>
    <w:p w:rsidR="007956F3" w:rsidRDefault="007956F3" w:rsidP="007956F3">
      <w:pPr>
        <w:pStyle w:val="NormalWeb"/>
        <w:rPr>
          <w:rFonts w:ascii="Verdana" w:hAnsi="Verdana"/>
          <w:color w:val="000000"/>
          <w:sz w:val="18"/>
          <w:szCs w:val="18"/>
        </w:rPr>
      </w:pPr>
      <w:proofErr w:type="gramStart"/>
      <w:r>
        <w:rPr>
          <w:rFonts w:ascii="Verdana" w:hAnsi="Verdana"/>
          <w:color w:val="000000"/>
          <w:sz w:val="18"/>
          <w:szCs w:val="18"/>
        </w:rPr>
        <w:t xml:space="preserve">Absolute </w:t>
      </w:r>
      <w:proofErr w:type="spellStart"/>
      <w:r>
        <w:rPr>
          <w:rFonts w:ascii="Verdana" w:hAnsi="Verdana"/>
          <w:color w:val="000000"/>
          <w:sz w:val="18"/>
          <w:szCs w:val="18"/>
        </w:rPr>
        <w:t>monocyte</w:t>
      </w:r>
      <w:proofErr w:type="spellEnd"/>
      <w:r>
        <w:rPr>
          <w:rFonts w:ascii="Verdana" w:hAnsi="Verdana"/>
          <w:color w:val="000000"/>
          <w:sz w:val="18"/>
          <w:szCs w:val="18"/>
        </w:rPr>
        <w:t xml:space="preserve"> count.</w:t>
      </w:r>
      <w:proofErr w:type="gramEnd"/>
      <w:r>
        <w:rPr>
          <w:rFonts w:ascii="Verdana" w:hAnsi="Verdana"/>
          <w:color w:val="000000"/>
          <w:sz w:val="18"/>
          <w:szCs w:val="18"/>
        </w:rPr>
        <w:t xml:space="preserve"> </w:t>
      </w:r>
      <w:proofErr w:type="spellStart"/>
      <w:r>
        <w:rPr>
          <w:rFonts w:ascii="Verdana" w:hAnsi="Verdana"/>
          <w:color w:val="000000"/>
          <w:sz w:val="18"/>
          <w:szCs w:val="18"/>
        </w:rPr>
        <w:t>Monocytosis</w:t>
      </w:r>
      <w:proofErr w:type="spellEnd"/>
      <w:r>
        <w:rPr>
          <w:rFonts w:ascii="Verdana" w:hAnsi="Verdana"/>
          <w:color w:val="000000"/>
          <w:sz w:val="18"/>
          <w:szCs w:val="18"/>
        </w:rPr>
        <w:t xml:space="preserve"> (&gt;0.8 × 10</w:t>
      </w:r>
      <w:r>
        <w:rPr>
          <w:rFonts w:ascii="Verdana" w:hAnsi="Verdana"/>
          <w:color w:val="000000"/>
          <w:sz w:val="18"/>
          <w:szCs w:val="18"/>
          <w:vertAlign w:val="superscript"/>
        </w:rPr>
        <w:t>9</w:t>
      </w:r>
      <w:r>
        <w:rPr>
          <w:rFonts w:ascii="Verdana" w:hAnsi="Verdana"/>
          <w:color w:val="000000"/>
          <w:sz w:val="18"/>
          <w:szCs w:val="18"/>
        </w:rPr>
        <w:t xml:space="preserve">/L for adults in our laboratory) may be seen with chronic </w:t>
      </w:r>
      <w:proofErr w:type="spellStart"/>
      <w:r>
        <w:rPr>
          <w:rFonts w:ascii="Verdana" w:hAnsi="Verdana"/>
          <w:color w:val="000000"/>
          <w:sz w:val="18"/>
          <w:szCs w:val="18"/>
        </w:rPr>
        <w:t>myelomonocytic</w:t>
      </w:r>
      <w:proofErr w:type="spellEnd"/>
      <w:r>
        <w:rPr>
          <w:rFonts w:ascii="Verdana" w:hAnsi="Verdana"/>
          <w:color w:val="000000"/>
          <w:sz w:val="18"/>
          <w:szCs w:val="18"/>
        </w:rPr>
        <w:t xml:space="preserve"> leukemia (CMML), acute myeloid </w:t>
      </w:r>
      <w:proofErr w:type="spellStart"/>
      <w:r>
        <w:rPr>
          <w:rFonts w:ascii="Verdana" w:hAnsi="Verdana"/>
          <w:color w:val="000000"/>
          <w:sz w:val="18"/>
          <w:szCs w:val="18"/>
        </w:rPr>
        <w:t>leukemias</w:t>
      </w:r>
      <w:proofErr w:type="spellEnd"/>
      <w:r>
        <w:rPr>
          <w:rFonts w:ascii="Verdana" w:hAnsi="Verdana"/>
          <w:color w:val="000000"/>
          <w:sz w:val="18"/>
          <w:szCs w:val="18"/>
        </w:rPr>
        <w:t xml:space="preserve">, chronic infections, autoimmune disorders, cytokine therapy, carcinoma, and as a response to </w:t>
      </w:r>
      <w:proofErr w:type="spellStart"/>
      <w:r>
        <w:rPr>
          <w:rFonts w:ascii="Verdana" w:hAnsi="Verdana"/>
          <w:color w:val="000000"/>
          <w:sz w:val="18"/>
          <w:szCs w:val="18"/>
        </w:rPr>
        <w:t>neutropenia</w:t>
      </w:r>
      <w:proofErr w:type="spellEnd"/>
      <w:r>
        <w:rPr>
          <w:rFonts w:ascii="Verdana" w:hAnsi="Verdana"/>
          <w:color w:val="000000"/>
          <w:sz w:val="18"/>
          <w:szCs w:val="18"/>
        </w:rPr>
        <w:t xml:space="preserve">. </w:t>
      </w:r>
    </w:p>
    <w:p w:rsidR="007956F3" w:rsidRDefault="007956F3" w:rsidP="007956F3">
      <w:pPr>
        <w:pStyle w:val="NormalWeb"/>
        <w:rPr>
          <w:rFonts w:ascii="Verdana" w:hAnsi="Verdana"/>
          <w:color w:val="000000"/>
          <w:sz w:val="18"/>
          <w:szCs w:val="18"/>
        </w:rPr>
      </w:pPr>
      <w:r>
        <w:rPr>
          <w:rFonts w:ascii="Verdana" w:hAnsi="Verdana"/>
          <w:color w:val="000000"/>
          <w:sz w:val="18"/>
          <w:szCs w:val="18"/>
        </w:rPr>
        <w:t xml:space="preserve">For example, one criterion necessary for a diagnosis of CMML is an absolute </w:t>
      </w:r>
      <w:proofErr w:type="spellStart"/>
      <w:r>
        <w:rPr>
          <w:rFonts w:ascii="Verdana" w:hAnsi="Verdana"/>
          <w:color w:val="000000"/>
          <w:sz w:val="18"/>
          <w:szCs w:val="18"/>
        </w:rPr>
        <w:t>monocyte</w:t>
      </w:r>
      <w:proofErr w:type="spellEnd"/>
      <w:r>
        <w:rPr>
          <w:rFonts w:ascii="Verdana" w:hAnsi="Verdana"/>
          <w:color w:val="000000"/>
          <w:sz w:val="18"/>
          <w:szCs w:val="18"/>
        </w:rPr>
        <w:t xml:space="preserve"> count of =1.0 × 10</w:t>
      </w:r>
      <w:r>
        <w:rPr>
          <w:rFonts w:ascii="Verdana" w:hAnsi="Verdana"/>
          <w:color w:val="000000"/>
          <w:sz w:val="18"/>
          <w:szCs w:val="18"/>
          <w:vertAlign w:val="superscript"/>
        </w:rPr>
        <w:t>9</w:t>
      </w:r>
      <w:r>
        <w:rPr>
          <w:rFonts w:ascii="Verdana" w:hAnsi="Verdana"/>
          <w:color w:val="000000"/>
          <w:sz w:val="18"/>
          <w:szCs w:val="18"/>
        </w:rPr>
        <w:t xml:space="preserve">/L. </w:t>
      </w:r>
    </w:p>
    <w:p w:rsidR="007956F3" w:rsidRDefault="007956F3" w:rsidP="007956F3">
      <w:pPr>
        <w:pStyle w:val="NormalWeb"/>
        <w:rPr>
          <w:rFonts w:ascii="Verdana" w:hAnsi="Verdana"/>
          <w:color w:val="000000"/>
          <w:sz w:val="18"/>
          <w:szCs w:val="18"/>
        </w:rPr>
      </w:pPr>
      <w:proofErr w:type="gramStart"/>
      <w:r>
        <w:rPr>
          <w:rFonts w:ascii="Verdana" w:hAnsi="Verdana"/>
          <w:color w:val="000000"/>
          <w:sz w:val="18"/>
          <w:szCs w:val="18"/>
        </w:rPr>
        <w:t xml:space="preserve">Absolute </w:t>
      </w:r>
      <w:proofErr w:type="spellStart"/>
      <w:r>
        <w:rPr>
          <w:rFonts w:ascii="Verdana" w:hAnsi="Verdana"/>
          <w:color w:val="000000"/>
          <w:sz w:val="18"/>
          <w:szCs w:val="18"/>
        </w:rPr>
        <w:t>eosinophil</w:t>
      </w:r>
      <w:proofErr w:type="spellEnd"/>
      <w:r>
        <w:rPr>
          <w:rFonts w:ascii="Verdana" w:hAnsi="Verdana"/>
          <w:color w:val="000000"/>
          <w:sz w:val="18"/>
          <w:szCs w:val="18"/>
        </w:rPr>
        <w:t xml:space="preserve"> count.</w:t>
      </w:r>
      <w:proofErr w:type="gramEnd"/>
      <w:r>
        <w:rPr>
          <w:rFonts w:ascii="Verdana" w:hAnsi="Verdana"/>
          <w:color w:val="000000"/>
          <w:sz w:val="18"/>
          <w:szCs w:val="18"/>
        </w:rPr>
        <w:t xml:space="preserve"> </w:t>
      </w:r>
      <w:proofErr w:type="spellStart"/>
      <w:r>
        <w:rPr>
          <w:rFonts w:ascii="Verdana" w:hAnsi="Verdana"/>
          <w:color w:val="000000"/>
          <w:sz w:val="18"/>
          <w:szCs w:val="18"/>
        </w:rPr>
        <w:t>Eosinophilia</w:t>
      </w:r>
      <w:proofErr w:type="spellEnd"/>
      <w:r>
        <w:rPr>
          <w:rFonts w:ascii="Verdana" w:hAnsi="Verdana"/>
          <w:color w:val="000000"/>
          <w:sz w:val="18"/>
          <w:szCs w:val="18"/>
        </w:rPr>
        <w:t xml:space="preserve"> (&gt;0.4 × 10</w:t>
      </w:r>
      <w:r>
        <w:rPr>
          <w:rFonts w:ascii="Verdana" w:hAnsi="Verdana"/>
          <w:color w:val="000000"/>
          <w:sz w:val="18"/>
          <w:szCs w:val="18"/>
          <w:vertAlign w:val="superscript"/>
        </w:rPr>
        <w:t>9</w:t>
      </w:r>
      <w:r>
        <w:rPr>
          <w:rFonts w:ascii="Verdana" w:hAnsi="Verdana"/>
          <w:color w:val="000000"/>
          <w:sz w:val="18"/>
          <w:szCs w:val="18"/>
        </w:rPr>
        <w:t xml:space="preserve">/L for adults in our laboratory) can occur with allergic or atopic disease, infectious disorders (including parasites), medications, immunologic reactions, skin disorders, pulmonary syndromes, rheumatologic diseases, </w:t>
      </w:r>
      <w:proofErr w:type="spellStart"/>
      <w:r>
        <w:rPr>
          <w:rFonts w:ascii="Verdana" w:hAnsi="Verdana"/>
          <w:color w:val="000000"/>
          <w:sz w:val="18"/>
          <w:szCs w:val="18"/>
        </w:rPr>
        <w:t>myeloproliferative</w:t>
      </w:r>
      <w:proofErr w:type="spellEnd"/>
      <w:r>
        <w:rPr>
          <w:rFonts w:ascii="Verdana" w:hAnsi="Verdana"/>
          <w:color w:val="000000"/>
          <w:sz w:val="18"/>
          <w:szCs w:val="18"/>
        </w:rPr>
        <w:t xml:space="preserve"> </w:t>
      </w:r>
      <w:proofErr w:type="spellStart"/>
      <w:r>
        <w:rPr>
          <w:rFonts w:ascii="Verdana" w:hAnsi="Verdana"/>
          <w:color w:val="000000"/>
          <w:sz w:val="18"/>
          <w:szCs w:val="18"/>
        </w:rPr>
        <w:t>neoplasms</w:t>
      </w:r>
      <w:proofErr w:type="spellEnd"/>
      <w:r>
        <w:rPr>
          <w:rFonts w:ascii="Verdana" w:hAnsi="Verdana"/>
          <w:color w:val="000000"/>
          <w:sz w:val="18"/>
          <w:szCs w:val="18"/>
        </w:rPr>
        <w:t xml:space="preserve">, and secondary to other malignancies. </w:t>
      </w:r>
    </w:p>
    <w:p w:rsidR="007956F3" w:rsidRDefault="007956F3" w:rsidP="007956F3">
      <w:pPr>
        <w:pStyle w:val="NormalWeb"/>
        <w:rPr>
          <w:rFonts w:ascii="Verdana" w:hAnsi="Verdana"/>
          <w:color w:val="000000"/>
          <w:sz w:val="18"/>
          <w:szCs w:val="18"/>
        </w:rPr>
      </w:pPr>
      <w:r>
        <w:rPr>
          <w:rFonts w:ascii="Verdana" w:hAnsi="Verdana"/>
          <w:color w:val="000000"/>
          <w:sz w:val="18"/>
          <w:szCs w:val="18"/>
        </w:rPr>
        <w:t xml:space="preserve">For example, one criterion required for a diagnosis of chronic </w:t>
      </w:r>
      <w:proofErr w:type="spellStart"/>
      <w:r>
        <w:rPr>
          <w:rFonts w:ascii="Verdana" w:hAnsi="Verdana"/>
          <w:color w:val="000000"/>
          <w:sz w:val="18"/>
          <w:szCs w:val="18"/>
        </w:rPr>
        <w:t>eosinophilic</w:t>
      </w:r>
      <w:proofErr w:type="spellEnd"/>
      <w:r>
        <w:rPr>
          <w:rFonts w:ascii="Verdana" w:hAnsi="Verdana"/>
          <w:color w:val="000000"/>
          <w:sz w:val="18"/>
          <w:szCs w:val="18"/>
        </w:rPr>
        <w:t xml:space="preserve"> leukemia is an absolute </w:t>
      </w:r>
      <w:proofErr w:type="spellStart"/>
      <w:r>
        <w:rPr>
          <w:rFonts w:ascii="Verdana" w:hAnsi="Verdana"/>
          <w:color w:val="000000"/>
          <w:sz w:val="18"/>
          <w:szCs w:val="18"/>
        </w:rPr>
        <w:t>eosinophil</w:t>
      </w:r>
      <w:proofErr w:type="spellEnd"/>
      <w:r>
        <w:rPr>
          <w:rFonts w:ascii="Verdana" w:hAnsi="Verdana"/>
          <w:color w:val="000000"/>
          <w:sz w:val="18"/>
          <w:szCs w:val="18"/>
        </w:rPr>
        <w:t xml:space="preserve"> count =1.5 × 10</w:t>
      </w:r>
      <w:r>
        <w:rPr>
          <w:rFonts w:ascii="Verdana" w:hAnsi="Verdana"/>
          <w:color w:val="000000"/>
          <w:sz w:val="18"/>
          <w:szCs w:val="18"/>
          <w:vertAlign w:val="superscript"/>
        </w:rPr>
        <w:t>9</w:t>
      </w:r>
      <w:r>
        <w:rPr>
          <w:rFonts w:ascii="Verdana" w:hAnsi="Verdana"/>
          <w:color w:val="000000"/>
          <w:sz w:val="18"/>
          <w:szCs w:val="18"/>
        </w:rPr>
        <w:t xml:space="preserve">/L. </w:t>
      </w:r>
    </w:p>
    <w:p w:rsidR="007956F3" w:rsidRDefault="007956F3" w:rsidP="007956F3">
      <w:pPr>
        <w:pStyle w:val="NormalWeb"/>
        <w:rPr>
          <w:rFonts w:ascii="Verdana" w:hAnsi="Verdana"/>
          <w:color w:val="000000"/>
          <w:sz w:val="18"/>
          <w:szCs w:val="18"/>
        </w:rPr>
      </w:pPr>
      <w:proofErr w:type="gramStart"/>
      <w:r>
        <w:rPr>
          <w:rFonts w:ascii="Verdana" w:hAnsi="Verdana"/>
          <w:color w:val="000000"/>
          <w:sz w:val="18"/>
          <w:szCs w:val="18"/>
        </w:rPr>
        <w:t xml:space="preserve">Absolute </w:t>
      </w:r>
      <w:proofErr w:type="spellStart"/>
      <w:r>
        <w:rPr>
          <w:rFonts w:ascii="Verdana" w:hAnsi="Verdana"/>
          <w:color w:val="000000"/>
          <w:sz w:val="18"/>
          <w:szCs w:val="18"/>
        </w:rPr>
        <w:t>basophil</w:t>
      </w:r>
      <w:proofErr w:type="spellEnd"/>
      <w:r>
        <w:rPr>
          <w:rFonts w:ascii="Verdana" w:hAnsi="Verdana"/>
          <w:color w:val="000000"/>
          <w:sz w:val="18"/>
          <w:szCs w:val="18"/>
        </w:rPr>
        <w:t xml:space="preserve"> count.</w:t>
      </w:r>
      <w:proofErr w:type="gramEnd"/>
      <w:r>
        <w:rPr>
          <w:rFonts w:ascii="Verdana" w:hAnsi="Verdana"/>
          <w:color w:val="000000"/>
          <w:sz w:val="18"/>
          <w:szCs w:val="18"/>
        </w:rPr>
        <w:t xml:space="preserve"> </w:t>
      </w:r>
      <w:proofErr w:type="spellStart"/>
      <w:r>
        <w:rPr>
          <w:rFonts w:ascii="Verdana" w:hAnsi="Verdana"/>
          <w:color w:val="000000"/>
          <w:sz w:val="18"/>
          <w:szCs w:val="18"/>
        </w:rPr>
        <w:t>Basophilia</w:t>
      </w:r>
      <w:proofErr w:type="spellEnd"/>
      <w:r>
        <w:rPr>
          <w:rFonts w:ascii="Verdana" w:hAnsi="Verdana"/>
          <w:color w:val="000000"/>
          <w:sz w:val="18"/>
          <w:szCs w:val="18"/>
        </w:rPr>
        <w:t xml:space="preserve"> (&gt;0.1 × 10</w:t>
      </w:r>
      <w:r>
        <w:rPr>
          <w:rFonts w:ascii="Verdana" w:hAnsi="Verdana"/>
          <w:color w:val="000000"/>
          <w:sz w:val="18"/>
          <w:szCs w:val="18"/>
          <w:vertAlign w:val="superscript"/>
        </w:rPr>
        <w:t>9</w:t>
      </w:r>
      <w:r>
        <w:rPr>
          <w:rFonts w:ascii="Verdana" w:hAnsi="Verdana"/>
          <w:color w:val="000000"/>
          <w:sz w:val="18"/>
          <w:szCs w:val="18"/>
        </w:rPr>
        <w:t xml:space="preserve">/L for adults in our laboratory) may be associated with </w:t>
      </w:r>
      <w:proofErr w:type="spellStart"/>
      <w:r>
        <w:rPr>
          <w:rFonts w:ascii="Verdana" w:hAnsi="Verdana"/>
          <w:color w:val="000000"/>
          <w:sz w:val="18"/>
          <w:szCs w:val="18"/>
        </w:rPr>
        <w:t>myeloproliferative</w:t>
      </w:r>
      <w:proofErr w:type="spellEnd"/>
      <w:r>
        <w:rPr>
          <w:rFonts w:ascii="Verdana" w:hAnsi="Verdana"/>
          <w:color w:val="000000"/>
          <w:sz w:val="18"/>
          <w:szCs w:val="18"/>
        </w:rPr>
        <w:t xml:space="preserve"> </w:t>
      </w:r>
      <w:proofErr w:type="spellStart"/>
      <w:r>
        <w:rPr>
          <w:rFonts w:ascii="Verdana" w:hAnsi="Verdana"/>
          <w:color w:val="000000"/>
          <w:sz w:val="18"/>
          <w:szCs w:val="18"/>
        </w:rPr>
        <w:t>neoplasms</w:t>
      </w:r>
      <w:proofErr w:type="spellEnd"/>
      <w:r>
        <w:rPr>
          <w:rFonts w:ascii="Verdana" w:hAnsi="Verdana"/>
          <w:color w:val="000000"/>
          <w:sz w:val="18"/>
          <w:szCs w:val="18"/>
        </w:rPr>
        <w:t xml:space="preserve">, hypersensitivity reactions, hypothyroidism, iron deficiency, and renal disease. </w:t>
      </w:r>
    </w:p>
    <w:p w:rsidR="007956F3" w:rsidRDefault="007956F3"/>
    <w:sectPr w:rsidR="007956F3" w:rsidSect="002F6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432"/>
    <w:rsid w:val="00116432"/>
    <w:rsid w:val="002F65D1"/>
    <w:rsid w:val="00795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wier263</dc:creator>
  <cp:keywords/>
  <dc:description/>
  <cp:lastModifiedBy>wier263</cp:lastModifiedBy>
  <cp:revision>1</cp:revision>
  <dcterms:created xsi:type="dcterms:W3CDTF">2013-10-01T13:27:00Z</dcterms:created>
  <dcterms:modified xsi:type="dcterms:W3CDTF">2013-10-01T13:48:00Z</dcterms:modified>
</cp:coreProperties>
</file>