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108" w:type="dxa"/>
        <w:tblLayout w:type="fixed"/>
        <w:tblLook w:val="01E0" w:firstRow="1" w:lastRow="1" w:firstColumn="1" w:lastColumn="1" w:noHBand="0" w:noVBand="0"/>
      </w:tblPr>
      <w:tblGrid>
        <w:gridCol w:w="4950"/>
        <w:gridCol w:w="1620"/>
        <w:gridCol w:w="4320"/>
      </w:tblGrid>
      <w:tr w:rsidR="00E23E7E" w:rsidTr="00E23E7E">
        <w:trPr>
          <w:trHeight w:val="1610"/>
        </w:trPr>
        <w:tc>
          <w:tcPr>
            <w:tcW w:w="4950" w:type="dxa"/>
          </w:tcPr>
          <w:p w:rsidR="00E23E7E" w:rsidRPr="0038117B" w:rsidRDefault="00E23E7E" w:rsidP="000501CC">
            <w:pPr>
              <w:pStyle w:val="Header"/>
              <w:jc w:val="center"/>
              <w:rPr>
                <w:rFonts w:ascii="Arial" w:hAnsi="Arial" w:cs="Arial"/>
                <w:b/>
                <w:sz w:val="30"/>
                <w:szCs w:val="30"/>
              </w:rPr>
            </w:pPr>
            <w:r w:rsidRPr="0038117B">
              <w:rPr>
                <w:rFonts w:ascii="Arial" w:hAnsi="Arial" w:cs="Arial"/>
                <w:b/>
                <w:sz w:val="30"/>
                <w:szCs w:val="30"/>
              </w:rPr>
              <w:t>New Vision Medical Laboratories</w:t>
            </w:r>
          </w:p>
          <w:p w:rsidR="00E23E7E" w:rsidRPr="0038117B" w:rsidRDefault="00E23E7E" w:rsidP="000501CC">
            <w:pPr>
              <w:pStyle w:val="Header"/>
              <w:jc w:val="center"/>
              <w:rPr>
                <w:rFonts w:ascii="Arial" w:hAnsi="Arial" w:cs="Arial"/>
                <w:sz w:val="16"/>
                <w:szCs w:val="16"/>
              </w:rPr>
            </w:pPr>
          </w:p>
          <w:p w:rsidR="00E23E7E" w:rsidRPr="0038117B" w:rsidRDefault="00E23E7E" w:rsidP="000501CC">
            <w:pPr>
              <w:pStyle w:val="Header"/>
              <w:jc w:val="center"/>
              <w:rPr>
                <w:b/>
                <w:szCs w:val="24"/>
              </w:rPr>
            </w:pPr>
            <w:r w:rsidRPr="0038117B">
              <w:rPr>
                <w:rFonts w:ascii="Arial" w:hAnsi="Arial" w:cs="Arial"/>
                <w:b/>
                <w:szCs w:val="24"/>
              </w:rPr>
              <w:t>St. Rita’s Medical Center</w:t>
            </w:r>
          </w:p>
          <w:p w:rsidR="00E23E7E" w:rsidRPr="0038117B" w:rsidRDefault="00E23E7E" w:rsidP="000501CC">
            <w:pPr>
              <w:pStyle w:val="Header"/>
              <w:jc w:val="center"/>
              <w:rPr>
                <w:rFonts w:ascii="Arial" w:hAnsi="Arial" w:cs="Arial"/>
                <w:b/>
                <w:sz w:val="20"/>
              </w:rPr>
            </w:pPr>
            <w:r w:rsidRPr="0038117B">
              <w:rPr>
                <w:rFonts w:ascii="Arial" w:hAnsi="Arial" w:cs="Arial"/>
                <w:b/>
                <w:sz w:val="20"/>
              </w:rPr>
              <w:t>Lima, Ohio</w:t>
            </w:r>
          </w:p>
          <w:p w:rsidR="00E23E7E" w:rsidRDefault="00E23E7E" w:rsidP="000501CC">
            <w:pPr>
              <w:pStyle w:val="Header"/>
              <w:jc w:val="center"/>
            </w:pPr>
            <w:r w:rsidRPr="0038117B">
              <w:rPr>
                <w:rFonts w:ascii="Arial" w:hAnsi="Arial" w:cs="Arial"/>
                <w:b/>
                <w:sz w:val="20"/>
              </w:rPr>
              <w:t xml:space="preserve">  Policy and Procedure Manual</w:t>
            </w:r>
          </w:p>
        </w:tc>
        <w:tc>
          <w:tcPr>
            <w:tcW w:w="1620" w:type="dxa"/>
          </w:tcPr>
          <w:p w:rsidR="00E23E7E" w:rsidRPr="00921B82" w:rsidRDefault="00E23E7E" w:rsidP="000501CC"/>
          <w:p w:rsidR="00E23E7E" w:rsidRPr="00921B82" w:rsidRDefault="00E23E7E" w:rsidP="000501CC">
            <w:r>
              <w:rPr>
                <w:noProof/>
              </w:rPr>
              <w:drawing>
                <wp:inline distT="0" distB="0" distL="0" distR="0">
                  <wp:extent cx="881380" cy="485775"/>
                  <wp:effectExtent l="19050" t="0" r="0" b="0"/>
                  <wp:docPr id="6" name="Picture 6" descr="1%20NewVisColo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NewVisColor%20Logo"/>
                          <pic:cNvPicPr>
                            <a:picLocks noChangeAspect="1" noChangeArrowheads="1"/>
                          </pic:cNvPicPr>
                        </pic:nvPicPr>
                        <pic:blipFill>
                          <a:blip r:embed="rId7" cstate="print"/>
                          <a:srcRect/>
                          <a:stretch>
                            <a:fillRect/>
                          </a:stretch>
                        </pic:blipFill>
                        <pic:spPr bwMode="auto">
                          <a:xfrm>
                            <a:off x="0" y="0"/>
                            <a:ext cx="881380" cy="485775"/>
                          </a:xfrm>
                          <a:prstGeom prst="rect">
                            <a:avLst/>
                          </a:prstGeom>
                          <a:noFill/>
                          <a:ln w="9525">
                            <a:noFill/>
                            <a:miter lim="800000"/>
                            <a:headEnd/>
                            <a:tailEnd/>
                          </a:ln>
                        </pic:spPr>
                      </pic:pic>
                    </a:graphicData>
                  </a:graphic>
                </wp:inline>
              </w:drawing>
            </w:r>
          </w:p>
        </w:tc>
        <w:tc>
          <w:tcPr>
            <w:tcW w:w="4320" w:type="dxa"/>
          </w:tcPr>
          <w:p w:rsidR="00E23E7E" w:rsidRDefault="00E23E7E" w:rsidP="000501CC">
            <w:pPr>
              <w:pStyle w:val="Header"/>
              <w:rPr>
                <w:rFonts w:ascii="Arial" w:hAnsi="Arial" w:cs="Arial"/>
                <w:b/>
                <w:sz w:val="20"/>
              </w:rPr>
            </w:pPr>
          </w:p>
          <w:p w:rsidR="00E23E7E" w:rsidRPr="006E46D7" w:rsidRDefault="00E23E7E" w:rsidP="000501CC">
            <w:pPr>
              <w:pStyle w:val="Header"/>
              <w:rPr>
                <w:rFonts w:ascii="Arial" w:hAnsi="Arial" w:cs="Arial"/>
                <w:b/>
                <w:sz w:val="20"/>
              </w:rPr>
            </w:pPr>
            <w:r w:rsidRPr="006E46D7">
              <w:rPr>
                <w:rFonts w:ascii="Arial" w:hAnsi="Arial" w:cs="Arial"/>
                <w:b/>
                <w:sz w:val="20"/>
              </w:rPr>
              <w:t>Policy Number</w:t>
            </w:r>
            <w:r>
              <w:rPr>
                <w:rFonts w:ascii="Arial" w:hAnsi="Arial" w:cs="Arial"/>
                <w:b/>
                <w:sz w:val="20"/>
              </w:rPr>
              <w:t xml:space="preserve">: </w:t>
            </w:r>
            <w:r w:rsidR="00BB27ED">
              <w:rPr>
                <w:rFonts w:ascii="Arial" w:hAnsi="Arial" w:cs="Arial"/>
                <w:b/>
                <w:sz w:val="20"/>
              </w:rPr>
              <w:t>nvml.bb.basic.</w:t>
            </w:r>
            <w:r w:rsidR="00E77527">
              <w:rPr>
                <w:rFonts w:ascii="Arial" w:hAnsi="Arial" w:cs="Arial"/>
                <w:b/>
                <w:sz w:val="20"/>
              </w:rPr>
              <w:t>t.</w:t>
            </w:r>
            <w:r w:rsidR="00BB27ED">
              <w:rPr>
                <w:rFonts w:ascii="Arial" w:hAnsi="Arial" w:cs="Arial"/>
                <w:b/>
                <w:sz w:val="20"/>
              </w:rPr>
              <w:t>016</w:t>
            </w:r>
            <w:r w:rsidR="001C7214">
              <w:rPr>
                <w:rFonts w:ascii="Arial" w:hAnsi="Arial" w:cs="Arial"/>
                <w:b/>
                <w:sz w:val="20"/>
              </w:rPr>
              <w:t xml:space="preserve"> Second Blood Type</w:t>
            </w:r>
          </w:p>
          <w:p w:rsidR="00E23E7E" w:rsidRDefault="00E23E7E" w:rsidP="000501CC">
            <w:pPr>
              <w:pStyle w:val="Header"/>
            </w:pPr>
          </w:p>
          <w:p w:rsidR="00E23E7E" w:rsidRPr="00D616F4" w:rsidRDefault="00E23E7E" w:rsidP="000501CC">
            <w:pPr>
              <w:pStyle w:val="Header"/>
              <w:rPr>
                <w:rFonts w:ascii="Arial" w:hAnsi="Arial" w:cs="Arial"/>
                <w:b/>
                <w:sz w:val="20"/>
              </w:rPr>
            </w:pPr>
            <w:r w:rsidRPr="00D616F4">
              <w:rPr>
                <w:rFonts w:ascii="Arial" w:hAnsi="Arial" w:cs="Arial"/>
                <w:b/>
                <w:sz w:val="20"/>
              </w:rPr>
              <w:t>Initiation Date:</w:t>
            </w:r>
            <w:r w:rsidR="00472AB0">
              <w:rPr>
                <w:rFonts w:ascii="Arial" w:hAnsi="Arial" w:cs="Arial"/>
                <w:b/>
                <w:sz w:val="20"/>
              </w:rPr>
              <w:t xml:space="preserve"> </w:t>
            </w:r>
            <w:r w:rsidR="00BB27ED">
              <w:rPr>
                <w:rFonts w:ascii="Arial" w:hAnsi="Arial" w:cs="Arial"/>
                <w:b/>
                <w:sz w:val="20"/>
              </w:rPr>
              <w:t>February</w:t>
            </w:r>
            <w:r w:rsidR="00472AB0">
              <w:rPr>
                <w:rFonts w:ascii="Arial" w:hAnsi="Arial" w:cs="Arial"/>
                <w:b/>
                <w:sz w:val="20"/>
              </w:rPr>
              <w:t xml:space="preserve"> </w:t>
            </w:r>
            <w:r w:rsidR="00BB27ED">
              <w:rPr>
                <w:rFonts w:ascii="Arial" w:hAnsi="Arial" w:cs="Arial"/>
                <w:b/>
                <w:sz w:val="20"/>
              </w:rPr>
              <w:t>12, 2015</w:t>
            </w:r>
          </w:p>
          <w:p w:rsidR="00E23E7E" w:rsidRDefault="00E23E7E" w:rsidP="000501CC">
            <w:pPr>
              <w:pStyle w:val="Header"/>
              <w:rPr>
                <w:rFonts w:ascii="Arial" w:hAnsi="Arial" w:cs="Arial"/>
                <w:b/>
                <w:sz w:val="20"/>
              </w:rPr>
            </w:pPr>
          </w:p>
          <w:p w:rsidR="00E23E7E" w:rsidRPr="003D229A" w:rsidRDefault="00E23E7E" w:rsidP="000501CC">
            <w:pPr>
              <w:pStyle w:val="Header"/>
              <w:rPr>
                <w:rFonts w:ascii="Arial" w:hAnsi="Arial" w:cs="Arial"/>
                <w:b/>
                <w:sz w:val="20"/>
              </w:rPr>
            </w:pPr>
          </w:p>
        </w:tc>
      </w:tr>
    </w:tbl>
    <w:p w:rsidR="00CA6DB5" w:rsidRDefault="00CA6DB5"/>
    <w:p w:rsidR="000501CC" w:rsidRDefault="000501CC" w:rsidP="000501CC">
      <w:pPr>
        <w:rPr>
          <w:b/>
          <w:sz w:val="20"/>
        </w:rPr>
      </w:pPr>
      <w:r>
        <w:rPr>
          <w:b/>
          <w:sz w:val="20"/>
        </w:rPr>
        <w:t>This procedure is electronically produced, revised, monitored, reviewed and/or retired. For a full document history of initiation, revisions, and reviews with electronic signatures and dates, please open document in the procedure publishing software.</w:t>
      </w:r>
    </w:p>
    <w:p w:rsidR="000501CC" w:rsidRDefault="000501CC"/>
    <w:p w:rsidR="00E23E7E" w:rsidRDefault="00E23E7E"/>
    <w:p w:rsidR="00E23E7E" w:rsidRPr="00E72116" w:rsidRDefault="005F4046" w:rsidP="005F4046">
      <w:pPr>
        <w:rPr>
          <w:sz w:val="28"/>
          <w:szCs w:val="28"/>
        </w:rPr>
      </w:pPr>
      <w:r w:rsidRPr="00E72116">
        <w:rPr>
          <w:sz w:val="28"/>
          <w:szCs w:val="28"/>
        </w:rPr>
        <w:t xml:space="preserve">SUBJECT:  </w:t>
      </w:r>
      <w:r w:rsidR="008465B0">
        <w:rPr>
          <w:sz w:val="28"/>
          <w:szCs w:val="28"/>
        </w:rPr>
        <w:t xml:space="preserve">Second Blood Type </w:t>
      </w:r>
    </w:p>
    <w:p w:rsidR="005F4046" w:rsidRDefault="005F4046" w:rsidP="005F4046">
      <w:pPr>
        <w:rPr>
          <w:sz w:val="20"/>
        </w:rPr>
      </w:pPr>
    </w:p>
    <w:p w:rsidR="005F4046" w:rsidRPr="00E72116" w:rsidRDefault="005F4046" w:rsidP="00D9358D">
      <w:pPr>
        <w:autoSpaceDE w:val="0"/>
        <w:autoSpaceDN w:val="0"/>
        <w:adjustRightInd w:val="0"/>
        <w:rPr>
          <w:szCs w:val="24"/>
        </w:rPr>
      </w:pPr>
      <w:r w:rsidRPr="00C96B8B">
        <w:rPr>
          <w:b/>
          <w:szCs w:val="24"/>
        </w:rPr>
        <w:t>Policy</w:t>
      </w:r>
      <w:r>
        <w:rPr>
          <w:b/>
          <w:sz w:val="20"/>
        </w:rPr>
        <w:t xml:space="preserve">: </w:t>
      </w:r>
      <w:r w:rsidR="008465B0">
        <w:rPr>
          <w:szCs w:val="24"/>
        </w:rPr>
        <w:t>A second blood type is required when a type and screen</w:t>
      </w:r>
      <w:r w:rsidR="00BB27ED">
        <w:rPr>
          <w:szCs w:val="24"/>
        </w:rPr>
        <w:t>, LRC</w:t>
      </w:r>
      <w:r w:rsidR="008465B0">
        <w:rPr>
          <w:szCs w:val="24"/>
        </w:rPr>
        <w:t xml:space="preserve"> or FFP order is placed as there is </w:t>
      </w:r>
      <w:r w:rsidR="00BB27ED">
        <w:rPr>
          <w:szCs w:val="24"/>
        </w:rPr>
        <w:t>a possibility</w:t>
      </w:r>
      <w:r w:rsidR="008465B0">
        <w:rPr>
          <w:szCs w:val="24"/>
        </w:rPr>
        <w:t xml:space="preserve"> of </w:t>
      </w:r>
      <w:r w:rsidR="00BB27ED">
        <w:rPr>
          <w:szCs w:val="24"/>
        </w:rPr>
        <w:t xml:space="preserve">a transfusion. </w:t>
      </w:r>
      <w:r w:rsidR="008465B0" w:rsidRPr="002C6BF7">
        <w:rPr>
          <w:szCs w:val="24"/>
          <w:highlight w:val="yellow"/>
        </w:rPr>
        <w:t>This does not apply to patients less than four months of age</w:t>
      </w:r>
      <w:r w:rsidR="008465B0">
        <w:rPr>
          <w:szCs w:val="24"/>
        </w:rPr>
        <w:t>. A pathologist may approve products to be transfused prior to the second blood type being completed</w:t>
      </w:r>
      <w:r w:rsidR="00B1366F">
        <w:rPr>
          <w:szCs w:val="24"/>
        </w:rPr>
        <w:t xml:space="preserve"> on patients older than four months</w:t>
      </w:r>
      <w:r w:rsidR="008465B0">
        <w:rPr>
          <w:szCs w:val="24"/>
        </w:rPr>
        <w:t>.</w:t>
      </w:r>
      <w:bookmarkStart w:id="0" w:name="_GoBack"/>
      <w:bookmarkEnd w:id="0"/>
    </w:p>
    <w:p w:rsidR="00E23E7E" w:rsidRPr="00E72116" w:rsidRDefault="00E23E7E" w:rsidP="00E23E7E">
      <w:pPr>
        <w:rPr>
          <w:szCs w:val="24"/>
        </w:rPr>
      </w:pPr>
    </w:p>
    <w:p w:rsidR="00473A3B" w:rsidRPr="00E72116" w:rsidRDefault="00E23E7E" w:rsidP="00E23E7E">
      <w:pPr>
        <w:rPr>
          <w:rFonts w:ascii="Times New Roman" w:hAnsi="Times New Roman"/>
          <w:b/>
          <w:szCs w:val="24"/>
        </w:rPr>
      </w:pPr>
      <w:r w:rsidRPr="00E72116">
        <w:rPr>
          <w:rFonts w:ascii="Times New Roman" w:hAnsi="Times New Roman"/>
          <w:b/>
          <w:szCs w:val="24"/>
        </w:rPr>
        <w:t>PROCEDURE:</w:t>
      </w:r>
      <w:r w:rsidRPr="00E72116">
        <w:rPr>
          <w:rFonts w:ascii="Times New Roman" w:hAnsi="Times New Roman"/>
          <w:b/>
          <w:szCs w:val="24"/>
        </w:rPr>
        <w:tab/>
      </w:r>
    </w:p>
    <w:p w:rsidR="00E72116" w:rsidRPr="008C1E89" w:rsidRDefault="00C96B8B" w:rsidP="00E72116">
      <w:pPr>
        <w:pStyle w:val="ListParagraph"/>
        <w:numPr>
          <w:ilvl w:val="0"/>
          <w:numId w:val="5"/>
        </w:numPr>
        <w:rPr>
          <w:rFonts w:ascii="Times New Roman" w:hAnsi="Times New Roman"/>
          <w:b/>
          <w:szCs w:val="24"/>
        </w:rPr>
      </w:pPr>
      <w:r w:rsidRPr="00E72116">
        <w:rPr>
          <w:rFonts w:ascii="Times New Roman" w:hAnsi="Times New Roman"/>
          <w:szCs w:val="24"/>
        </w:rPr>
        <w:t xml:space="preserve">When </w:t>
      </w:r>
      <w:r w:rsidR="008465B0">
        <w:rPr>
          <w:rFonts w:ascii="Times New Roman" w:hAnsi="Times New Roman"/>
          <w:szCs w:val="24"/>
        </w:rPr>
        <w:t>an order is placed for a type and screen</w:t>
      </w:r>
      <w:r w:rsidR="00BB27ED">
        <w:rPr>
          <w:rFonts w:ascii="Times New Roman" w:hAnsi="Times New Roman"/>
          <w:szCs w:val="24"/>
        </w:rPr>
        <w:t>, LRC</w:t>
      </w:r>
      <w:r w:rsidR="008465B0">
        <w:rPr>
          <w:rFonts w:ascii="Times New Roman" w:hAnsi="Times New Roman"/>
          <w:szCs w:val="24"/>
        </w:rPr>
        <w:t xml:space="preserve"> or FFP review the patient by going to the patient pending list and viewing all orders. Then using the F8 function on each patient you can review the patient noting if there is a current blood type on file. So if there is a historical type and you are performing a type and screen no need to order additional tests.</w:t>
      </w:r>
      <w:r w:rsidR="002C6BF7">
        <w:rPr>
          <w:rFonts w:ascii="Times New Roman" w:hAnsi="Times New Roman"/>
          <w:szCs w:val="24"/>
        </w:rPr>
        <w:t xml:space="preserve"> You may also do this by looking up the patient in patient orders modify.</w:t>
      </w:r>
    </w:p>
    <w:p w:rsidR="008C1E89" w:rsidRPr="00E72116" w:rsidRDefault="008C1E89" w:rsidP="008C1E89">
      <w:pPr>
        <w:pStyle w:val="ListParagraph"/>
        <w:ind w:left="1470"/>
        <w:rPr>
          <w:rFonts w:ascii="Times New Roman" w:hAnsi="Times New Roman"/>
          <w:b/>
          <w:szCs w:val="24"/>
        </w:rPr>
      </w:pPr>
    </w:p>
    <w:p w:rsidR="004F26E2" w:rsidRPr="00B1366F" w:rsidRDefault="008465B0" w:rsidP="004F26E2">
      <w:pPr>
        <w:pStyle w:val="ListParagraph"/>
        <w:numPr>
          <w:ilvl w:val="0"/>
          <w:numId w:val="5"/>
        </w:numPr>
        <w:rPr>
          <w:rFonts w:ascii="Times New Roman" w:hAnsi="Times New Roman"/>
          <w:b/>
          <w:szCs w:val="24"/>
        </w:rPr>
      </w:pPr>
      <w:r w:rsidRPr="00B1366F">
        <w:rPr>
          <w:rFonts w:ascii="Times New Roman" w:hAnsi="Times New Roman"/>
          <w:szCs w:val="24"/>
        </w:rPr>
        <w:t xml:space="preserve">If the patient has no previous blood type and </w:t>
      </w:r>
      <w:r w:rsidR="00B1366F" w:rsidRPr="00B1366F">
        <w:rPr>
          <w:rFonts w:ascii="Times New Roman" w:hAnsi="Times New Roman"/>
          <w:szCs w:val="24"/>
        </w:rPr>
        <w:t>one</w:t>
      </w:r>
      <w:r w:rsidR="002C6BF7" w:rsidRPr="00B1366F">
        <w:rPr>
          <w:rFonts w:ascii="Times New Roman" w:hAnsi="Times New Roman"/>
          <w:szCs w:val="24"/>
        </w:rPr>
        <w:t xml:space="preserve"> current type on file you will need to order the AB2. If the patient had a lavender or red top tube collected at a different draw time you may add the AB2 test to that order and use that sample for testing.</w:t>
      </w:r>
      <w:r w:rsidR="00B1366F" w:rsidRPr="00B1366F">
        <w:rPr>
          <w:rFonts w:ascii="Times New Roman" w:hAnsi="Times New Roman"/>
          <w:szCs w:val="24"/>
        </w:rPr>
        <w:t xml:space="preserve"> We require that the draw is performed at a different time than the initial draw for type and screen/ABO was done.</w:t>
      </w:r>
    </w:p>
    <w:p w:rsidR="00B1366F" w:rsidRPr="00B1366F" w:rsidRDefault="00B1366F" w:rsidP="00B1366F">
      <w:pPr>
        <w:pStyle w:val="ListParagraph"/>
        <w:rPr>
          <w:rFonts w:ascii="Times New Roman" w:hAnsi="Times New Roman"/>
          <w:b/>
          <w:szCs w:val="24"/>
        </w:rPr>
      </w:pPr>
    </w:p>
    <w:p w:rsidR="00B1366F" w:rsidRPr="00B1366F" w:rsidRDefault="00B1366F" w:rsidP="00B1366F">
      <w:pPr>
        <w:pStyle w:val="ListParagraph"/>
        <w:ind w:left="1440"/>
        <w:rPr>
          <w:rFonts w:ascii="Times New Roman" w:hAnsi="Times New Roman"/>
          <w:b/>
          <w:szCs w:val="24"/>
        </w:rPr>
      </w:pPr>
    </w:p>
    <w:p w:rsidR="00B1366F" w:rsidRPr="004F26E2" w:rsidRDefault="00B1366F" w:rsidP="00B1366F">
      <w:pPr>
        <w:pStyle w:val="ListParagraph"/>
        <w:numPr>
          <w:ilvl w:val="0"/>
          <w:numId w:val="5"/>
        </w:numPr>
        <w:rPr>
          <w:rFonts w:ascii="Times New Roman" w:hAnsi="Times New Roman"/>
          <w:b/>
          <w:szCs w:val="24"/>
        </w:rPr>
      </w:pPr>
      <w:r>
        <w:rPr>
          <w:rFonts w:ascii="Times New Roman" w:hAnsi="Times New Roman"/>
          <w:szCs w:val="24"/>
        </w:rPr>
        <w:t>Currently CBC tubes are kept for 5 days in the blood bank.</w:t>
      </w:r>
    </w:p>
    <w:p w:rsidR="004F26E2" w:rsidRPr="00E72116" w:rsidRDefault="002C6BF7" w:rsidP="00B1366F">
      <w:pPr>
        <w:pStyle w:val="ListParagraph"/>
        <w:ind w:left="1440"/>
        <w:rPr>
          <w:rFonts w:ascii="Times New Roman" w:hAnsi="Times New Roman"/>
          <w:b/>
          <w:szCs w:val="24"/>
        </w:rPr>
      </w:pPr>
      <w:r>
        <w:rPr>
          <w:rFonts w:ascii="Times New Roman" w:hAnsi="Times New Roman"/>
          <w:szCs w:val="24"/>
        </w:rPr>
        <w:t>If you need to have a draw performed for the AB2 you will need to order it on a new sample number on the current stay. At the order entry screen in the lab side change the No charge to Yes. This way the patient will not be charged for the venipuncture.</w:t>
      </w:r>
    </w:p>
    <w:p w:rsidR="00B1366F" w:rsidRDefault="00B1366F" w:rsidP="00B1366F">
      <w:pPr>
        <w:pStyle w:val="ListParagraph"/>
        <w:ind w:left="1440"/>
        <w:rPr>
          <w:rFonts w:ascii="Times New Roman" w:hAnsi="Times New Roman"/>
          <w:b/>
          <w:szCs w:val="24"/>
        </w:rPr>
      </w:pPr>
    </w:p>
    <w:p w:rsidR="000A2616" w:rsidRPr="00E72116" w:rsidRDefault="002C6BF7" w:rsidP="00C96B8B">
      <w:pPr>
        <w:pStyle w:val="ListParagraph"/>
        <w:numPr>
          <w:ilvl w:val="0"/>
          <w:numId w:val="5"/>
        </w:numPr>
        <w:rPr>
          <w:rFonts w:ascii="Times New Roman" w:hAnsi="Times New Roman"/>
          <w:b/>
          <w:szCs w:val="24"/>
        </w:rPr>
      </w:pPr>
      <w:r>
        <w:rPr>
          <w:rFonts w:ascii="Times New Roman" w:hAnsi="Times New Roman"/>
          <w:b/>
          <w:szCs w:val="24"/>
        </w:rPr>
        <w:t>Trauma patients or those that require emergent transfusions may require a call to the on call pathologist for approval to give on a single blood type. If this must be done order a BBMIS in blood bank and document the approval here.</w:t>
      </w:r>
    </w:p>
    <w:p w:rsidR="00473A3B" w:rsidRDefault="00473A3B" w:rsidP="00473A3B">
      <w:pPr>
        <w:rPr>
          <w:b/>
          <w:sz w:val="20"/>
        </w:rPr>
      </w:pPr>
    </w:p>
    <w:p w:rsidR="00BB27ED" w:rsidRDefault="00BB27ED" w:rsidP="00473A3B">
      <w:pPr>
        <w:rPr>
          <w:b/>
          <w:sz w:val="20"/>
        </w:rPr>
      </w:pPr>
    </w:p>
    <w:p w:rsidR="002C6BF7" w:rsidRPr="00B40928" w:rsidRDefault="002C6BF7" w:rsidP="00473A3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182949" w:rsidRPr="00A83E60" w:rsidTr="000501CC">
        <w:tc>
          <w:tcPr>
            <w:tcW w:w="4248" w:type="dxa"/>
            <w:tcBorders>
              <w:top w:val="nil"/>
              <w:left w:val="nil"/>
              <w:bottom w:val="nil"/>
              <w:right w:val="nil"/>
            </w:tcBorders>
          </w:tcPr>
          <w:p w:rsidR="008B3F22" w:rsidRDefault="008B3F22" w:rsidP="008B3F22">
            <w:pPr>
              <w:rPr>
                <w:b/>
                <w:sz w:val="20"/>
              </w:rPr>
            </w:pPr>
          </w:p>
          <w:p w:rsidR="008B3F22" w:rsidRDefault="008B3F22" w:rsidP="008B3F22">
            <w:pPr>
              <w:rPr>
                <w:b/>
                <w:sz w:val="20"/>
              </w:rPr>
            </w:pPr>
            <w:r>
              <w:rPr>
                <w:b/>
                <w:sz w:val="20"/>
              </w:rPr>
              <w:t>REFERENCES</w:t>
            </w:r>
          </w:p>
          <w:p w:rsidR="008B3F22" w:rsidRDefault="008B3F22" w:rsidP="008B3F22">
            <w:pPr>
              <w:rPr>
                <w:b/>
                <w:sz w:val="20"/>
              </w:rPr>
            </w:pPr>
            <w:r>
              <w:rPr>
                <w:b/>
                <w:sz w:val="20"/>
              </w:rPr>
              <w:tab/>
            </w:r>
          </w:p>
          <w:p w:rsidR="008B3F22" w:rsidRDefault="008B3F22" w:rsidP="008B3F22">
            <w:pPr>
              <w:pStyle w:val="ListParagraph"/>
              <w:numPr>
                <w:ilvl w:val="0"/>
                <w:numId w:val="6"/>
              </w:numPr>
              <w:rPr>
                <w:sz w:val="20"/>
              </w:rPr>
            </w:pPr>
            <w:r>
              <w:rPr>
                <w:sz w:val="20"/>
              </w:rPr>
              <w:t>CAP Standards (T</w:t>
            </w:r>
            <w:r>
              <w:rPr>
                <w:sz w:val="18"/>
                <w:szCs w:val="18"/>
              </w:rPr>
              <w:t>RM.40670)</w:t>
            </w:r>
          </w:p>
          <w:p w:rsidR="004F26E2" w:rsidRPr="004F26E2" w:rsidRDefault="004F26E2" w:rsidP="002C6BF7">
            <w:pPr>
              <w:rPr>
                <w:sz w:val="20"/>
              </w:rPr>
            </w:pPr>
          </w:p>
        </w:tc>
      </w:tr>
    </w:tbl>
    <w:p w:rsidR="00182949" w:rsidRPr="00B40928" w:rsidRDefault="00182949" w:rsidP="00182949">
      <w:pPr>
        <w:rPr>
          <w:b/>
          <w:sz w:val="20"/>
        </w:rPr>
      </w:pPr>
    </w:p>
    <w:p w:rsidR="00473A3B" w:rsidRPr="00B40928" w:rsidRDefault="00473A3B" w:rsidP="00473A3B">
      <w:pPr>
        <w:rPr>
          <w:b/>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E05B96" w:rsidRPr="00A83E60" w:rsidTr="000501CC">
        <w:tc>
          <w:tcPr>
            <w:tcW w:w="9864" w:type="dxa"/>
            <w:tcBorders>
              <w:top w:val="nil"/>
              <w:left w:val="nil"/>
              <w:bottom w:val="nil"/>
              <w:right w:val="nil"/>
            </w:tcBorders>
          </w:tcPr>
          <w:p w:rsidR="00E05B96" w:rsidRPr="00623753" w:rsidRDefault="00E05B96" w:rsidP="000501CC">
            <w:pPr>
              <w:rPr>
                <w:b/>
                <w:sz w:val="20"/>
              </w:rPr>
            </w:pPr>
          </w:p>
        </w:tc>
      </w:tr>
    </w:tbl>
    <w:p w:rsidR="00473A3B" w:rsidRDefault="00473A3B" w:rsidP="00473A3B">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473A3B" w:rsidRPr="00A83E60" w:rsidTr="000501CC">
        <w:tc>
          <w:tcPr>
            <w:tcW w:w="4248" w:type="dxa"/>
            <w:tcBorders>
              <w:top w:val="nil"/>
              <w:left w:val="nil"/>
              <w:bottom w:val="nil"/>
              <w:right w:val="nil"/>
            </w:tcBorders>
          </w:tcPr>
          <w:p w:rsidR="00473A3B" w:rsidRPr="00A83E60" w:rsidRDefault="00473A3B" w:rsidP="000501CC">
            <w:pPr>
              <w:ind w:left="288"/>
              <w:rPr>
                <w:b/>
                <w:sz w:val="20"/>
              </w:rPr>
            </w:pPr>
          </w:p>
        </w:tc>
      </w:tr>
    </w:tbl>
    <w:p w:rsidR="00473A3B" w:rsidRPr="00B40928" w:rsidRDefault="00473A3B" w:rsidP="00473A3B">
      <w:pPr>
        <w:rPr>
          <w:b/>
          <w:sz w:val="20"/>
        </w:rPr>
      </w:pPr>
    </w:p>
    <w:p w:rsidR="0080534B" w:rsidRDefault="0080534B" w:rsidP="00473A3B">
      <w:pPr>
        <w:rPr>
          <w:b/>
          <w:sz w:val="20"/>
        </w:rPr>
      </w:pPr>
      <w:r>
        <w:rPr>
          <w:b/>
          <w:sz w:val="20"/>
        </w:rPr>
        <w:lastRenderedPageBreak/>
        <w:br/>
      </w:r>
    </w:p>
    <w:p w:rsidR="0080534B" w:rsidRDefault="0080534B" w:rsidP="00473A3B">
      <w:pPr>
        <w:rPr>
          <w:b/>
          <w:sz w:val="20"/>
        </w:rPr>
      </w:pPr>
      <w:r>
        <w:rPr>
          <w:b/>
          <w:sz w:val="20"/>
        </w:rPr>
        <w:t>Policy Approval:</w:t>
      </w:r>
    </w:p>
    <w:p w:rsidR="0080534B" w:rsidRDefault="0080534B" w:rsidP="00473A3B">
      <w:pPr>
        <w:rPr>
          <w:b/>
          <w:sz w:val="20"/>
        </w:rPr>
      </w:pPr>
    </w:p>
    <w:p w:rsidR="0080534B" w:rsidRDefault="0080534B" w:rsidP="00473A3B">
      <w:pPr>
        <w:rPr>
          <w:b/>
          <w:sz w:val="20"/>
        </w:rPr>
      </w:pPr>
      <w:r>
        <w:rPr>
          <w:b/>
          <w:sz w:val="20"/>
        </w:rPr>
        <w:t xml:space="preserve">Approved by Samuel A Schroeder - </w:t>
      </w:r>
    </w:p>
    <w:p w:rsidR="0080534B" w:rsidRDefault="0080534B" w:rsidP="00473A3B">
      <w:pPr>
        <w:rPr>
          <w:b/>
          <w:sz w:val="20"/>
        </w:rPr>
      </w:pPr>
      <w:r>
        <w:rPr>
          <w:b/>
          <w:sz w:val="20"/>
        </w:rPr>
        <w:t>2/12/2015 4:24:36 PM</w:t>
      </w:r>
    </w:p>
    <w:p w:rsidR="0080534B" w:rsidRDefault="0080534B" w:rsidP="00473A3B">
      <w:pPr>
        <w:rPr>
          <w:b/>
          <w:sz w:val="20"/>
        </w:rPr>
      </w:pPr>
      <w:r>
        <w:rPr>
          <w:b/>
          <w:sz w:val="20"/>
        </w:rPr>
        <w:t>Approved by Dr. Matt T Kuhn - Blood Bank Director</w:t>
      </w:r>
    </w:p>
    <w:p w:rsidR="0080534B" w:rsidRDefault="0080534B" w:rsidP="00473A3B">
      <w:pPr>
        <w:rPr>
          <w:b/>
          <w:sz w:val="20"/>
        </w:rPr>
      </w:pPr>
      <w:r>
        <w:rPr>
          <w:b/>
          <w:sz w:val="20"/>
        </w:rPr>
        <w:t xml:space="preserve">3/30/2015 11:25:37 </w:t>
      </w:r>
      <w:proofErr w:type="gramStart"/>
      <w:r>
        <w:rPr>
          <w:b/>
          <w:sz w:val="20"/>
        </w:rPr>
        <w:t>AM</w:t>
      </w:r>
      <w:proofErr w:type="gramEnd"/>
    </w:p>
    <w:p w:rsidR="00473A3B" w:rsidRPr="00B40928" w:rsidRDefault="00473A3B" w:rsidP="00473A3B">
      <w:pPr>
        <w:rPr>
          <w:b/>
          <w:sz w:val="20"/>
        </w:rPr>
      </w:pPr>
    </w:p>
    <w:sectPr w:rsidR="00473A3B" w:rsidRPr="00B40928" w:rsidSect="00E23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792"/>
    <w:multiLevelType w:val="hybridMultilevel"/>
    <w:tmpl w:val="2F30D23C"/>
    <w:lvl w:ilvl="0" w:tplc="E79A7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1D73F6"/>
    <w:multiLevelType w:val="hybridMultilevel"/>
    <w:tmpl w:val="1070FAD2"/>
    <w:lvl w:ilvl="0" w:tplc="CDD057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365397"/>
    <w:multiLevelType w:val="hybridMultilevel"/>
    <w:tmpl w:val="0B7848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B96695"/>
    <w:multiLevelType w:val="hybridMultilevel"/>
    <w:tmpl w:val="1174FB06"/>
    <w:lvl w:ilvl="0" w:tplc="2B720056">
      <w:start w:val="1"/>
      <w:numFmt w:val="upperLetter"/>
      <w:lvlText w:val="%1."/>
      <w:lvlJc w:val="left"/>
      <w:pPr>
        <w:ind w:left="1440" w:hanging="360"/>
      </w:pPr>
      <w:rPr>
        <w:rFonts w:hint="default"/>
        <w:sz w:val="2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696B0C77"/>
    <w:multiLevelType w:val="hybridMultilevel"/>
    <w:tmpl w:val="3E5CB17E"/>
    <w:lvl w:ilvl="0" w:tplc="FE4064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EF75A3A"/>
    <w:multiLevelType w:val="hybridMultilevel"/>
    <w:tmpl w:val="41525100"/>
    <w:lvl w:ilvl="0" w:tplc="B494371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7E"/>
    <w:rsid w:val="00024B1A"/>
    <w:rsid w:val="000501CC"/>
    <w:rsid w:val="000A2616"/>
    <w:rsid w:val="001633DE"/>
    <w:rsid w:val="00182949"/>
    <w:rsid w:val="001A4AF8"/>
    <w:rsid w:val="001C7214"/>
    <w:rsid w:val="002C6BF7"/>
    <w:rsid w:val="003E2B98"/>
    <w:rsid w:val="0045509B"/>
    <w:rsid w:val="00472AB0"/>
    <w:rsid w:val="00473A3B"/>
    <w:rsid w:val="004F26E2"/>
    <w:rsid w:val="005F4046"/>
    <w:rsid w:val="0080534B"/>
    <w:rsid w:val="008465B0"/>
    <w:rsid w:val="00881C9E"/>
    <w:rsid w:val="008B3F22"/>
    <w:rsid w:val="008C1E89"/>
    <w:rsid w:val="00AB74DD"/>
    <w:rsid w:val="00AD39EB"/>
    <w:rsid w:val="00B1366F"/>
    <w:rsid w:val="00BB27ED"/>
    <w:rsid w:val="00C5725B"/>
    <w:rsid w:val="00C96B8B"/>
    <w:rsid w:val="00CA6DB5"/>
    <w:rsid w:val="00D9358D"/>
    <w:rsid w:val="00DC1074"/>
    <w:rsid w:val="00E05B96"/>
    <w:rsid w:val="00E23E7E"/>
    <w:rsid w:val="00E72116"/>
    <w:rsid w:val="00E77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7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E7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23E7E"/>
    <w:rPr>
      <w:rFonts w:ascii="Times New Roman" w:eastAsia="Times New Roman" w:hAnsi="Times New Roman" w:cs="Times New Roman"/>
      <w:sz w:val="24"/>
      <w:szCs w:val="20"/>
    </w:rPr>
  </w:style>
  <w:style w:type="table" w:styleId="TableGrid">
    <w:name w:val="Table Grid"/>
    <w:basedOn w:val="TableNormal"/>
    <w:rsid w:val="00E23E7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E7E"/>
    <w:rPr>
      <w:rFonts w:ascii="Tahoma" w:hAnsi="Tahoma" w:cs="Tahoma"/>
      <w:sz w:val="16"/>
      <w:szCs w:val="16"/>
    </w:rPr>
  </w:style>
  <w:style w:type="character" w:customStyle="1" w:styleId="BalloonTextChar">
    <w:name w:val="Balloon Text Char"/>
    <w:basedOn w:val="DefaultParagraphFont"/>
    <w:link w:val="BalloonText"/>
    <w:uiPriority w:val="99"/>
    <w:semiHidden/>
    <w:rsid w:val="00E23E7E"/>
    <w:rPr>
      <w:rFonts w:ascii="Tahoma" w:eastAsia="Times New Roman" w:hAnsi="Tahoma" w:cs="Tahoma"/>
      <w:sz w:val="16"/>
      <w:szCs w:val="16"/>
    </w:rPr>
  </w:style>
  <w:style w:type="paragraph" w:styleId="Footer">
    <w:name w:val="footer"/>
    <w:basedOn w:val="Normal"/>
    <w:link w:val="FooterChar"/>
    <w:rsid w:val="0018294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182949"/>
    <w:rPr>
      <w:rFonts w:ascii="Times New Roman" w:eastAsia="Times New Roman" w:hAnsi="Times New Roman" w:cs="Times New Roman"/>
      <w:sz w:val="24"/>
      <w:szCs w:val="20"/>
    </w:rPr>
  </w:style>
  <w:style w:type="paragraph" w:styleId="ListParagraph">
    <w:name w:val="List Paragraph"/>
    <w:basedOn w:val="Normal"/>
    <w:uiPriority w:val="34"/>
    <w:qFormat/>
    <w:rsid w:val="00C96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7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E7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23E7E"/>
    <w:rPr>
      <w:rFonts w:ascii="Times New Roman" w:eastAsia="Times New Roman" w:hAnsi="Times New Roman" w:cs="Times New Roman"/>
      <w:sz w:val="24"/>
      <w:szCs w:val="20"/>
    </w:rPr>
  </w:style>
  <w:style w:type="table" w:styleId="TableGrid">
    <w:name w:val="Table Grid"/>
    <w:basedOn w:val="TableNormal"/>
    <w:rsid w:val="00E23E7E"/>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E7E"/>
    <w:rPr>
      <w:rFonts w:ascii="Tahoma" w:hAnsi="Tahoma" w:cs="Tahoma"/>
      <w:sz w:val="16"/>
      <w:szCs w:val="16"/>
    </w:rPr>
  </w:style>
  <w:style w:type="character" w:customStyle="1" w:styleId="BalloonTextChar">
    <w:name w:val="Balloon Text Char"/>
    <w:basedOn w:val="DefaultParagraphFont"/>
    <w:link w:val="BalloonText"/>
    <w:uiPriority w:val="99"/>
    <w:semiHidden/>
    <w:rsid w:val="00E23E7E"/>
    <w:rPr>
      <w:rFonts w:ascii="Tahoma" w:eastAsia="Times New Roman" w:hAnsi="Tahoma" w:cs="Tahoma"/>
      <w:sz w:val="16"/>
      <w:szCs w:val="16"/>
    </w:rPr>
  </w:style>
  <w:style w:type="paragraph" w:styleId="Footer">
    <w:name w:val="footer"/>
    <w:basedOn w:val="Normal"/>
    <w:link w:val="FooterChar"/>
    <w:rsid w:val="0018294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182949"/>
    <w:rPr>
      <w:rFonts w:ascii="Times New Roman" w:eastAsia="Times New Roman" w:hAnsi="Times New Roman" w:cs="Times New Roman"/>
      <w:sz w:val="24"/>
      <w:szCs w:val="20"/>
    </w:rPr>
  </w:style>
  <w:style w:type="paragraph" w:styleId="ListParagraph">
    <w:name w:val="List Paragraph"/>
    <w:basedOn w:val="Normal"/>
    <w:uiPriority w:val="34"/>
    <w:qFormat/>
    <w:rsid w:val="00C9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F724-5EA1-40E5-A741-63892B4D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Mercy Health</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Samuel A</dc:creator>
  <cp:lastModifiedBy>Norton, Elizabeth A</cp:lastModifiedBy>
  <cp:revision>2</cp:revision>
  <cp:lastPrinted>2015-04-02T20:35:00Z</cp:lastPrinted>
  <dcterms:created xsi:type="dcterms:W3CDTF">2016-04-25T11:31:00Z</dcterms:created>
  <dcterms:modified xsi:type="dcterms:W3CDTF">2016-04-25T11:31:00Z</dcterms:modified>
</cp:coreProperties>
</file>