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B8" w:rsidRDefault="00510FB8" w:rsidP="00510FB8">
      <w:pPr>
        <w:rPr>
          <w:rFonts w:ascii="Cambria" w:eastAsia="Times New Roman" w:hAnsi="Cambria" w:cs="Times New Roman"/>
          <w:b/>
          <w:bCs/>
          <w:sz w:val="36"/>
          <w:szCs w:val="36"/>
          <w:vertAlign w:val="subscript"/>
        </w:rPr>
      </w:pPr>
      <w:r w:rsidRPr="006C7FD8">
        <w:rPr>
          <w:rFonts w:ascii="Cambria" w:eastAsia="Times New Roman" w:hAnsi="Cambria" w:cs="Times New Roman"/>
          <w:b/>
          <w:bCs/>
          <w:sz w:val="36"/>
          <w:szCs w:val="36"/>
          <w:vertAlign w:val="subscript"/>
        </w:rPr>
        <w:t xml:space="preserve">Attention </w:t>
      </w:r>
      <w:proofErr w:type="spellStart"/>
      <w:r w:rsidR="00C5190F">
        <w:rPr>
          <w:rFonts w:ascii="Cambria" w:eastAsia="Times New Roman" w:hAnsi="Cambria" w:cs="Times New Roman"/>
          <w:b/>
          <w:bCs/>
          <w:sz w:val="36"/>
          <w:szCs w:val="36"/>
          <w:vertAlign w:val="subscript"/>
        </w:rPr>
        <w:t>Biofire</w:t>
      </w:r>
      <w:proofErr w:type="spellEnd"/>
      <w:r w:rsidRPr="006C7FD8">
        <w:rPr>
          <w:rFonts w:ascii="Cambria" w:eastAsia="Times New Roman" w:hAnsi="Cambria" w:cs="Times New Roman"/>
          <w:b/>
          <w:bCs/>
          <w:sz w:val="36"/>
          <w:szCs w:val="36"/>
          <w:vertAlign w:val="subscript"/>
        </w:rPr>
        <w:t xml:space="preserve"> Operators:</w:t>
      </w:r>
    </w:p>
    <w:p w:rsidR="00C5190F" w:rsidRDefault="00C5190F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Confirmatory testing for </w:t>
      </w:r>
      <w:r w:rsidRPr="00C5190F">
        <w:rPr>
          <w:rFonts w:ascii="Cambria" w:eastAsia="Times New Roman" w:hAnsi="Cambria" w:cs="Times New Roman"/>
          <w:bCs/>
          <w:i/>
          <w:sz w:val="36"/>
          <w:szCs w:val="36"/>
          <w:vertAlign w:val="subscript"/>
        </w:rPr>
        <w:t>Campylobacter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and </w:t>
      </w:r>
      <w:r w:rsidRPr="00C5190F">
        <w:rPr>
          <w:rFonts w:ascii="Cambria" w:eastAsia="Times New Roman" w:hAnsi="Cambria" w:cs="Times New Roman"/>
          <w:bCs/>
          <w:i/>
          <w:sz w:val="36"/>
          <w:szCs w:val="36"/>
          <w:vertAlign w:val="subscript"/>
        </w:rPr>
        <w:t>Cryptosporidium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is NO LONGER REQUIRED effective 6/26/2019. </w:t>
      </w:r>
    </w:p>
    <w:p w:rsidR="00C5190F" w:rsidRDefault="00C5190F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DC59E0" wp14:editId="5470C456">
            <wp:simplePos x="0" y="0"/>
            <wp:positionH relativeFrom="column">
              <wp:posOffset>-161925</wp:posOffset>
            </wp:positionH>
            <wp:positionV relativeFrom="paragraph">
              <wp:posOffset>318770</wp:posOffset>
            </wp:positionV>
            <wp:extent cx="5943600" cy="4391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You may simply report as “Detected” or “Not Detected” again.</w:t>
      </w:r>
    </w:p>
    <w:p w:rsidR="00C5190F" w:rsidRDefault="00C5190F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</w:p>
    <w:p w:rsidR="00C5190F" w:rsidRDefault="00C5190F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br/>
      </w:r>
    </w:p>
    <w:p w:rsidR="00C5190F" w:rsidRDefault="00C5190F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</w:p>
    <w:p w:rsidR="00C5190F" w:rsidRDefault="00C5190F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</w:p>
    <w:p w:rsidR="00C5190F" w:rsidRDefault="00C5190F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</w:p>
    <w:p w:rsidR="00C5190F" w:rsidRDefault="00C5190F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</w:p>
    <w:p w:rsidR="00C5190F" w:rsidRDefault="00C5190F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</w:p>
    <w:p w:rsidR="00C5190F" w:rsidRDefault="00C5190F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</w:p>
    <w:p w:rsidR="00C5190F" w:rsidRDefault="00C5190F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</w:p>
    <w:p w:rsidR="00C5190F" w:rsidRPr="00C5190F" w:rsidRDefault="00C5190F" w:rsidP="006D7C9C">
      <w:pPr>
        <w:rPr>
          <w:rFonts w:ascii="Cambria" w:eastAsia="Times New Roman" w:hAnsi="Cambria" w:cs="Times New Roman"/>
          <w:b/>
          <w:bCs/>
          <w:sz w:val="36"/>
          <w:szCs w:val="36"/>
          <w:vertAlign w:val="subscript"/>
        </w:rPr>
      </w:pPr>
      <w:r w:rsidRPr="00C5190F">
        <w:rPr>
          <w:rFonts w:ascii="Cambria" w:eastAsia="Times New Roman" w:hAnsi="Cambria" w:cs="Times New Roman"/>
          <w:b/>
          <w:bCs/>
          <w:sz w:val="36"/>
          <w:szCs w:val="36"/>
          <w:vertAlign w:val="subscript"/>
        </w:rPr>
        <w:t xml:space="preserve">Note: </w:t>
      </w:r>
    </w:p>
    <w:p w:rsidR="00C5190F" w:rsidRDefault="00C5190F" w:rsidP="006D7C9C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 w:rsidRPr="00C5190F">
        <w:rPr>
          <w:rFonts w:ascii="Cambria" w:eastAsia="Times New Roman" w:hAnsi="Cambria" w:cs="Times New Roman"/>
          <w:b/>
          <w:bCs/>
          <w:sz w:val="36"/>
          <w:szCs w:val="36"/>
          <w:vertAlign w:val="subscript"/>
        </w:rPr>
        <w:t>No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increased rate of false positive </w:t>
      </w:r>
      <w:r w:rsidRPr="00C5190F">
        <w:rPr>
          <w:rFonts w:ascii="Cambria" w:eastAsia="Times New Roman" w:hAnsi="Cambria" w:cs="Times New Roman"/>
          <w:bCs/>
          <w:i/>
          <w:sz w:val="36"/>
          <w:szCs w:val="36"/>
          <w:vertAlign w:val="subscript"/>
        </w:rPr>
        <w:t>Campylobacter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/ </w:t>
      </w:r>
      <w:r w:rsidRPr="00C5190F">
        <w:rPr>
          <w:rFonts w:ascii="Cambria" w:eastAsia="Times New Roman" w:hAnsi="Cambria" w:cs="Times New Roman"/>
          <w:bCs/>
          <w:i/>
          <w:sz w:val="36"/>
          <w:szCs w:val="36"/>
          <w:vertAlign w:val="subscript"/>
        </w:rPr>
        <w:t>Cryptosporidium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results </w:t>
      </w:r>
      <w:proofErr w:type="gramStart"/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were</w:t>
      </w:r>
      <w:proofErr w:type="gramEnd"/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found on our </w:t>
      </w:r>
      <w:proofErr w:type="spellStart"/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BioFire</w:t>
      </w:r>
      <w:proofErr w:type="spellEnd"/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</w:t>
      </w:r>
      <w:proofErr w:type="spellStart"/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FilmArray</w:t>
      </w:r>
      <w:proofErr w:type="spellEnd"/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2.0 System. An increased incidence of non-specific chemistry interactions in </w:t>
      </w:r>
      <w:proofErr w:type="spellStart"/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BioFire</w:t>
      </w:r>
      <w:proofErr w:type="spellEnd"/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GI Panels performed on the </w:t>
      </w:r>
      <w:proofErr w:type="spellStart"/>
      <w:r w:rsidRPr="00C5190F">
        <w:rPr>
          <w:rFonts w:ascii="Cambria" w:eastAsia="Times New Roman" w:hAnsi="Cambria" w:cs="Times New Roman"/>
          <w:bCs/>
          <w:i/>
          <w:sz w:val="36"/>
          <w:szCs w:val="36"/>
          <w:vertAlign w:val="subscript"/>
        </w:rPr>
        <w:t>BioFire</w:t>
      </w:r>
      <w:proofErr w:type="spellEnd"/>
      <w:r w:rsidRPr="00C5190F">
        <w:rPr>
          <w:rFonts w:ascii="Cambria" w:eastAsia="Times New Roman" w:hAnsi="Cambria" w:cs="Times New Roman"/>
          <w:bCs/>
          <w:i/>
          <w:sz w:val="36"/>
          <w:szCs w:val="36"/>
          <w:vertAlign w:val="subscript"/>
        </w:rPr>
        <w:t xml:space="preserve"> Torch System</w:t>
      </w:r>
      <w:r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led to a recall affecting all GI Panel users. </w:t>
      </w:r>
    </w:p>
    <w:p w:rsidR="00907C05" w:rsidRPr="00C5190F" w:rsidRDefault="00907C05" w:rsidP="006D7C9C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 xml:space="preserve">Sam W </w:t>
      </w:r>
      <w:r w:rsidR="00C5190F">
        <w:rPr>
          <w:rFonts w:ascii="Cambria" w:eastAsia="Times New Roman" w:hAnsi="Cambria" w:cs="Times New Roman"/>
          <w:sz w:val="36"/>
          <w:szCs w:val="36"/>
          <w:vertAlign w:val="subscript"/>
        </w:rPr>
        <w:t>6</w:t>
      </w:r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.</w:t>
      </w:r>
      <w:r w:rsidR="00C5190F">
        <w:rPr>
          <w:rFonts w:ascii="Cambria" w:eastAsia="Times New Roman" w:hAnsi="Cambria" w:cs="Times New Roman"/>
          <w:sz w:val="36"/>
          <w:szCs w:val="36"/>
          <w:vertAlign w:val="subscript"/>
        </w:rPr>
        <w:t>26</w:t>
      </w:r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.</w:t>
      </w:r>
      <w:proofErr w:type="gramStart"/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19</w:t>
      </w:r>
      <w:r w:rsidR="006C7FD8">
        <w:rPr>
          <w:rFonts w:ascii="Cambria" w:eastAsia="Times New Roman" w:hAnsi="Cambria" w:cs="Times New Roman"/>
          <w:sz w:val="36"/>
          <w:szCs w:val="36"/>
          <w:vertAlign w:val="subscript"/>
        </w:rPr>
        <w:t xml:space="preserve"> .</w:t>
      </w:r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V</w:t>
      </w:r>
      <w:bookmarkStart w:id="0" w:name="_GoBack"/>
      <w:bookmarkEnd w:id="0"/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ersion</w:t>
      </w:r>
      <w:proofErr w:type="gramEnd"/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 xml:space="preserve"> 1.0</w:t>
      </w:r>
    </w:p>
    <w:sectPr w:rsidR="00907C05" w:rsidRPr="00C519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22" w:rsidRDefault="003E4422" w:rsidP="00907C05">
      <w:pPr>
        <w:spacing w:after="0" w:line="240" w:lineRule="auto"/>
      </w:pPr>
      <w:r>
        <w:separator/>
      </w:r>
    </w:p>
  </w:endnote>
  <w:endnote w:type="continuationSeparator" w:id="0">
    <w:p w:rsidR="003E4422" w:rsidRDefault="003E4422" w:rsidP="0090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22" w:rsidRDefault="003E4422" w:rsidP="00907C05">
      <w:pPr>
        <w:spacing w:after="0" w:line="240" w:lineRule="auto"/>
      </w:pPr>
      <w:r>
        <w:separator/>
      </w:r>
    </w:p>
  </w:footnote>
  <w:footnote w:type="continuationSeparator" w:id="0">
    <w:p w:rsidR="003E4422" w:rsidRDefault="003E4422" w:rsidP="0090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0F" w:rsidRPr="00C5190F" w:rsidRDefault="00C5190F" w:rsidP="00C5190F">
    <w:pPr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New Vision Medical Laboratories</w:t>
    </w:r>
  </w:p>
  <w:p w:rsidR="006C7FD8" w:rsidRPr="006C7FD8" w:rsidRDefault="006C7FD8" w:rsidP="006C7FD8">
    <w:pPr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C7FD8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TECHNICAL BULLETIN</w:t>
    </w:r>
  </w:p>
  <w:p w:rsidR="006C7FD8" w:rsidRPr="006C7FD8" w:rsidRDefault="00C5190F" w:rsidP="006C7FD8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proofErr w:type="gramStart"/>
    <w:r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BIOFIRE :</w:t>
    </w:r>
    <w:proofErr w:type="gramEnd"/>
    <w:r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GI PANEL REPORTING</w:t>
    </w:r>
  </w:p>
  <w:p w:rsidR="006C7FD8" w:rsidRDefault="006C7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A55"/>
    <w:multiLevelType w:val="hybridMultilevel"/>
    <w:tmpl w:val="FCE6C580"/>
    <w:lvl w:ilvl="0" w:tplc="60365D7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6ACEF990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706470BF"/>
    <w:multiLevelType w:val="multilevel"/>
    <w:tmpl w:val="43B28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A214C6"/>
    <w:multiLevelType w:val="hybridMultilevel"/>
    <w:tmpl w:val="BBF2C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8D"/>
    <w:rsid w:val="000A1D5E"/>
    <w:rsid w:val="00371B84"/>
    <w:rsid w:val="003E4422"/>
    <w:rsid w:val="00510FB8"/>
    <w:rsid w:val="006C7FD8"/>
    <w:rsid w:val="006D7C9C"/>
    <w:rsid w:val="008A13F2"/>
    <w:rsid w:val="00907C05"/>
    <w:rsid w:val="00A561AE"/>
    <w:rsid w:val="00B109ED"/>
    <w:rsid w:val="00C06F08"/>
    <w:rsid w:val="00C5190F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78CCE"/>
  <w15:chartTrackingRefBased/>
  <w15:docId w15:val="{A4BC4A63-E9FD-4F6A-B8A0-5460BE6A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05"/>
  </w:style>
  <w:style w:type="paragraph" w:styleId="Footer">
    <w:name w:val="footer"/>
    <w:basedOn w:val="Normal"/>
    <w:link w:val="FooterChar"/>
    <w:uiPriority w:val="99"/>
    <w:unhideWhenUsed/>
    <w:rsid w:val="0090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62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6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5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8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16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53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9092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2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99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90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13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46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09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307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938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046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427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2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0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53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2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4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9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8957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5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76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16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99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478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19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227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101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074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4958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Samuel C</dc:creator>
  <cp:keywords/>
  <dc:description/>
  <cp:lastModifiedBy>Ware, Samuel C</cp:lastModifiedBy>
  <cp:revision>2</cp:revision>
  <cp:lastPrinted>2019-06-26T19:33:00Z</cp:lastPrinted>
  <dcterms:created xsi:type="dcterms:W3CDTF">2019-06-26T19:33:00Z</dcterms:created>
  <dcterms:modified xsi:type="dcterms:W3CDTF">2019-06-26T19:33:00Z</dcterms:modified>
</cp:coreProperties>
</file>