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5D0" w:rsidRDefault="009875D0" w:rsidP="009875D0">
      <w:pPr>
        <w:rPr>
          <w:b/>
          <w:bCs/>
          <w:sz w:val="24"/>
          <w:szCs w:val="22"/>
        </w:rPr>
      </w:pPr>
      <w:r>
        <w:rPr>
          <w:b/>
          <w:bCs/>
          <w:sz w:val="24"/>
          <w:szCs w:val="22"/>
        </w:rPr>
        <w:t>SUBJECT: Emergency request for blood</w:t>
      </w:r>
    </w:p>
    <w:p w:rsidR="0031026E" w:rsidRDefault="0031026E" w:rsidP="009875D0">
      <w:pPr>
        <w:rPr>
          <w:b/>
          <w:bCs/>
          <w:sz w:val="24"/>
          <w:szCs w:val="20"/>
        </w:rPr>
      </w:pPr>
      <w:r>
        <w:rPr>
          <w:b/>
          <w:bCs/>
          <w:sz w:val="24"/>
          <w:szCs w:val="20"/>
          <w:u w:val="single"/>
        </w:rPr>
        <w:t>1.0 Scope</w:t>
      </w:r>
      <w:r>
        <w:rPr>
          <w:b/>
          <w:bCs/>
          <w:sz w:val="24"/>
          <w:szCs w:val="20"/>
        </w:rPr>
        <w:t>:</w:t>
      </w:r>
    </w:p>
    <w:p w:rsidR="0031026E" w:rsidRDefault="0031026E">
      <w:pPr>
        <w:ind w:left="1170"/>
        <w:rPr>
          <w:sz w:val="24"/>
          <w:szCs w:val="20"/>
        </w:rPr>
      </w:pPr>
      <w:r>
        <w:rPr>
          <w:sz w:val="24"/>
          <w:szCs w:val="20"/>
        </w:rPr>
        <w:t>This policy applies to all blood bank personnel.</w:t>
      </w:r>
    </w:p>
    <w:p w:rsidR="0031026E" w:rsidRDefault="0031026E">
      <w:pPr>
        <w:ind w:left="360"/>
        <w:rPr>
          <w:b/>
          <w:bCs/>
          <w:sz w:val="24"/>
          <w:szCs w:val="20"/>
        </w:rPr>
      </w:pPr>
      <w:r>
        <w:rPr>
          <w:b/>
          <w:bCs/>
          <w:sz w:val="24"/>
          <w:szCs w:val="20"/>
          <w:u w:val="single"/>
        </w:rPr>
        <w:t>2.0 Principle</w:t>
      </w:r>
      <w:r>
        <w:rPr>
          <w:b/>
          <w:bCs/>
          <w:sz w:val="24"/>
          <w:szCs w:val="20"/>
        </w:rPr>
        <w:t>:</w:t>
      </w:r>
    </w:p>
    <w:p w:rsidR="0031026E" w:rsidRDefault="0031026E">
      <w:pPr>
        <w:pStyle w:val="BodyTextIndent"/>
        <w:jc w:val="left"/>
      </w:pPr>
      <w:r>
        <w:t>There are situations in which a delay in transfusion may jeopardize the patient unduly and blood may be issued uncross</w:t>
      </w:r>
      <w:r w:rsidR="00B2471D">
        <w:t xml:space="preserve"> </w:t>
      </w:r>
      <w:r>
        <w:t>matched or cross</w:t>
      </w:r>
      <w:r w:rsidR="00B2471D">
        <w:t xml:space="preserve"> </w:t>
      </w:r>
      <w:r>
        <w:t>match compatible with a pending antibody identification.</w:t>
      </w:r>
    </w:p>
    <w:p w:rsidR="0031026E" w:rsidRDefault="0031026E">
      <w:pPr>
        <w:ind w:left="360"/>
        <w:rPr>
          <w:b/>
          <w:bCs/>
          <w:sz w:val="24"/>
          <w:szCs w:val="20"/>
        </w:rPr>
      </w:pPr>
      <w:r>
        <w:rPr>
          <w:b/>
          <w:bCs/>
          <w:sz w:val="24"/>
          <w:szCs w:val="20"/>
          <w:u w:val="single"/>
        </w:rPr>
        <w:t>3.0 Procedure</w:t>
      </w:r>
      <w:r>
        <w:rPr>
          <w:b/>
          <w:bCs/>
          <w:sz w:val="24"/>
          <w:szCs w:val="20"/>
        </w:rPr>
        <w:t>:</w:t>
      </w:r>
    </w:p>
    <w:p w:rsidR="0031026E" w:rsidRDefault="0031026E">
      <w:pPr>
        <w:ind w:left="1170"/>
        <w:rPr>
          <w:sz w:val="24"/>
          <w:szCs w:val="20"/>
        </w:rPr>
      </w:pPr>
      <w:r>
        <w:rPr>
          <w:sz w:val="24"/>
          <w:szCs w:val="20"/>
        </w:rPr>
        <w:t>3.1 Issue uncross</w:t>
      </w:r>
      <w:r w:rsidR="00B2471D">
        <w:rPr>
          <w:sz w:val="24"/>
          <w:szCs w:val="20"/>
        </w:rPr>
        <w:t xml:space="preserve"> </w:t>
      </w:r>
      <w:r>
        <w:rPr>
          <w:sz w:val="24"/>
          <w:szCs w:val="20"/>
        </w:rPr>
        <w:t>matched blood, which should be:</w:t>
      </w:r>
    </w:p>
    <w:p w:rsidR="0031026E" w:rsidRDefault="0031026E">
      <w:pPr>
        <w:ind w:left="2070" w:hanging="540"/>
        <w:rPr>
          <w:sz w:val="24"/>
          <w:szCs w:val="20"/>
        </w:rPr>
      </w:pPr>
      <w:r>
        <w:rPr>
          <w:sz w:val="24"/>
          <w:szCs w:val="20"/>
        </w:rPr>
        <w:t>3.1.1 Group O Red Blood Cells if the patient’s ABO group is unknown.  It is preferable to give Rh-negative blood if the recipient’s Rh type is unknown, especially if the patient is female with the potential to bear children.</w:t>
      </w:r>
    </w:p>
    <w:p w:rsidR="0031026E" w:rsidRDefault="0031026E">
      <w:pPr>
        <w:ind w:left="2070" w:hanging="540"/>
        <w:rPr>
          <w:sz w:val="24"/>
          <w:szCs w:val="20"/>
        </w:rPr>
      </w:pPr>
      <w:r>
        <w:rPr>
          <w:sz w:val="24"/>
          <w:szCs w:val="20"/>
        </w:rPr>
        <w:t>3.1.2 ABO and Rh compatible, if there has been time to test a current specimen.  Previous records must not be used, nor should information be taken from other records, such as cards, identification tags, or driver’s license.</w:t>
      </w:r>
    </w:p>
    <w:p w:rsidR="0031026E" w:rsidRDefault="0031026E">
      <w:pPr>
        <w:ind w:left="1530" w:hanging="360"/>
        <w:rPr>
          <w:sz w:val="24"/>
          <w:szCs w:val="20"/>
        </w:rPr>
      </w:pPr>
      <w:r>
        <w:rPr>
          <w:sz w:val="24"/>
          <w:szCs w:val="20"/>
        </w:rPr>
        <w:t>3.2 BEGIN COMPATIBILITY TESTS AND COMPLETE THEM PROMPTLY!  If incompatibility is detected at any stage of testing, immediately notify the patient’s physician and the transfusion service physician.</w:t>
      </w:r>
    </w:p>
    <w:p w:rsidR="0031026E" w:rsidRDefault="0031026E">
      <w:pPr>
        <w:ind w:left="1530" w:hanging="360"/>
        <w:rPr>
          <w:sz w:val="24"/>
          <w:szCs w:val="20"/>
        </w:rPr>
      </w:pPr>
      <w:r>
        <w:rPr>
          <w:sz w:val="24"/>
          <w:szCs w:val="20"/>
        </w:rPr>
        <w:t xml:space="preserve">3.3 An </w:t>
      </w:r>
      <w:r w:rsidR="0003032E">
        <w:rPr>
          <w:sz w:val="24"/>
          <w:szCs w:val="20"/>
        </w:rPr>
        <w:t>E</w:t>
      </w:r>
      <w:r>
        <w:rPr>
          <w:sz w:val="24"/>
          <w:szCs w:val="20"/>
        </w:rPr>
        <w:t xml:space="preserve">mergency </w:t>
      </w:r>
      <w:r w:rsidR="0003032E">
        <w:rPr>
          <w:sz w:val="24"/>
          <w:szCs w:val="20"/>
        </w:rPr>
        <w:t>Blood Release</w:t>
      </w:r>
      <w:r>
        <w:rPr>
          <w:sz w:val="24"/>
          <w:szCs w:val="20"/>
        </w:rPr>
        <w:t xml:space="preserve"> form</w:t>
      </w:r>
      <w:r w:rsidR="0003032E">
        <w:rPr>
          <w:sz w:val="24"/>
          <w:szCs w:val="20"/>
        </w:rPr>
        <w:t xml:space="preserve"> (LAB-82pc)</w:t>
      </w:r>
      <w:r>
        <w:rPr>
          <w:sz w:val="24"/>
          <w:szCs w:val="20"/>
        </w:rPr>
        <w:t xml:space="preserve"> must be completed when signing out an uncross</w:t>
      </w:r>
      <w:r w:rsidR="00B2471D">
        <w:rPr>
          <w:sz w:val="24"/>
          <w:szCs w:val="20"/>
        </w:rPr>
        <w:t xml:space="preserve"> </w:t>
      </w:r>
      <w:r>
        <w:rPr>
          <w:sz w:val="24"/>
          <w:szCs w:val="20"/>
        </w:rPr>
        <w:t>matched or antibody pending unit of blood.</w:t>
      </w:r>
    </w:p>
    <w:p w:rsidR="0031026E" w:rsidRDefault="0031026E" w:rsidP="003B36A3">
      <w:pPr>
        <w:pStyle w:val="BodyTextIndent2"/>
      </w:pPr>
      <w:r>
        <w:t xml:space="preserve">3.3.1 </w:t>
      </w:r>
      <w:r w:rsidRPr="00967088">
        <w:rPr>
          <w:highlight w:val="yellow"/>
        </w:rPr>
        <w:t xml:space="preserve">The </w:t>
      </w:r>
      <w:r w:rsidR="0003032E" w:rsidRPr="00967088">
        <w:rPr>
          <w:highlight w:val="yellow"/>
        </w:rPr>
        <w:t xml:space="preserve">Emergency Blood Release </w:t>
      </w:r>
      <w:r w:rsidRPr="00967088">
        <w:rPr>
          <w:highlight w:val="yellow"/>
        </w:rPr>
        <w:t xml:space="preserve">form must be signed by the physician. If the physician did not sign the form at the time of the emergency, </w:t>
      </w:r>
      <w:r w:rsidR="0083113E" w:rsidRPr="00967088">
        <w:rPr>
          <w:highlight w:val="yellow"/>
        </w:rPr>
        <w:t xml:space="preserve">signature </w:t>
      </w:r>
      <w:r w:rsidRPr="00967088">
        <w:rPr>
          <w:highlight w:val="yellow"/>
        </w:rPr>
        <w:t xml:space="preserve">must </w:t>
      </w:r>
      <w:r w:rsidR="0083113E" w:rsidRPr="00967088">
        <w:rPr>
          <w:highlight w:val="yellow"/>
        </w:rPr>
        <w:t xml:space="preserve">be obtained </w:t>
      </w:r>
      <w:r w:rsidRPr="00967088">
        <w:rPr>
          <w:highlight w:val="yellow"/>
        </w:rPr>
        <w:t xml:space="preserve">at earliest convenience, but within two days of the emergency.  </w:t>
      </w:r>
      <w:r w:rsidRPr="00967088">
        <w:rPr>
          <w:b/>
          <w:bCs/>
          <w:highlight w:val="yellow"/>
        </w:rPr>
        <w:t>The technical specialist in charge of blood bank, or designated coverage will follow-up to assure the physician signs the Emergency Blood Release form.</w:t>
      </w:r>
      <w:bookmarkStart w:id="0" w:name="_GoBack"/>
      <w:bookmarkEnd w:id="0"/>
    </w:p>
    <w:p w:rsidR="0031026E" w:rsidRDefault="0031026E">
      <w:pPr>
        <w:pStyle w:val="BodyTextIndent3"/>
      </w:pPr>
      <w:r>
        <w:t>3.4 For uncross</w:t>
      </w:r>
      <w:r w:rsidR="00B2471D">
        <w:t xml:space="preserve"> </w:t>
      </w:r>
      <w:r>
        <w:t>matched blood, attach a completed "UNCROSS</w:t>
      </w:r>
      <w:r w:rsidR="00B2471D">
        <w:t xml:space="preserve"> </w:t>
      </w:r>
      <w:r>
        <w:t>MATCHED BLOOD FOR" sticker to the unit (example follows</w:t>
      </w:r>
      <w:r w:rsidR="0003032E">
        <w:t xml:space="preserve"> in Blood Bank policy manual</w:t>
      </w:r>
      <w:r>
        <w:t xml:space="preserve">).  Using this sticker and the </w:t>
      </w:r>
      <w:r w:rsidR="0003032E">
        <w:t xml:space="preserve">Emergency Blood Release </w:t>
      </w:r>
      <w:r>
        <w:t xml:space="preserve">form, issue the blood according to policy.  The voucher will be kept until compatibility testing is completed.  </w:t>
      </w:r>
    </w:p>
    <w:p w:rsidR="0031026E" w:rsidRDefault="0031026E">
      <w:pPr>
        <w:pStyle w:val="BodyTextIndent3"/>
      </w:pPr>
      <w:r>
        <w:t>3.5 When testing is complete, all voucher(s) and logs must be completed with the required information.  Be sure to comment on the voucher and in the Electronic Disposition log that the unit was “issued uncross</w:t>
      </w:r>
      <w:r w:rsidR="00B2471D">
        <w:t xml:space="preserve"> </w:t>
      </w:r>
      <w:r>
        <w:t>matched”.  In the case of an unidentified antibody, be sure to comment that the unit was “issued with pending antibody identification”.</w:t>
      </w:r>
    </w:p>
    <w:p w:rsidR="0031026E" w:rsidRDefault="0031026E">
      <w:pPr>
        <w:pStyle w:val="BodyTextIndent3"/>
      </w:pPr>
      <w:r>
        <w:t>3.6 Make one photocopy of the emergency request form.  The original goes on the patient's chart.  The o</w:t>
      </w:r>
      <w:r w:rsidR="009875D0">
        <w:t>ther is scanned into the patient’s LIS order</w:t>
      </w:r>
      <w:r>
        <w:t>.</w:t>
      </w:r>
    </w:p>
    <w:p w:rsidR="0031026E" w:rsidRDefault="0031026E">
      <w:pPr>
        <w:ind w:left="360"/>
        <w:rPr>
          <w:b/>
          <w:bCs/>
          <w:sz w:val="24"/>
          <w:szCs w:val="20"/>
        </w:rPr>
      </w:pPr>
      <w:r>
        <w:rPr>
          <w:b/>
          <w:bCs/>
          <w:sz w:val="24"/>
          <w:szCs w:val="20"/>
          <w:u w:val="single"/>
        </w:rPr>
        <w:t>4.0 References</w:t>
      </w:r>
      <w:r>
        <w:rPr>
          <w:b/>
          <w:bCs/>
          <w:sz w:val="24"/>
          <w:szCs w:val="20"/>
        </w:rPr>
        <w:t>:</w:t>
      </w:r>
    </w:p>
    <w:p w:rsidR="00E232C4" w:rsidRDefault="003B36A3" w:rsidP="00E232C4">
      <w:pPr>
        <w:ind w:left="1350" w:hanging="270"/>
        <w:rPr>
          <w:sz w:val="24"/>
        </w:rPr>
      </w:pPr>
      <w:r>
        <w:rPr>
          <w:sz w:val="24"/>
        </w:rPr>
        <w:t>2</w:t>
      </w:r>
      <w:r w:rsidR="002C23BC">
        <w:rPr>
          <w:sz w:val="24"/>
        </w:rPr>
        <w:t>1</w:t>
      </w:r>
      <w:r w:rsidR="002C23BC">
        <w:rPr>
          <w:sz w:val="24"/>
          <w:vertAlign w:val="superscript"/>
        </w:rPr>
        <w:t>st</w:t>
      </w:r>
      <w:r w:rsidR="00E232C4">
        <w:rPr>
          <w:sz w:val="24"/>
        </w:rPr>
        <w:t xml:space="preserve"> Edition of </w:t>
      </w:r>
      <w:r w:rsidR="00E232C4">
        <w:rPr>
          <w:sz w:val="24"/>
          <w:u w:val="single"/>
        </w:rPr>
        <w:t>Technical Manual</w:t>
      </w:r>
      <w:r w:rsidR="00E232C4">
        <w:rPr>
          <w:sz w:val="24"/>
        </w:rPr>
        <w:t>, AABB.</w:t>
      </w:r>
    </w:p>
    <w:p w:rsidR="00E232C4" w:rsidRDefault="00E232C4" w:rsidP="00E232C4">
      <w:pPr>
        <w:ind w:left="1350" w:hanging="270"/>
        <w:rPr>
          <w:sz w:val="24"/>
        </w:rPr>
      </w:pPr>
      <w:r>
        <w:rPr>
          <w:sz w:val="24"/>
        </w:rPr>
        <w:t>3</w:t>
      </w:r>
      <w:r w:rsidR="002C23BC">
        <w:rPr>
          <w:sz w:val="24"/>
        </w:rPr>
        <w:t>4</w:t>
      </w:r>
      <w:r w:rsidR="002C23BC">
        <w:rPr>
          <w:sz w:val="24"/>
          <w:vertAlign w:val="superscript"/>
        </w:rPr>
        <w:t>th</w:t>
      </w:r>
      <w:r>
        <w:rPr>
          <w:sz w:val="24"/>
        </w:rPr>
        <w:t xml:space="preserve"> Edition of </w:t>
      </w:r>
      <w:r>
        <w:rPr>
          <w:sz w:val="24"/>
          <w:u w:val="single"/>
        </w:rPr>
        <w:t>Standards for Blood Banks and Transfusion Services</w:t>
      </w:r>
      <w:r>
        <w:rPr>
          <w:sz w:val="24"/>
        </w:rPr>
        <w:t>, AABB.</w:t>
      </w:r>
    </w:p>
    <w:p w:rsidR="00B2471D" w:rsidRDefault="00B2471D" w:rsidP="00B2471D">
      <w:pPr>
        <w:widowControl/>
        <w:tabs>
          <w:tab w:val="left" w:pos="4320"/>
        </w:tabs>
        <w:rPr>
          <w:b/>
          <w:sz w:val="24"/>
        </w:rPr>
      </w:pPr>
      <w:r>
        <w:rPr>
          <w:b/>
          <w:sz w:val="24"/>
        </w:rPr>
        <w:t>Policy Review: Deny Morlino, MT</w:t>
      </w:r>
    </w:p>
    <w:p w:rsidR="00B2471D" w:rsidRDefault="00B2471D" w:rsidP="00B2471D">
      <w:pPr>
        <w:widowControl/>
        <w:tabs>
          <w:tab w:val="left" w:pos="1620"/>
        </w:tabs>
        <w:rPr>
          <w:b/>
          <w:sz w:val="24"/>
        </w:rPr>
      </w:pPr>
      <w:r>
        <w:rPr>
          <w:b/>
          <w:sz w:val="24"/>
        </w:rPr>
        <w:lastRenderedPageBreak/>
        <w:tab/>
        <w:t>Immunohematology Lead Technologist</w:t>
      </w:r>
    </w:p>
    <w:p w:rsidR="00B2471D" w:rsidRDefault="00B2471D" w:rsidP="00B2471D">
      <w:pPr>
        <w:widowControl/>
        <w:tabs>
          <w:tab w:val="left" w:pos="4320"/>
        </w:tabs>
        <w:rPr>
          <w:b/>
          <w:sz w:val="24"/>
        </w:rPr>
      </w:pPr>
      <w:r>
        <w:rPr>
          <w:b/>
          <w:sz w:val="24"/>
        </w:rPr>
        <w:t xml:space="preserve">Date: </w:t>
      </w:r>
      <w:r w:rsidR="002C23BC">
        <w:rPr>
          <w:b/>
          <w:sz w:val="24"/>
        </w:rPr>
        <w:t>4/17/2024</w:t>
      </w:r>
    </w:p>
    <w:p w:rsidR="00B2471D" w:rsidRDefault="00B2471D" w:rsidP="00B2471D">
      <w:pPr>
        <w:widowControl/>
        <w:tabs>
          <w:tab w:val="left" w:pos="4320"/>
        </w:tabs>
        <w:rPr>
          <w:b/>
          <w:sz w:val="24"/>
        </w:rPr>
      </w:pPr>
    </w:p>
    <w:p w:rsidR="00C27C53" w:rsidRDefault="00C27C53" w:rsidP="00C27C53">
      <w:pPr>
        <w:tabs>
          <w:tab w:val="left" w:pos="4320"/>
        </w:tabs>
        <w:rPr>
          <w:b/>
          <w:sz w:val="24"/>
        </w:rPr>
      </w:pPr>
      <w:r>
        <w:rPr>
          <w:b/>
          <w:sz w:val="24"/>
        </w:rPr>
        <w:t xml:space="preserve">Policy Approval: Dr. Patrick C </w:t>
      </w:r>
      <w:proofErr w:type="spellStart"/>
      <w:r>
        <w:rPr>
          <w:b/>
          <w:sz w:val="24"/>
        </w:rPr>
        <w:t>Feasel</w:t>
      </w:r>
      <w:proofErr w:type="spellEnd"/>
      <w:r>
        <w:rPr>
          <w:b/>
          <w:sz w:val="24"/>
        </w:rPr>
        <w:t>, MD</w:t>
      </w:r>
    </w:p>
    <w:p w:rsidR="00C27C53" w:rsidRDefault="00C27C53" w:rsidP="00C27C53">
      <w:pPr>
        <w:tabs>
          <w:tab w:val="left" w:pos="1800"/>
        </w:tabs>
        <w:rPr>
          <w:b/>
          <w:sz w:val="24"/>
        </w:rPr>
      </w:pPr>
      <w:r>
        <w:rPr>
          <w:b/>
          <w:sz w:val="24"/>
        </w:rPr>
        <w:tab/>
        <w:t>Laboratory Medical Director</w:t>
      </w:r>
    </w:p>
    <w:p w:rsidR="00C27C53" w:rsidRDefault="00C27C53" w:rsidP="00C27C53">
      <w:pPr>
        <w:tabs>
          <w:tab w:val="left" w:pos="4320"/>
        </w:tabs>
        <w:rPr>
          <w:sz w:val="24"/>
        </w:rPr>
      </w:pPr>
      <w:r>
        <w:rPr>
          <w:b/>
          <w:sz w:val="24"/>
        </w:rPr>
        <w:t>Date: 4/19/2024</w:t>
      </w:r>
    </w:p>
    <w:p w:rsidR="009875D0" w:rsidRDefault="009875D0" w:rsidP="00C85745">
      <w:pPr>
        <w:tabs>
          <w:tab w:val="left" w:pos="4320"/>
        </w:tabs>
      </w:pPr>
    </w:p>
    <w:sectPr w:rsidR="009875D0">
      <w:headerReference w:type="default" r:id="rId6"/>
      <w:footerReference w:type="even" r:id="rId7"/>
      <w:headerReference w:type="first" r:id="rId8"/>
      <w:endnotePr>
        <w:numFmt w:val="decimal"/>
      </w:endnotePr>
      <w:type w:val="continuous"/>
      <w:pgSz w:w="12240" w:h="15840"/>
      <w:pgMar w:top="1440" w:right="1080" w:bottom="1440" w:left="180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E15" w:rsidRDefault="00BE6E15">
      <w:r>
        <w:separator/>
      </w:r>
    </w:p>
  </w:endnote>
  <w:endnote w:type="continuationSeparator" w:id="0">
    <w:p w:rsidR="00BE6E15" w:rsidRDefault="00BE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26E" w:rsidRDefault="003102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1026E" w:rsidRDefault="003102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E15" w:rsidRDefault="00BE6E15">
      <w:r>
        <w:separator/>
      </w:r>
    </w:p>
  </w:footnote>
  <w:footnote w:type="continuationSeparator" w:id="0">
    <w:p w:rsidR="00BE6E15" w:rsidRDefault="00BE6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3780"/>
    </w:tblGrid>
    <w:tr w:rsidR="0089058F" w:rsidTr="0031026E">
      <w:tc>
        <w:tcPr>
          <w:tcW w:w="6228" w:type="dxa"/>
        </w:tcPr>
        <w:p w:rsidR="0089058F" w:rsidRPr="00090617" w:rsidRDefault="0089058F" w:rsidP="0031026E">
          <w:pPr>
            <w:pStyle w:val="Header"/>
            <w:rPr>
              <w:rFonts w:ascii="Arial" w:hAnsi="Arial" w:cs="Arial"/>
              <w:b/>
              <w:color w:val="0000FF"/>
              <w:szCs w:val="20"/>
            </w:rPr>
          </w:pPr>
          <w:r w:rsidRPr="00090617">
            <w:rPr>
              <w:rFonts w:ascii="Arial" w:hAnsi="Arial" w:cs="Arial"/>
              <w:b/>
              <w:color w:val="0000FF"/>
              <w:szCs w:val="20"/>
            </w:rPr>
            <w:t xml:space="preserve">Procedure:  </w:t>
          </w:r>
          <w:r w:rsidRPr="0089058F">
            <w:rPr>
              <w:rFonts w:ascii="Arial" w:hAnsi="Arial" w:cs="Arial"/>
              <w:b/>
              <w:color w:val="0000FF"/>
              <w:szCs w:val="20"/>
            </w:rPr>
            <w:t>Emergency Request For Blood</w:t>
          </w:r>
        </w:p>
      </w:tc>
      <w:tc>
        <w:tcPr>
          <w:tcW w:w="3780" w:type="dxa"/>
        </w:tcPr>
        <w:p w:rsidR="0089058F" w:rsidRPr="00090617" w:rsidRDefault="0089058F" w:rsidP="0031026E">
          <w:pPr>
            <w:pStyle w:val="Header"/>
            <w:rPr>
              <w:rFonts w:ascii="Arial" w:hAnsi="Arial" w:cs="Arial"/>
              <w:b/>
              <w:sz w:val="18"/>
              <w:szCs w:val="18"/>
            </w:rPr>
          </w:pPr>
          <w:r w:rsidRPr="00090617">
            <w:rPr>
              <w:rFonts w:ascii="Arial" w:hAnsi="Arial" w:cs="Arial"/>
              <w:b/>
              <w:sz w:val="18"/>
              <w:szCs w:val="18"/>
            </w:rPr>
            <w:t xml:space="preserve">Procedure Number: </w:t>
          </w:r>
        </w:p>
        <w:p w:rsidR="0089058F" w:rsidRPr="00090617" w:rsidRDefault="0089058F" w:rsidP="0031026E">
          <w:pPr>
            <w:pStyle w:val="Header"/>
            <w:rPr>
              <w:rFonts w:ascii="Arial" w:hAnsi="Arial" w:cs="Arial"/>
              <w:b/>
              <w:color w:val="0000FF"/>
              <w:szCs w:val="20"/>
            </w:rPr>
          </w:pPr>
          <w:r w:rsidRPr="00090617">
            <w:rPr>
              <w:rStyle w:val="PageNumber"/>
              <w:b/>
              <w:color w:val="0000FF"/>
              <w:szCs w:val="20"/>
            </w:rPr>
            <w:t xml:space="preserve">Page </w:t>
          </w:r>
          <w:r w:rsidRPr="00090617">
            <w:rPr>
              <w:rStyle w:val="PageNumber"/>
              <w:b/>
              <w:color w:val="0000FF"/>
              <w:szCs w:val="20"/>
            </w:rPr>
            <w:fldChar w:fldCharType="begin"/>
          </w:r>
          <w:r w:rsidRPr="00090617">
            <w:rPr>
              <w:rStyle w:val="PageNumber"/>
              <w:b/>
              <w:color w:val="0000FF"/>
              <w:szCs w:val="20"/>
            </w:rPr>
            <w:instrText xml:space="preserve"> PAGE </w:instrText>
          </w:r>
          <w:r w:rsidRPr="00090617">
            <w:rPr>
              <w:rStyle w:val="PageNumber"/>
              <w:b/>
              <w:color w:val="0000FF"/>
              <w:szCs w:val="20"/>
            </w:rPr>
            <w:fldChar w:fldCharType="separate"/>
          </w:r>
          <w:r w:rsidR="00E232C4">
            <w:rPr>
              <w:rStyle w:val="PageNumber"/>
              <w:b/>
              <w:noProof/>
              <w:color w:val="0000FF"/>
              <w:szCs w:val="20"/>
            </w:rPr>
            <w:t>2</w:t>
          </w:r>
          <w:r w:rsidRPr="00090617">
            <w:rPr>
              <w:rStyle w:val="PageNumber"/>
              <w:b/>
              <w:color w:val="0000FF"/>
              <w:szCs w:val="20"/>
            </w:rPr>
            <w:fldChar w:fldCharType="end"/>
          </w:r>
          <w:r w:rsidRPr="00090617">
            <w:rPr>
              <w:rStyle w:val="PageNumber"/>
              <w:b/>
              <w:color w:val="0000FF"/>
              <w:szCs w:val="20"/>
            </w:rPr>
            <w:t xml:space="preserve"> of </w:t>
          </w:r>
          <w:r w:rsidRPr="00090617">
            <w:rPr>
              <w:rStyle w:val="PageNumber"/>
              <w:b/>
              <w:color w:val="0000FF"/>
              <w:szCs w:val="20"/>
            </w:rPr>
            <w:fldChar w:fldCharType="begin"/>
          </w:r>
          <w:r w:rsidRPr="00090617">
            <w:rPr>
              <w:rStyle w:val="PageNumber"/>
              <w:b/>
              <w:color w:val="0000FF"/>
              <w:szCs w:val="20"/>
            </w:rPr>
            <w:instrText xml:space="preserve"> NUMPAGES </w:instrText>
          </w:r>
          <w:r w:rsidRPr="00090617">
            <w:rPr>
              <w:rStyle w:val="PageNumber"/>
              <w:b/>
              <w:color w:val="0000FF"/>
              <w:szCs w:val="20"/>
            </w:rPr>
            <w:fldChar w:fldCharType="separate"/>
          </w:r>
          <w:r w:rsidR="00E232C4">
            <w:rPr>
              <w:rStyle w:val="PageNumber"/>
              <w:b/>
              <w:noProof/>
              <w:color w:val="0000FF"/>
              <w:szCs w:val="20"/>
            </w:rPr>
            <w:t>2</w:t>
          </w:r>
          <w:r w:rsidRPr="00090617">
            <w:rPr>
              <w:rStyle w:val="PageNumber"/>
              <w:b/>
              <w:color w:val="0000FF"/>
              <w:szCs w:val="20"/>
            </w:rPr>
            <w:fldChar w:fldCharType="end"/>
          </w:r>
          <w:r w:rsidRPr="00090617">
            <w:rPr>
              <w:rFonts w:ascii="Arial" w:hAnsi="Arial" w:cs="Arial"/>
              <w:b/>
              <w:szCs w:val="20"/>
            </w:rPr>
            <w:t xml:space="preserve"> </w:t>
          </w:r>
        </w:p>
      </w:tc>
    </w:tr>
  </w:tbl>
  <w:p w:rsidR="0031026E" w:rsidRPr="0089058F" w:rsidRDefault="0031026E" w:rsidP="008905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800"/>
      <w:gridCol w:w="3564"/>
    </w:tblGrid>
    <w:tr w:rsidR="0089058F" w:rsidTr="0031026E">
      <w:tc>
        <w:tcPr>
          <w:tcW w:w="4788" w:type="dxa"/>
        </w:tcPr>
        <w:p w:rsidR="0089058F" w:rsidRPr="00090617" w:rsidRDefault="0089058F" w:rsidP="0031026E">
          <w:pPr>
            <w:pStyle w:val="Header"/>
            <w:jc w:val="center"/>
            <w:rPr>
              <w:rFonts w:ascii="Arial" w:hAnsi="Arial" w:cs="Arial"/>
              <w:b/>
              <w:sz w:val="28"/>
              <w:szCs w:val="28"/>
            </w:rPr>
          </w:pPr>
          <w:r w:rsidRPr="00090617">
            <w:rPr>
              <w:rFonts w:ascii="Arial" w:hAnsi="Arial" w:cs="Arial"/>
              <w:b/>
              <w:sz w:val="28"/>
              <w:szCs w:val="28"/>
            </w:rPr>
            <w:t>New Vision Medical Laboratories</w:t>
          </w:r>
        </w:p>
        <w:p w:rsidR="0089058F" w:rsidRPr="00090617" w:rsidRDefault="0089058F" w:rsidP="0031026E">
          <w:pPr>
            <w:pStyle w:val="Header"/>
            <w:jc w:val="center"/>
            <w:rPr>
              <w:rFonts w:ascii="Arial" w:hAnsi="Arial" w:cs="Arial"/>
              <w:b/>
            </w:rPr>
          </w:pPr>
          <w:r>
            <w:rPr>
              <w:rFonts w:ascii="Arial" w:hAnsi="Arial" w:cs="Arial"/>
              <w:b/>
            </w:rPr>
            <w:t>Joint Township District Memorial Hosp</w:t>
          </w:r>
        </w:p>
        <w:p w:rsidR="0089058F" w:rsidRPr="00090617" w:rsidRDefault="0089058F" w:rsidP="0031026E">
          <w:pPr>
            <w:pStyle w:val="Header"/>
            <w:jc w:val="center"/>
            <w:rPr>
              <w:rFonts w:ascii="Arial" w:hAnsi="Arial" w:cs="Arial"/>
              <w:b/>
              <w:szCs w:val="20"/>
            </w:rPr>
          </w:pPr>
          <w:r>
            <w:rPr>
              <w:rFonts w:ascii="Arial" w:hAnsi="Arial" w:cs="Arial"/>
              <w:b/>
              <w:szCs w:val="20"/>
            </w:rPr>
            <w:t>St. Marys</w:t>
          </w:r>
          <w:r w:rsidRPr="00090617">
            <w:rPr>
              <w:rFonts w:ascii="Arial" w:hAnsi="Arial" w:cs="Arial"/>
              <w:b/>
              <w:szCs w:val="20"/>
            </w:rPr>
            <w:t>, Ohio</w:t>
          </w:r>
        </w:p>
        <w:p w:rsidR="0089058F" w:rsidRPr="00090617" w:rsidRDefault="0089058F" w:rsidP="0031026E">
          <w:pPr>
            <w:pStyle w:val="Header"/>
            <w:jc w:val="center"/>
            <w:rPr>
              <w:rFonts w:ascii="Arial" w:hAnsi="Arial" w:cs="Arial"/>
              <w:b/>
              <w:color w:val="0000FF"/>
              <w:szCs w:val="20"/>
            </w:rPr>
          </w:pPr>
          <w:r w:rsidRPr="00090617">
            <w:rPr>
              <w:rFonts w:ascii="Arial" w:hAnsi="Arial" w:cs="Arial"/>
              <w:b/>
              <w:color w:val="0000FF"/>
              <w:szCs w:val="20"/>
            </w:rPr>
            <w:t>Technical Procedure</w:t>
          </w:r>
        </w:p>
      </w:tc>
      <w:tc>
        <w:tcPr>
          <w:tcW w:w="1800" w:type="dxa"/>
          <w:vAlign w:val="center"/>
        </w:tcPr>
        <w:p w:rsidR="0089058F" w:rsidRPr="00090617" w:rsidRDefault="00282576" w:rsidP="0031026E">
          <w:pPr>
            <w:pStyle w:val="Header"/>
            <w:jc w:val="center"/>
            <w:rPr>
              <w:rFonts w:ascii="Arial" w:hAnsi="Arial" w:cs="Arial"/>
              <w:b/>
            </w:rPr>
          </w:pPr>
          <w:r>
            <w:rPr>
              <w:rFonts w:ascii="Arial" w:hAnsi="Arial" w:cs="Arial"/>
              <w:b/>
              <w:noProof/>
            </w:rPr>
            <w:drawing>
              <wp:inline distT="0" distB="0" distL="0" distR="0">
                <wp:extent cx="971550" cy="523875"/>
                <wp:effectExtent l="0" t="0" r="0" b="9525"/>
                <wp:docPr id="1" name="Picture 1" descr="1 NewVis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NewVisColo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523875"/>
                        </a:xfrm>
                        <a:prstGeom prst="rect">
                          <a:avLst/>
                        </a:prstGeom>
                        <a:noFill/>
                        <a:ln>
                          <a:noFill/>
                        </a:ln>
                      </pic:spPr>
                    </pic:pic>
                  </a:graphicData>
                </a:graphic>
              </wp:inline>
            </w:drawing>
          </w:r>
        </w:p>
      </w:tc>
      <w:tc>
        <w:tcPr>
          <w:tcW w:w="3564" w:type="dxa"/>
        </w:tcPr>
        <w:p w:rsidR="0089058F" w:rsidRPr="00090617" w:rsidRDefault="0089058F" w:rsidP="0031026E">
          <w:pPr>
            <w:pStyle w:val="Header"/>
            <w:jc w:val="center"/>
            <w:rPr>
              <w:rFonts w:ascii="Arial" w:hAnsi="Arial" w:cs="Arial"/>
              <w:b/>
              <w:sz w:val="18"/>
              <w:szCs w:val="18"/>
            </w:rPr>
          </w:pPr>
        </w:p>
        <w:p w:rsidR="0089058F" w:rsidRPr="00090617" w:rsidRDefault="0089058F" w:rsidP="0031026E">
          <w:pPr>
            <w:pStyle w:val="Header"/>
            <w:jc w:val="center"/>
            <w:rPr>
              <w:rFonts w:ascii="Arial" w:hAnsi="Arial" w:cs="Arial"/>
              <w:b/>
              <w:szCs w:val="20"/>
            </w:rPr>
          </w:pPr>
          <w:r w:rsidRPr="00090617">
            <w:rPr>
              <w:rFonts w:ascii="Arial" w:hAnsi="Arial" w:cs="Arial"/>
              <w:b/>
              <w:szCs w:val="20"/>
            </w:rPr>
            <w:t>Procedure Number:</w:t>
          </w:r>
        </w:p>
        <w:p w:rsidR="0089058F" w:rsidRPr="00090617" w:rsidRDefault="00554192" w:rsidP="0031026E">
          <w:pPr>
            <w:pStyle w:val="Header"/>
            <w:jc w:val="center"/>
            <w:rPr>
              <w:rFonts w:ascii="Arial" w:hAnsi="Arial" w:cs="Arial"/>
              <w:b/>
              <w:szCs w:val="20"/>
            </w:rPr>
          </w:pPr>
          <w:r w:rsidRPr="0089058F">
            <w:rPr>
              <w:rFonts w:ascii="Arial" w:hAnsi="Arial" w:cs="Arial"/>
              <w:b/>
              <w:szCs w:val="20"/>
            </w:rPr>
            <w:t>nvml.jtdmh.bb</w:t>
          </w:r>
          <w:r w:rsidR="0089058F" w:rsidRPr="0089058F">
            <w:rPr>
              <w:rFonts w:ascii="Arial" w:hAnsi="Arial" w:cs="Arial"/>
              <w:b/>
              <w:szCs w:val="20"/>
            </w:rPr>
            <w:t>.326</w:t>
          </w:r>
          <w:r w:rsidR="009875D0">
            <w:rPr>
              <w:rFonts w:ascii="Arial" w:hAnsi="Arial" w:cs="Arial"/>
              <w:b/>
              <w:szCs w:val="20"/>
            </w:rPr>
            <w:t>.Emergency request for blood</w:t>
          </w:r>
        </w:p>
      </w:tc>
    </w:tr>
  </w:tbl>
  <w:p w:rsidR="0089058F" w:rsidRDefault="008905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58F"/>
    <w:rsid w:val="0003032E"/>
    <w:rsid w:val="00282576"/>
    <w:rsid w:val="002C23BC"/>
    <w:rsid w:val="0031026E"/>
    <w:rsid w:val="00386BDF"/>
    <w:rsid w:val="003B36A3"/>
    <w:rsid w:val="003D779D"/>
    <w:rsid w:val="00481DB2"/>
    <w:rsid w:val="00512C44"/>
    <w:rsid w:val="00554192"/>
    <w:rsid w:val="0083113E"/>
    <w:rsid w:val="0089058F"/>
    <w:rsid w:val="00967088"/>
    <w:rsid w:val="009875D0"/>
    <w:rsid w:val="009E4365"/>
    <w:rsid w:val="00A3650C"/>
    <w:rsid w:val="00B2471D"/>
    <w:rsid w:val="00BE6E15"/>
    <w:rsid w:val="00C27C53"/>
    <w:rsid w:val="00C85745"/>
    <w:rsid w:val="00D50210"/>
    <w:rsid w:val="00E23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6D3282-A1A3-43ED-99E7-3720130A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jc w:val="center"/>
      <w:outlineLvl w:val="0"/>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semiHidden/>
    <w:pPr>
      <w:tabs>
        <w:tab w:val="center" w:pos="4320"/>
        <w:tab w:val="right" w:pos="8640"/>
      </w:tabs>
    </w:pPr>
  </w:style>
  <w:style w:type="character" w:styleId="PageNumber">
    <w:name w:val="page number"/>
    <w:basedOn w:val="DefaultParagraphFont"/>
  </w:style>
  <w:style w:type="paragraph" w:styleId="BodyTextIndent">
    <w:name w:val="Body Text Indent"/>
    <w:basedOn w:val="Normal"/>
    <w:semiHidden/>
    <w:pPr>
      <w:ind w:left="1170"/>
      <w:jc w:val="both"/>
    </w:pPr>
    <w:rPr>
      <w:sz w:val="24"/>
      <w:szCs w:val="20"/>
    </w:rPr>
  </w:style>
  <w:style w:type="paragraph" w:styleId="BodyTextIndent2">
    <w:name w:val="Body Text Indent 2"/>
    <w:basedOn w:val="Normal"/>
    <w:semiHidden/>
    <w:pPr>
      <w:ind w:left="2070" w:hanging="540"/>
    </w:pPr>
    <w:rPr>
      <w:sz w:val="24"/>
      <w:szCs w:val="20"/>
    </w:rPr>
  </w:style>
  <w:style w:type="paragraph" w:styleId="BodyTextIndent3">
    <w:name w:val="Body Text Indent 3"/>
    <w:basedOn w:val="Normal"/>
    <w:semiHidden/>
    <w:pPr>
      <w:ind w:left="1530" w:hanging="360"/>
    </w:pPr>
    <w:rPr>
      <w:sz w:val="24"/>
      <w:szCs w:val="20"/>
    </w:rPr>
  </w:style>
  <w:style w:type="paragraph" w:styleId="Header">
    <w:name w:val="header"/>
    <w:basedOn w:val="Normal"/>
    <w:pPr>
      <w:tabs>
        <w:tab w:val="center" w:pos="4320"/>
        <w:tab w:val="right" w:pos="8640"/>
      </w:tabs>
    </w:pPr>
  </w:style>
  <w:style w:type="paragraph" w:styleId="Title">
    <w:name w:val="Title"/>
    <w:basedOn w:val="Normal"/>
    <w:qFormat/>
    <w:pPr>
      <w:jc w:val="center"/>
    </w:pPr>
    <w:rPr>
      <w:b/>
      <w:bCs/>
      <w:sz w:val="24"/>
      <w:szCs w:val="22"/>
    </w:rPr>
  </w:style>
  <w:style w:type="paragraph" w:styleId="BalloonText">
    <w:name w:val="Balloon Text"/>
    <w:basedOn w:val="Normal"/>
    <w:link w:val="BalloonTextChar"/>
    <w:uiPriority w:val="99"/>
    <w:semiHidden/>
    <w:unhideWhenUsed/>
    <w:rsid w:val="00481DB2"/>
    <w:rPr>
      <w:rFonts w:ascii="Tahoma" w:hAnsi="Tahoma" w:cs="Tahoma"/>
      <w:sz w:val="16"/>
      <w:szCs w:val="16"/>
    </w:rPr>
  </w:style>
  <w:style w:type="character" w:customStyle="1" w:styleId="BalloonTextChar">
    <w:name w:val="Balloon Text Char"/>
    <w:basedOn w:val="DefaultParagraphFont"/>
    <w:link w:val="BalloonText"/>
    <w:uiPriority w:val="99"/>
    <w:semiHidden/>
    <w:rsid w:val="00481D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003760">
      <w:bodyDiv w:val="1"/>
      <w:marLeft w:val="0"/>
      <w:marRight w:val="0"/>
      <w:marTop w:val="0"/>
      <w:marBottom w:val="0"/>
      <w:divBdr>
        <w:top w:val="none" w:sz="0" w:space="0" w:color="auto"/>
        <w:left w:val="none" w:sz="0" w:space="0" w:color="auto"/>
        <w:bottom w:val="none" w:sz="0" w:space="0" w:color="auto"/>
        <w:right w:val="none" w:sz="0" w:space="0" w:color="auto"/>
      </w:divBdr>
    </w:div>
    <w:div w:id="1496454555">
      <w:bodyDiv w:val="1"/>
      <w:marLeft w:val="0"/>
      <w:marRight w:val="0"/>
      <w:marTop w:val="0"/>
      <w:marBottom w:val="0"/>
      <w:divBdr>
        <w:top w:val="none" w:sz="0" w:space="0" w:color="auto"/>
        <w:left w:val="none" w:sz="0" w:space="0" w:color="auto"/>
        <w:bottom w:val="none" w:sz="0" w:space="0" w:color="auto"/>
        <w:right w:val="none" w:sz="0" w:space="0" w:color="auto"/>
      </w:divBdr>
    </w:div>
    <w:div w:id="166955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JOINT TOWNSHIP DISTRICT MEMORIAL HOSPITAL</vt:lpstr>
    </vt:vector>
  </TitlesOfParts>
  <Company>Hospital</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TOWNSHIP DISTRICT MEMORIAL HOSPITAL</dc:title>
  <dc:creator>Joint Twp.</dc:creator>
  <cp:lastModifiedBy>Morlino, Denis</cp:lastModifiedBy>
  <cp:revision>2</cp:revision>
  <cp:lastPrinted>2017-07-21T13:50:00Z</cp:lastPrinted>
  <dcterms:created xsi:type="dcterms:W3CDTF">2024-06-12T14:10:00Z</dcterms:created>
  <dcterms:modified xsi:type="dcterms:W3CDTF">2024-06-12T14:10:00Z</dcterms:modified>
</cp:coreProperties>
</file>