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492CBE" w:rsidRPr="008966D3" w:rsidRDefault="00492CBE">
      <w:pPr>
        <w:rPr>
          <w:szCs w:val="20"/>
        </w:rPr>
      </w:pPr>
    </w:p>
    <w:tbl>
      <w:tblPr>
        <w:tblW w:w="0" w:type="auto"/>
        <w:tblLook w:val="01E0" w:firstRow="1" w:lastRow="1" w:firstColumn="1" w:lastColumn="1" w:noHBand="0" w:noVBand="0"/>
      </w:tblPr>
      <w:tblGrid>
        <w:gridCol w:w="9936"/>
      </w:tblGrid>
      <w:tr w:rsidR="004A733D" w:rsidRPr="00970720" w14:paraId="388E692D" w14:textId="77777777" w:rsidTr="6ACD9241">
        <w:tc>
          <w:tcPr>
            <w:tcW w:w="10152" w:type="dxa"/>
          </w:tcPr>
          <w:p w14:paraId="030C8254" w14:textId="62D1E188" w:rsidR="00760384" w:rsidRPr="00970720" w:rsidRDefault="6ACD9241" w:rsidP="00753CD0">
            <w:pPr>
              <w:rPr>
                <w:b/>
                <w:bCs/>
              </w:rPr>
            </w:pPr>
            <w:r w:rsidRPr="00970720">
              <w:rPr>
                <w:b/>
                <w:bCs/>
              </w:rPr>
              <w:t xml:space="preserve">SUBJECT: SARS-Cov-2 &amp; Influenza A/B Roche </w:t>
            </w:r>
            <w:proofErr w:type="spellStart"/>
            <w:r w:rsidRPr="00970720">
              <w:rPr>
                <w:b/>
                <w:bCs/>
              </w:rPr>
              <w:t>Liat</w:t>
            </w:r>
            <w:proofErr w:type="spellEnd"/>
            <w:r w:rsidRPr="00970720">
              <w:rPr>
                <w:b/>
                <w:bCs/>
              </w:rPr>
              <w:t xml:space="preserve"> (FDA-</w:t>
            </w:r>
            <w:r w:rsidR="00403789">
              <w:rPr>
                <w:b/>
                <w:bCs/>
              </w:rPr>
              <w:t>510K</w:t>
            </w:r>
            <w:r w:rsidRPr="00970720">
              <w:rPr>
                <w:b/>
                <w:bCs/>
              </w:rPr>
              <w:t>)</w:t>
            </w:r>
          </w:p>
        </w:tc>
      </w:tr>
    </w:tbl>
    <w:p w14:paraId="0A37501D" w14:textId="77777777" w:rsidR="004A733D" w:rsidRPr="00970720" w:rsidRDefault="004A733D"/>
    <w:tbl>
      <w:tblPr>
        <w:tblW w:w="10281" w:type="dxa"/>
        <w:tblLook w:val="01E0" w:firstRow="1" w:lastRow="1" w:firstColumn="1" w:lastColumn="1" w:noHBand="0" w:noVBand="0"/>
      </w:tblPr>
      <w:tblGrid>
        <w:gridCol w:w="10281"/>
      </w:tblGrid>
      <w:tr w:rsidR="00A03851" w:rsidRPr="00970720" w14:paraId="1EEFD266" w14:textId="77777777" w:rsidTr="00760384">
        <w:trPr>
          <w:trHeight w:val="367"/>
        </w:trPr>
        <w:tc>
          <w:tcPr>
            <w:tcW w:w="10281" w:type="dxa"/>
          </w:tcPr>
          <w:p w14:paraId="708F000D" w14:textId="41B08AB6" w:rsidR="00A03851" w:rsidRPr="00970720" w:rsidRDefault="00650921" w:rsidP="00650921">
            <w:pPr>
              <w:rPr>
                <w:b/>
              </w:rPr>
            </w:pPr>
            <w:r w:rsidRPr="00970720">
              <w:rPr>
                <w:b/>
              </w:rPr>
              <w:t xml:space="preserve">1. </w:t>
            </w:r>
            <w:r w:rsidR="00A03851" w:rsidRPr="00970720">
              <w:rPr>
                <w:b/>
              </w:rPr>
              <w:t>PRINCIPLE:</w:t>
            </w:r>
          </w:p>
        </w:tc>
      </w:tr>
      <w:tr w:rsidR="00760384" w:rsidRPr="00970720" w14:paraId="1A2FE5A5" w14:textId="77777777" w:rsidTr="00760384">
        <w:trPr>
          <w:trHeight w:val="708"/>
        </w:trPr>
        <w:tc>
          <w:tcPr>
            <w:tcW w:w="10281" w:type="dxa"/>
          </w:tcPr>
          <w:p w14:paraId="033F133D" w14:textId="77777777" w:rsidR="00980687" w:rsidRPr="00970720" w:rsidRDefault="00980687" w:rsidP="00980687">
            <w:pPr>
              <w:autoSpaceDE w:val="0"/>
              <w:autoSpaceDN w:val="0"/>
              <w:adjustRightInd w:val="0"/>
            </w:pPr>
            <w:r w:rsidRPr="00970720">
              <w:t xml:space="preserve">The </w:t>
            </w:r>
            <w:proofErr w:type="spellStart"/>
            <w:r w:rsidRPr="00C83301">
              <w:rPr>
                <w:bCs/>
              </w:rPr>
              <w:t>cobas</w:t>
            </w:r>
            <w:proofErr w:type="spellEnd"/>
            <w:r w:rsidRPr="00970720">
              <w:t xml:space="preserve">® SARS-CoV-2 &amp; Influenza A/B assay is performed on the </w:t>
            </w:r>
            <w:proofErr w:type="spellStart"/>
            <w:r w:rsidRPr="00C83301">
              <w:rPr>
                <w:bCs/>
              </w:rPr>
              <w:t>cobas</w:t>
            </w:r>
            <w:proofErr w:type="spellEnd"/>
            <w:r w:rsidRPr="00970720">
              <w:t xml:space="preserve">® </w:t>
            </w:r>
            <w:proofErr w:type="spellStart"/>
            <w:r w:rsidRPr="00970720">
              <w:t>Liat</w:t>
            </w:r>
            <w:proofErr w:type="spellEnd"/>
            <w:r w:rsidRPr="00970720">
              <w:t>® Analyzer which automates and integrates sample purification, nucleic acid amplification, and detection of the target sequence in biological samples using real-time RT-PCR assays. The assay targets both the ORF1 a/b non-structural region and nucleocapsid protein gene that are unique to SARS-CoV-2, a well-conserved region of the matrix gene of Influenza A, and the non-structural protein gene of Influenza B.</w:t>
            </w:r>
          </w:p>
          <w:p w14:paraId="5DAB6C7B" w14:textId="77777777" w:rsidR="00980687" w:rsidRPr="00970720" w:rsidRDefault="00980687" w:rsidP="00980687">
            <w:pPr>
              <w:autoSpaceDE w:val="0"/>
              <w:autoSpaceDN w:val="0"/>
              <w:adjustRightInd w:val="0"/>
            </w:pPr>
          </w:p>
          <w:p w14:paraId="4F53528D" w14:textId="77777777" w:rsidR="00760384" w:rsidRPr="00970720" w:rsidRDefault="00980687" w:rsidP="00980687">
            <w:pPr>
              <w:autoSpaceDE w:val="0"/>
              <w:autoSpaceDN w:val="0"/>
              <w:adjustRightInd w:val="0"/>
            </w:pPr>
            <w:r w:rsidRPr="00970720">
              <w:t>An Internal Process Control (IPC) is also included. The IPC is present to control for adequate processing of the target virus through steps of sample purification, nucleic acid amplification, and to monitor the presence of inhibitors in the RT-PCR processes.</w:t>
            </w:r>
          </w:p>
          <w:p w14:paraId="02EB378F" w14:textId="769777E1" w:rsidR="00D229FC" w:rsidRPr="00970720" w:rsidRDefault="00D229FC" w:rsidP="00D229FC">
            <w:pPr>
              <w:autoSpaceDE w:val="0"/>
              <w:autoSpaceDN w:val="0"/>
              <w:adjustRightInd w:val="0"/>
            </w:pPr>
          </w:p>
        </w:tc>
      </w:tr>
    </w:tbl>
    <w:p w14:paraId="6A05A809" w14:textId="77777777" w:rsidR="00C8598A" w:rsidRPr="00970720" w:rsidRDefault="00C8598A" w:rsidP="00C8598A">
      <w:pPr>
        <w:autoSpaceDE w:val="0"/>
        <w:autoSpaceDN w:val="0"/>
        <w:adjustRightInd w:val="0"/>
      </w:pPr>
    </w:p>
    <w:tbl>
      <w:tblPr>
        <w:tblW w:w="10260" w:type="dxa"/>
        <w:tblLook w:val="01E0" w:firstRow="1" w:lastRow="1" w:firstColumn="1" w:lastColumn="1" w:noHBand="0" w:noVBand="0"/>
      </w:tblPr>
      <w:tblGrid>
        <w:gridCol w:w="288"/>
        <w:gridCol w:w="9648"/>
        <w:gridCol w:w="324"/>
      </w:tblGrid>
      <w:tr w:rsidR="00A03851" w:rsidRPr="00970720" w14:paraId="1A32491F" w14:textId="77777777" w:rsidTr="00403789">
        <w:tc>
          <w:tcPr>
            <w:tcW w:w="10260" w:type="dxa"/>
            <w:gridSpan w:val="3"/>
          </w:tcPr>
          <w:p w14:paraId="1E010270" w14:textId="5041106C" w:rsidR="00A03851" w:rsidRPr="00970720" w:rsidRDefault="00650921" w:rsidP="00650921">
            <w:pPr>
              <w:rPr>
                <w:b/>
              </w:rPr>
            </w:pPr>
            <w:r w:rsidRPr="00970720">
              <w:rPr>
                <w:b/>
              </w:rPr>
              <w:t xml:space="preserve">2. </w:t>
            </w:r>
            <w:r w:rsidR="00A03851" w:rsidRPr="00970720">
              <w:rPr>
                <w:b/>
              </w:rPr>
              <w:t>CLINICAL</w:t>
            </w:r>
            <w:r w:rsidR="00403789">
              <w:rPr>
                <w:b/>
              </w:rPr>
              <w:t xml:space="preserve"> </w:t>
            </w:r>
            <w:r w:rsidR="00A03851" w:rsidRPr="00970720">
              <w:rPr>
                <w:b/>
              </w:rPr>
              <w:t>SIGNIFICANCE:</w:t>
            </w:r>
          </w:p>
        </w:tc>
      </w:tr>
      <w:tr w:rsidR="00A03851" w:rsidRPr="00970720" w14:paraId="38FC2396" w14:textId="77777777" w:rsidTr="00403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88" w:type="dxa"/>
          <w:wAfter w:w="324" w:type="dxa"/>
          <w:trHeight w:val="657"/>
        </w:trPr>
        <w:tc>
          <w:tcPr>
            <w:tcW w:w="9648" w:type="dxa"/>
            <w:tcBorders>
              <w:top w:val="nil"/>
              <w:left w:val="nil"/>
              <w:bottom w:val="nil"/>
              <w:right w:val="nil"/>
            </w:tcBorders>
          </w:tcPr>
          <w:p w14:paraId="629ADBB7" w14:textId="77777777" w:rsidR="006D31ED" w:rsidRPr="00970720" w:rsidRDefault="006D31ED" w:rsidP="006D31ED">
            <w:pPr>
              <w:autoSpaceDE w:val="0"/>
              <w:autoSpaceDN w:val="0"/>
              <w:adjustRightInd w:val="0"/>
            </w:pPr>
            <w:r w:rsidRPr="00970720">
              <w:t xml:space="preserve">The </w:t>
            </w:r>
            <w:proofErr w:type="spellStart"/>
            <w:r w:rsidRPr="00C83301">
              <w:rPr>
                <w:bCs/>
              </w:rPr>
              <w:t>cobas</w:t>
            </w:r>
            <w:proofErr w:type="spellEnd"/>
            <w:r w:rsidRPr="00970720">
              <w:rPr>
                <w:b/>
                <w:bCs/>
              </w:rPr>
              <w:t xml:space="preserve">® </w:t>
            </w:r>
            <w:r w:rsidRPr="00970720">
              <w:t xml:space="preserve">SARS-CoV-2 &amp; Influenza A/B Nucleic acid test for use on the </w:t>
            </w:r>
            <w:proofErr w:type="spellStart"/>
            <w:r w:rsidRPr="00C83301">
              <w:rPr>
                <w:bCs/>
              </w:rPr>
              <w:t>cobas</w:t>
            </w:r>
            <w:proofErr w:type="spellEnd"/>
            <w:r w:rsidRPr="00970720">
              <w:rPr>
                <w:b/>
                <w:bCs/>
              </w:rPr>
              <w:t xml:space="preserve">® </w:t>
            </w:r>
            <w:proofErr w:type="spellStart"/>
            <w:r w:rsidRPr="00970720">
              <w:t>Liat</w:t>
            </w:r>
            <w:proofErr w:type="spellEnd"/>
            <w:r w:rsidRPr="00970720">
              <w:rPr>
                <w:b/>
                <w:bCs/>
              </w:rPr>
              <w:t xml:space="preserve">® </w:t>
            </w:r>
            <w:r w:rsidRPr="00970720">
              <w:t>System (</w:t>
            </w:r>
            <w:proofErr w:type="spellStart"/>
            <w:r w:rsidRPr="00C83301">
              <w:rPr>
                <w:bCs/>
              </w:rPr>
              <w:t>cobas</w:t>
            </w:r>
            <w:proofErr w:type="spellEnd"/>
            <w:r w:rsidRPr="00970720">
              <w:rPr>
                <w:b/>
                <w:bCs/>
              </w:rPr>
              <w:t xml:space="preserve">® </w:t>
            </w:r>
            <w:r w:rsidRPr="00970720">
              <w:t xml:space="preserve">SARS-CoV-2 &amp; Influenza A/B) is an automated multiplex real-time RT-PCR assay intended for the simultaneous rapid </w:t>
            </w:r>
            <w:r w:rsidRPr="00970720">
              <w:rPr>
                <w:i/>
                <w:iCs/>
              </w:rPr>
              <w:t xml:space="preserve">in vitro </w:t>
            </w:r>
            <w:r w:rsidRPr="00970720">
              <w:t>qualitative detection and differentiation of SARS-CoV-2, influenza A, and influenza B virus RNA in healthcare provider-collected nasopharyngeal and nasal swabs, and self-collected nasal swabs (collected in a healthcare setting with instruction by a healthcare provider) from individuals suspected of respiratory viral infection consistent with COVID-19 by their healthcare provider. Clinical signs and symptoms of respiratory viral infection due to SARS-CoV-2 and influenza can be similar.</w:t>
            </w:r>
          </w:p>
          <w:p w14:paraId="41C8F396" w14:textId="77777777" w:rsidR="006D31ED" w:rsidRPr="00970720" w:rsidRDefault="006D31ED" w:rsidP="006D31ED">
            <w:pPr>
              <w:autoSpaceDE w:val="0"/>
              <w:autoSpaceDN w:val="0"/>
              <w:adjustRightInd w:val="0"/>
              <w:rPr>
                <w:b/>
                <w:bCs/>
              </w:rPr>
            </w:pPr>
          </w:p>
          <w:p w14:paraId="7FCFE2DE" w14:textId="77777777" w:rsidR="006D31ED" w:rsidRPr="00970720" w:rsidRDefault="006D31ED" w:rsidP="006D31ED">
            <w:pPr>
              <w:autoSpaceDE w:val="0"/>
              <w:autoSpaceDN w:val="0"/>
              <w:adjustRightInd w:val="0"/>
            </w:pPr>
            <w:proofErr w:type="spellStart"/>
            <w:r w:rsidRPr="00C83301">
              <w:rPr>
                <w:bCs/>
              </w:rPr>
              <w:t>cobas</w:t>
            </w:r>
            <w:proofErr w:type="spellEnd"/>
            <w:r w:rsidRPr="00970720">
              <w:rPr>
                <w:b/>
                <w:bCs/>
              </w:rPr>
              <w:t xml:space="preserve">® </w:t>
            </w:r>
            <w:r w:rsidRPr="00970720">
              <w:t xml:space="preserve">SARS-CoV-2 &amp; Influenza A/B is intended for use in the simultaneous rapid </w:t>
            </w:r>
            <w:r w:rsidRPr="00970720">
              <w:rPr>
                <w:i/>
                <w:iCs/>
              </w:rPr>
              <w:t xml:space="preserve">in vitro </w:t>
            </w:r>
            <w:r w:rsidRPr="00970720">
              <w:t>detection and differentiation of SARS-CoV-2, influenza A virus, and influenza B virus nucleic acids in clinical specimens and is not intended to detect influenza C virus. SARS-CoV-2, influenza A and influenza B viral RNA is generally detectable in respiratory specimens during the acute phase of infection. Positive results are indicative of active infection but do not rule out bacterial infection or co-infection with other pathogens not detected by the test. Clinical correlation with patient history and other diagnostic information is necessary to determine patient infection status. The agent detected may not be the definite cause of disease.</w:t>
            </w:r>
          </w:p>
          <w:p w14:paraId="72A3D3EC" w14:textId="77777777" w:rsidR="006D31ED" w:rsidRPr="00970720" w:rsidRDefault="006D31ED" w:rsidP="006D31ED">
            <w:pPr>
              <w:autoSpaceDE w:val="0"/>
              <w:autoSpaceDN w:val="0"/>
              <w:adjustRightInd w:val="0"/>
            </w:pPr>
          </w:p>
          <w:p w14:paraId="49A6F59C" w14:textId="77777777" w:rsidR="006D31ED" w:rsidRPr="00970720" w:rsidRDefault="006D31ED" w:rsidP="006D31ED">
            <w:pPr>
              <w:autoSpaceDE w:val="0"/>
              <w:autoSpaceDN w:val="0"/>
              <w:adjustRightInd w:val="0"/>
            </w:pPr>
            <w:r w:rsidRPr="00970720">
              <w:t>Negative results do not preclude SARS-CoV-2, influenza A, and/or influenza B infection and should not be used as the sole basis for diagnosis, treatment or other patient management decisions. Negative results must be combined with clinical observations, patient history, and/or epidemiological information.</w:t>
            </w:r>
          </w:p>
          <w:p w14:paraId="3B49AD68" w14:textId="77777777" w:rsidR="006D31ED" w:rsidRPr="00970720" w:rsidRDefault="006D31ED" w:rsidP="006D31ED">
            <w:pPr>
              <w:autoSpaceDE w:val="0"/>
              <w:autoSpaceDN w:val="0"/>
              <w:adjustRightInd w:val="0"/>
            </w:pPr>
            <w:proofErr w:type="spellStart"/>
            <w:r w:rsidRPr="00C83301">
              <w:rPr>
                <w:bCs/>
              </w:rPr>
              <w:t>cobas</w:t>
            </w:r>
            <w:proofErr w:type="spellEnd"/>
            <w:r w:rsidRPr="00970720">
              <w:rPr>
                <w:b/>
                <w:bCs/>
              </w:rPr>
              <w:t xml:space="preserve">® </w:t>
            </w:r>
            <w:r w:rsidRPr="00970720">
              <w:t xml:space="preserve">SARS-CoV-2 &amp; Influenza A/B is intended for use by health professionals or trained operators who are proficient in using the </w:t>
            </w:r>
            <w:proofErr w:type="spellStart"/>
            <w:r w:rsidRPr="00C83301">
              <w:rPr>
                <w:bCs/>
              </w:rPr>
              <w:t>cobas</w:t>
            </w:r>
            <w:proofErr w:type="spellEnd"/>
            <w:r w:rsidRPr="00970720">
              <w:t xml:space="preserve">® </w:t>
            </w:r>
            <w:proofErr w:type="spellStart"/>
            <w:r w:rsidRPr="00970720">
              <w:t>Liat</w:t>
            </w:r>
            <w:proofErr w:type="spellEnd"/>
            <w:r w:rsidRPr="00970720">
              <w:t xml:space="preserve"> System.</w:t>
            </w:r>
          </w:p>
          <w:p w14:paraId="0D0B940D" w14:textId="77777777" w:rsidR="006D31ED" w:rsidRPr="00970720" w:rsidRDefault="006D31ED" w:rsidP="006D31ED">
            <w:pPr>
              <w:autoSpaceDE w:val="0"/>
              <w:autoSpaceDN w:val="0"/>
              <w:adjustRightInd w:val="0"/>
            </w:pPr>
          </w:p>
          <w:p w14:paraId="0EB7BBEA" w14:textId="77777777" w:rsidR="006D31ED" w:rsidRPr="00970720" w:rsidRDefault="006D31ED" w:rsidP="006D31ED">
            <w:pPr>
              <w:autoSpaceDE w:val="0"/>
              <w:autoSpaceDN w:val="0"/>
              <w:adjustRightInd w:val="0"/>
            </w:pPr>
            <w:r w:rsidRPr="00970720">
              <w:t xml:space="preserve">In the United States (US), testing with </w:t>
            </w:r>
            <w:proofErr w:type="spellStart"/>
            <w:r w:rsidRPr="00C83301">
              <w:rPr>
                <w:bCs/>
              </w:rPr>
              <w:t>cobas</w:t>
            </w:r>
            <w:proofErr w:type="spellEnd"/>
            <w:r w:rsidRPr="00970720">
              <w:rPr>
                <w:b/>
                <w:bCs/>
              </w:rPr>
              <w:t xml:space="preserve">® </w:t>
            </w:r>
            <w:r w:rsidRPr="00970720">
              <w:t>SARS-CoV-2 &amp; Influenza A/B is authorized for laboratories certified under the Clinical Laboratory Improvement Amendments of 1988 (CLIA), 42 U.S.C. §263a, to perform moderate or high complexity</w:t>
            </w:r>
            <w:r w:rsidR="00C34475" w:rsidRPr="00970720">
              <w:t xml:space="preserve"> </w:t>
            </w:r>
            <w:r w:rsidRPr="00970720">
              <w:t xml:space="preserve">tests. </w:t>
            </w:r>
            <w:proofErr w:type="spellStart"/>
            <w:r w:rsidRPr="00970720">
              <w:t>cobas</w:t>
            </w:r>
            <w:proofErr w:type="spellEnd"/>
            <w:r w:rsidRPr="00970720">
              <w:t>® SARS-CoV-2 &amp; Influenza A/B is also authorized for use at the Point of Care (POC), i.e., in patient care settings</w:t>
            </w:r>
            <w:r w:rsidR="00C34475" w:rsidRPr="00970720">
              <w:t xml:space="preserve"> </w:t>
            </w:r>
            <w:r w:rsidRPr="00970720">
              <w:lastRenderedPageBreak/>
              <w:t>operating under a CLIA Certificate of Waiver, Certificate of Compliance, or Certificate of Accreditation. Testing facilities</w:t>
            </w:r>
            <w:r w:rsidR="00C34475" w:rsidRPr="00970720">
              <w:t xml:space="preserve"> </w:t>
            </w:r>
            <w:r w:rsidRPr="00970720">
              <w:t>within the U.S. and its territories are required to report all SARS-CoV-2 results to the appropriate public health authorities.</w:t>
            </w:r>
          </w:p>
          <w:p w14:paraId="26BBC4E8" w14:textId="77777777" w:rsidR="00A03851" w:rsidRPr="00970720" w:rsidRDefault="006D31ED" w:rsidP="00C34475">
            <w:pPr>
              <w:autoSpaceDE w:val="0"/>
              <w:autoSpaceDN w:val="0"/>
              <w:adjustRightInd w:val="0"/>
            </w:pPr>
            <w:r w:rsidRPr="00970720">
              <w:t xml:space="preserve">In the U.S., </w:t>
            </w:r>
            <w:proofErr w:type="spellStart"/>
            <w:r w:rsidRPr="00C83301">
              <w:rPr>
                <w:bCs/>
              </w:rPr>
              <w:t>cobas</w:t>
            </w:r>
            <w:proofErr w:type="spellEnd"/>
            <w:r w:rsidRPr="00970720">
              <w:rPr>
                <w:b/>
                <w:bCs/>
              </w:rPr>
              <w:t xml:space="preserve">® </w:t>
            </w:r>
            <w:r w:rsidRPr="00970720">
              <w:t>SARS-CoV-2 &amp; Influenza A/B is only for use under the Food and Drug Administration’s Emergency Use</w:t>
            </w:r>
            <w:r w:rsidR="00C34475" w:rsidRPr="00970720">
              <w:t xml:space="preserve"> </w:t>
            </w:r>
            <w:r w:rsidRPr="00970720">
              <w:t>Authorization.</w:t>
            </w:r>
          </w:p>
        </w:tc>
      </w:tr>
    </w:tbl>
    <w:p w14:paraId="0E27B00A" w14:textId="77777777" w:rsidR="00A03851" w:rsidRPr="00970720" w:rsidRDefault="00A03851" w:rsidP="00620FED">
      <w:pPr>
        <w:rPr>
          <w:b/>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A03851" w:rsidRPr="00970720" w14:paraId="3280862F" w14:textId="77777777" w:rsidTr="00403789">
        <w:tc>
          <w:tcPr>
            <w:tcW w:w="10260" w:type="dxa"/>
            <w:tcBorders>
              <w:top w:val="nil"/>
              <w:left w:val="nil"/>
              <w:bottom w:val="nil"/>
              <w:right w:val="nil"/>
            </w:tcBorders>
          </w:tcPr>
          <w:p w14:paraId="13F80522" w14:textId="4CAF27BF" w:rsidR="00A03851" w:rsidRPr="00970720" w:rsidRDefault="00650921" w:rsidP="00650921">
            <w:pPr>
              <w:rPr>
                <w:b/>
              </w:rPr>
            </w:pPr>
            <w:r w:rsidRPr="00970720">
              <w:rPr>
                <w:b/>
              </w:rPr>
              <w:t xml:space="preserve">3. </w:t>
            </w:r>
            <w:r w:rsidR="00A03851" w:rsidRPr="00970720">
              <w:rPr>
                <w:b/>
              </w:rPr>
              <w:t>SPECIMEN:</w:t>
            </w:r>
          </w:p>
          <w:p w14:paraId="6387C135" w14:textId="2F8ECD5B" w:rsidR="00A03851" w:rsidRPr="00970720" w:rsidRDefault="00650921" w:rsidP="00A62C4B">
            <w:pPr>
              <w:ind w:left="288"/>
              <w:rPr>
                <w:b/>
              </w:rPr>
            </w:pPr>
            <w:r w:rsidRPr="00970720">
              <w:rPr>
                <w:b/>
              </w:rPr>
              <w:t xml:space="preserve">A. </w:t>
            </w:r>
            <w:r w:rsidR="00A03851" w:rsidRPr="00970720">
              <w:rPr>
                <w:b/>
              </w:rPr>
              <w:t>COLLECTION AND PROCESSING:</w:t>
            </w:r>
          </w:p>
        </w:tc>
      </w:tr>
    </w:tbl>
    <w:p w14:paraId="60061E4C" w14:textId="77777777" w:rsidR="00793757" w:rsidRPr="00970720" w:rsidRDefault="00793757" w:rsidP="00793757">
      <w:pPr>
        <w:autoSpaceDE w:val="0"/>
        <w:autoSpaceDN w:val="0"/>
        <w:adjustRightInd w:val="0"/>
      </w:pPr>
    </w:p>
    <w:p w14:paraId="44265F0B" w14:textId="1F4C6511" w:rsidR="00620FED" w:rsidRPr="00970720" w:rsidRDefault="00793757" w:rsidP="00403789">
      <w:pPr>
        <w:autoSpaceDE w:val="0"/>
        <w:autoSpaceDN w:val="0"/>
        <w:adjustRightInd w:val="0"/>
        <w:ind w:left="360"/>
      </w:pPr>
      <w:r w:rsidRPr="00970720">
        <w:t>Collect specimen using a sterile flocked swab with a synthetic tip according to applicable manufacturer instructions and/or standard collection technique using 3mL of viral transport media</w:t>
      </w:r>
      <w:r w:rsidR="009D22AB" w:rsidRPr="00970720">
        <w:t xml:space="preserve"> or 0.9% physiological saline</w:t>
      </w:r>
      <w:r w:rsidRPr="00970720">
        <w:t>.</w:t>
      </w:r>
    </w:p>
    <w:p w14:paraId="44EAFD9C" w14:textId="77777777" w:rsidR="00793757" w:rsidRPr="00970720" w:rsidRDefault="00793757" w:rsidP="00620FED">
      <w:pPr>
        <w:rPr>
          <w:b/>
        </w:rPr>
      </w:pPr>
    </w:p>
    <w:p w14:paraId="5097AD00" w14:textId="77777777" w:rsidR="004A2ECC" w:rsidRPr="00970720" w:rsidRDefault="004A2ECC" w:rsidP="00403789">
      <w:pPr>
        <w:ind w:left="360"/>
        <w:rPr>
          <w:b/>
        </w:rPr>
      </w:pPr>
      <w:r w:rsidRPr="00970720">
        <w:rPr>
          <w:b/>
        </w:rPr>
        <w:t xml:space="preserve">Patient samples may be collected using </w:t>
      </w:r>
      <w:r w:rsidR="00790AE6" w:rsidRPr="00970720">
        <w:rPr>
          <w:b/>
        </w:rPr>
        <w:t>a n</w:t>
      </w:r>
      <w:r w:rsidRPr="00970720">
        <w:rPr>
          <w:b/>
        </w:rPr>
        <w:t>asal</w:t>
      </w:r>
      <w:r w:rsidR="00790AE6" w:rsidRPr="00970720">
        <w:rPr>
          <w:b/>
        </w:rPr>
        <w:t xml:space="preserve"> swab OR a</w:t>
      </w:r>
      <w:r w:rsidRPr="00970720">
        <w:rPr>
          <w:b/>
        </w:rPr>
        <w:t xml:space="preserve"> </w:t>
      </w:r>
      <w:r w:rsidR="00790AE6" w:rsidRPr="00970720">
        <w:rPr>
          <w:b/>
        </w:rPr>
        <w:t>n</w:t>
      </w:r>
      <w:r w:rsidRPr="00970720">
        <w:rPr>
          <w:b/>
        </w:rPr>
        <w:t xml:space="preserve">asopharyngeal swab.  </w:t>
      </w:r>
    </w:p>
    <w:p w14:paraId="1E29483D" w14:textId="77777777" w:rsidR="00EB7375" w:rsidRPr="00403789" w:rsidRDefault="00EB7375" w:rsidP="00403789">
      <w:pPr>
        <w:pStyle w:val="NormalWeb"/>
        <w:ind w:left="360"/>
        <w:rPr>
          <w:b/>
        </w:rPr>
      </w:pPr>
      <w:r w:rsidRPr="00403789">
        <w:rPr>
          <w:b/>
          <w:u w:val="single"/>
        </w:rPr>
        <w:t>Nasopharyngeal Sample Collection Procedure</w:t>
      </w:r>
      <w:r w:rsidR="004A2ECC" w:rsidRPr="00403789">
        <w:rPr>
          <w:b/>
        </w:rPr>
        <w:t>:</w:t>
      </w:r>
      <w:r w:rsidRPr="00403789">
        <w:rPr>
          <w:b/>
        </w:rPr>
        <w:t xml:space="preserve"> </w:t>
      </w:r>
    </w:p>
    <w:p w14:paraId="56C7E8E8" w14:textId="01757C24" w:rsidR="00EB7375" w:rsidRPr="00970720" w:rsidRDefault="00EB7375" w:rsidP="00403789">
      <w:pPr>
        <w:pStyle w:val="NormalWeb"/>
        <w:ind w:left="360"/>
        <w:rPr>
          <w:b/>
        </w:rPr>
      </w:pPr>
      <w:r w:rsidRPr="00970720">
        <w:rPr>
          <w:b/>
        </w:rPr>
        <w:t>Important:  Wear a mask and eye protection when performing this procedure.</w:t>
      </w:r>
      <w:r w:rsidR="00753CD0" w:rsidRPr="00970720">
        <w:rPr>
          <w:b/>
        </w:rPr>
        <w:t xml:space="preserve"> An appropriately placed splash shield may be used alternatively to eye protection.</w:t>
      </w:r>
    </w:p>
    <w:p w14:paraId="2773D3F2" w14:textId="77777777" w:rsidR="00EB7375" w:rsidRPr="00970720" w:rsidRDefault="00EB7375" w:rsidP="00403789">
      <w:pPr>
        <w:pStyle w:val="NormalWeb"/>
        <w:ind w:left="360"/>
      </w:pPr>
      <w:r w:rsidRPr="00970720">
        <w:t xml:space="preserve">1. Gather the following items that you need to collect your nasopharyngeal sample: </w:t>
      </w:r>
    </w:p>
    <w:p w14:paraId="33CF7F78" w14:textId="77777777" w:rsidR="00EB7375" w:rsidRPr="00970720" w:rsidRDefault="00EB7375" w:rsidP="00403789">
      <w:pPr>
        <w:pStyle w:val="NormalWeb"/>
        <w:ind w:left="720"/>
      </w:pPr>
      <w:r w:rsidRPr="00970720">
        <w:t xml:space="preserve">a. Gloves </w:t>
      </w:r>
    </w:p>
    <w:p w14:paraId="0AB1C29B" w14:textId="71B4DA90" w:rsidR="00EB7375" w:rsidRPr="00970720" w:rsidRDefault="00EB7375" w:rsidP="00403789">
      <w:pPr>
        <w:pStyle w:val="NormalWeb"/>
        <w:ind w:left="720"/>
      </w:pPr>
      <w:r w:rsidRPr="00970720">
        <w:t>b. Tube containing 3 mL Universal Transport Media (3 mL)</w:t>
      </w:r>
      <w:r w:rsidR="009D22AB" w:rsidRPr="00970720">
        <w:t xml:space="preserve"> or 3ml 0.9% physiological saline</w:t>
      </w:r>
      <w:r w:rsidRPr="00970720">
        <w:t xml:space="preserve"> </w:t>
      </w:r>
    </w:p>
    <w:p w14:paraId="31591AE9" w14:textId="77777777" w:rsidR="00EB7375" w:rsidRPr="00970720" w:rsidRDefault="00EB7375" w:rsidP="00403789">
      <w:pPr>
        <w:pStyle w:val="NormalWeb"/>
        <w:ind w:left="720"/>
      </w:pPr>
      <w:r w:rsidRPr="00970720">
        <w:t xml:space="preserve">c. Appropriate sterile swab </w:t>
      </w:r>
    </w:p>
    <w:p w14:paraId="71553E1D" w14:textId="77777777" w:rsidR="00EB7375" w:rsidRPr="00970720" w:rsidRDefault="00EB7375" w:rsidP="00403789">
      <w:pPr>
        <w:pStyle w:val="NormalWeb"/>
        <w:ind w:left="720"/>
      </w:pPr>
      <w:r w:rsidRPr="00970720">
        <w:t xml:space="preserve">d. Nasal tissues </w:t>
      </w:r>
    </w:p>
    <w:p w14:paraId="2F786AA9" w14:textId="77777777" w:rsidR="00EB7375" w:rsidRPr="00970720" w:rsidRDefault="00EB7375" w:rsidP="00403789">
      <w:pPr>
        <w:pStyle w:val="NormalWeb"/>
        <w:ind w:left="360"/>
      </w:pPr>
      <w:r w:rsidRPr="00970720">
        <w:t xml:space="preserve">2. Identify the patient according to the established protocols. </w:t>
      </w:r>
    </w:p>
    <w:p w14:paraId="2BEF9F1E" w14:textId="77777777" w:rsidR="00EB7375" w:rsidRPr="00970720" w:rsidRDefault="00EB7375" w:rsidP="00403789">
      <w:pPr>
        <w:pStyle w:val="NormalWeb"/>
        <w:ind w:left="360"/>
      </w:pPr>
      <w:r w:rsidRPr="00970720">
        <w:t xml:space="preserve">3. Explain the purpose and steps of the procedure to the patient. </w:t>
      </w:r>
    </w:p>
    <w:p w14:paraId="12C404D6" w14:textId="77777777" w:rsidR="00EB7375" w:rsidRPr="00970720" w:rsidRDefault="00EB7375" w:rsidP="00403789">
      <w:pPr>
        <w:pStyle w:val="NormalWeb"/>
        <w:ind w:left="360"/>
      </w:pPr>
      <w:r w:rsidRPr="00970720">
        <w:t xml:space="preserve">4. Wash hands and don gloves. </w:t>
      </w:r>
    </w:p>
    <w:p w14:paraId="5E59970E" w14:textId="77777777" w:rsidR="00EB7375" w:rsidRPr="00970720" w:rsidRDefault="00EB7375" w:rsidP="00403789">
      <w:pPr>
        <w:pStyle w:val="NormalWeb"/>
        <w:ind w:left="360"/>
      </w:pPr>
      <w:r w:rsidRPr="00970720">
        <w:t xml:space="preserve">5. Ask the patient to blow his/her nose into a tissue. </w:t>
      </w:r>
    </w:p>
    <w:p w14:paraId="425C7642" w14:textId="77777777" w:rsidR="00EB7375" w:rsidRPr="00970720" w:rsidRDefault="00EB7375" w:rsidP="00403789">
      <w:pPr>
        <w:pStyle w:val="NormalWeb"/>
        <w:ind w:left="360"/>
      </w:pPr>
      <w:r w:rsidRPr="00970720">
        <w:t xml:space="preserve">6. Place the patient in a seated position with head against a fixed object (e.g., a wall) to prevent patient from pulling away during the sample collection procedure. </w:t>
      </w:r>
    </w:p>
    <w:p w14:paraId="31BFB17C" w14:textId="77777777" w:rsidR="00EB7375" w:rsidRPr="00970720" w:rsidRDefault="00EB7375" w:rsidP="00403789">
      <w:pPr>
        <w:pStyle w:val="NormalWeb"/>
        <w:ind w:left="360"/>
      </w:pPr>
      <w:r w:rsidRPr="00970720">
        <w:t xml:space="preserve">7. Tilt the patient’s head back at </w:t>
      </w:r>
      <w:r w:rsidR="00793757" w:rsidRPr="00970720">
        <w:t>70-degree</w:t>
      </w:r>
      <w:r w:rsidRPr="00970720">
        <w:t xml:space="preserve"> angle. </w:t>
      </w:r>
    </w:p>
    <w:p w14:paraId="5D7B9BF4" w14:textId="77777777" w:rsidR="00EB7375" w:rsidRPr="00970720" w:rsidRDefault="00EB7375" w:rsidP="00403789">
      <w:pPr>
        <w:pStyle w:val="NormalWeb"/>
        <w:ind w:left="360"/>
      </w:pPr>
      <w:r w:rsidRPr="00970720">
        <w:t xml:space="preserve">8. Open the sterile swab, insert it into one nostril and aim straight back (not upwards). Continue along the floor of the nasal passage for several centimeters until reaching the nasopharynx region (resistance will be met). Do not force the swab. If an obstruction is met, before reaching the nasopharynx, remove the swab and try the other nostril. </w:t>
      </w:r>
    </w:p>
    <w:p w14:paraId="40082D8D" w14:textId="77777777" w:rsidR="00EB7375" w:rsidRPr="00970720" w:rsidRDefault="00EB7375" w:rsidP="00403789">
      <w:pPr>
        <w:pStyle w:val="NormalWeb"/>
        <w:ind w:left="360"/>
      </w:pPr>
      <w:r w:rsidRPr="00970720">
        <w:lastRenderedPageBreak/>
        <w:t xml:space="preserve">Note: The distance from the nose to the ear gives an estimate of the distance the swab should be inserted. </w:t>
      </w:r>
    </w:p>
    <w:p w14:paraId="4A4DED60" w14:textId="77777777" w:rsidR="00EB7375" w:rsidRPr="00970720" w:rsidRDefault="00EB7375" w:rsidP="00403789">
      <w:pPr>
        <w:pStyle w:val="NormalWeb"/>
        <w:ind w:left="360"/>
      </w:pPr>
      <w:r w:rsidRPr="00970720">
        <w:t xml:space="preserve">9. Gently rotate the swab for 5-10 seconds to loosen epithelial cells. </w:t>
      </w:r>
    </w:p>
    <w:p w14:paraId="4E22B6D6" w14:textId="77777777" w:rsidR="00EB7375" w:rsidRPr="00970720" w:rsidRDefault="00EB7375" w:rsidP="00403789">
      <w:pPr>
        <w:pStyle w:val="NormalWeb"/>
        <w:ind w:left="360"/>
      </w:pPr>
      <w:r w:rsidRPr="00970720">
        <w:t xml:space="preserve">10. Remove the swab and immediately insert the swab into the transport media tube, placing the swab head at least ½ inch below the surface of the media.  </w:t>
      </w:r>
    </w:p>
    <w:p w14:paraId="7A8631D3" w14:textId="77777777" w:rsidR="00EB7375" w:rsidRPr="00970720" w:rsidRDefault="00EB7375" w:rsidP="00403789">
      <w:pPr>
        <w:pStyle w:val="NormalWeb"/>
        <w:ind w:left="360"/>
      </w:pPr>
      <w:r w:rsidRPr="00970720">
        <w:t xml:space="preserve">11. Break the swab shaft and leave the swab in the tube. Attach the cap securely.  </w:t>
      </w:r>
    </w:p>
    <w:p w14:paraId="2BBBDAA9" w14:textId="77777777" w:rsidR="00EB7375" w:rsidRPr="00970720" w:rsidRDefault="00EB7375" w:rsidP="00403789">
      <w:pPr>
        <w:pStyle w:val="NormalWeb"/>
        <w:ind w:left="360"/>
      </w:pPr>
      <w:r w:rsidRPr="00970720">
        <w:t xml:space="preserve">12. Label the specimen according to established policies. </w:t>
      </w:r>
    </w:p>
    <w:p w14:paraId="7BB87779" w14:textId="77777777" w:rsidR="00EB7375" w:rsidRPr="00970720" w:rsidRDefault="00EB7375" w:rsidP="00403789">
      <w:pPr>
        <w:pStyle w:val="NormalWeb"/>
        <w:ind w:left="360"/>
      </w:pPr>
      <w:r w:rsidRPr="00970720">
        <w:t xml:space="preserve">13. Remove and discard gloves and wash hands according to established policies and procedures. </w:t>
      </w:r>
    </w:p>
    <w:p w14:paraId="190DEDF4" w14:textId="3D72E87B" w:rsidR="00F5524C" w:rsidRPr="00403789" w:rsidRDefault="00F5524C" w:rsidP="00403789">
      <w:pPr>
        <w:ind w:left="360"/>
        <w:rPr>
          <w:b/>
          <w:u w:val="single"/>
        </w:rPr>
      </w:pPr>
      <w:r w:rsidRPr="00403789">
        <w:rPr>
          <w:b/>
          <w:u w:val="single"/>
        </w:rPr>
        <w:t xml:space="preserve">Nasal Sample Collection Procedure: </w:t>
      </w:r>
    </w:p>
    <w:p w14:paraId="4082F92D" w14:textId="77777777" w:rsidR="00AB0693" w:rsidRPr="00970720" w:rsidRDefault="00F5524C" w:rsidP="00403789">
      <w:pPr>
        <w:pStyle w:val="NormalWeb"/>
        <w:ind w:left="360"/>
        <w:rPr>
          <w:b/>
        </w:rPr>
      </w:pPr>
      <w:r w:rsidRPr="00970720">
        <w:rPr>
          <w:b/>
        </w:rPr>
        <w:t>Important:  Wear a mask and eye protection when performing this procedure.</w:t>
      </w:r>
    </w:p>
    <w:p w14:paraId="46698EE2" w14:textId="7963BAFB" w:rsidR="00AB0693" w:rsidRPr="00403789" w:rsidRDefault="00403789" w:rsidP="00403789">
      <w:pPr>
        <w:pStyle w:val="NormalWeb"/>
        <w:ind w:left="360"/>
        <w:rPr>
          <w:b/>
        </w:rPr>
      </w:pPr>
      <w:r>
        <w:t xml:space="preserve">1. </w:t>
      </w:r>
      <w:r w:rsidR="00AB0693" w:rsidRPr="00970720">
        <w:t xml:space="preserve">Using a flocked or spun polyester swab, insert the entire absorbent tip of the swab (usually ½ to ¾ of an inch (1 to 1.5 cm) inside the nostril and firmly sample the nasal wall by rotating the swab in a circular path against the nasal wall at least 4 times. </w:t>
      </w:r>
    </w:p>
    <w:p w14:paraId="681B13F5" w14:textId="7967F066" w:rsidR="00AB0693" w:rsidRPr="00403789" w:rsidRDefault="00403789" w:rsidP="00403789">
      <w:pPr>
        <w:pStyle w:val="NormalWeb"/>
        <w:ind w:left="360"/>
        <w:rPr>
          <w:b/>
        </w:rPr>
      </w:pPr>
      <w:r>
        <w:t xml:space="preserve">2. </w:t>
      </w:r>
      <w:r w:rsidR="00AB0693" w:rsidRPr="00970720">
        <w:t xml:space="preserve">Take approximately 15 seconds to collect the sample. </w:t>
      </w:r>
    </w:p>
    <w:p w14:paraId="04B8D01B" w14:textId="1AA0FFFA" w:rsidR="00AB0693" w:rsidRPr="00403789" w:rsidRDefault="00403789" w:rsidP="00403789">
      <w:pPr>
        <w:pStyle w:val="NormalWeb"/>
        <w:ind w:left="360"/>
        <w:rPr>
          <w:b/>
        </w:rPr>
      </w:pPr>
      <w:r>
        <w:t xml:space="preserve">3. </w:t>
      </w:r>
      <w:r w:rsidR="00AB0693" w:rsidRPr="00970720">
        <w:t>Be sure to collect any nasal drainage that may be present on the swab.</w:t>
      </w:r>
    </w:p>
    <w:p w14:paraId="781B4B1A" w14:textId="31174FCC" w:rsidR="00F5524C" w:rsidRPr="00403789" w:rsidRDefault="00403789" w:rsidP="00403789">
      <w:pPr>
        <w:pStyle w:val="NormalWeb"/>
        <w:ind w:left="360"/>
        <w:rPr>
          <w:b/>
        </w:rPr>
      </w:pPr>
      <w:r>
        <w:t>4.</w:t>
      </w:r>
      <w:r w:rsidR="00AB0693" w:rsidRPr="00970720">
        <w:t xml:space="preserve"> Sample both nostrils with same swab.</w:t>
      </w:r>
    </w:p>
    <w:p w14:paraId="5AAA9BC9" w14:textId="77777777" w:rsidR="00F5524C" w:rsidRPr="00970720" w:rsidRDefault="00F5524C" w:rsidP="00F5524C">
      <w:pPr>
        <w:rPr>
          <w:b/>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0"/>
      </w:tblGrid>
      <w:tr w:rsidR="005316ED" w:rsidRPr="00970720" w14:paraId="631FA138" w14:textId="77777777" w:rsidTr="008C1ECC">
        <w:trPr>
          <w:trHeight w:val="965"/>
        </w:trPr>
        <w:tc>
          <w:tcPr>
            <w:tcW w:w="10120" w:type="dxa"/>
            <w:tcBorders>
              <w:top w:val="nil"/>
              <w:left w:val="nil"/>
              <w:bottom w:val="nil"/>
              <w:right w:val="nil"/>
            </w:tcBorders>
          </w:tcPr>
          <w:p w14:paraId="22DB1B85" w14:textId="6C7A7800" w:rsidR="005316ED" w:rsidRPr="00970720" w:rsidRDefault="00650921" w:rsidP="00A62C4B">
            <w:pPr>
              <w:ind w:left="288"/>
              <w:rPr>
                <w:b/>
              </w:rPr>
            </w:pPr>
            <w:r w:rsidRPr="00970720">
              <w:rPr>
                <w:b/>
              </w:rPr>
              <w:t xml:space="preserve">B. </w:t>
            </w:r>
            <w:r w:rsidR="005316ED" w:rsidRPr="00970720">
              <w:rPr>
                <w:b/>
              </w:rPr>
              <w:t>REJECTION:</w:t>
            </w:r>
          </w:p>
          <w:p w14:paraId="233A9ECF" w14:textId="77777777" w:rsidR="001130E9" w:rsidRPr="00970720" w:rsidRDefault="001130E9" w:rsidP="00403789">
            <w:pPr>
              <w:pStyle w:val="NormalWeb"/>
              <w:ind w:left="525"/>
            </w:pPr>
            <w:r w:rsidRPr="00970720">
              <w:t xml:space="preserve">The following are rejection criteria for nasopharyngeal samples: </w:t>
            </w:r>
          </w:p>
          <w:p w14:paraId="2B00E020" w14:textId="249C370C" w:rsidR="001130E9" w:rsidRPr="00970720" w:rsidRDefault="001130E9" w:rsidP="00403789">
            <w:pPr>
              <w:pStyle w:val="NormalWeb"/>
              <w:numPr>
                <w:ilvl w:val="0"/>
                <w:numId w:val="15"/>
              </w:numPr>
            </w:pPr>
            <w:r w:rsidRPr="00970720">
              <w:t xml:space="preserve">Improper transport media </w:t>
            </w:r>
          </w:p>
          <w:p w14:paraId="04C84309" w14:textId="58035ED0" w:rsidR="001130E9" w:rsidRPr="00970720" w:rsidRDefault="001130E9" w:rsidP="00403789">
            <w:pPr>
              <w:pStyle w:val="NormalWeb"/>
              <w:numPr>
                <w:ilvl w:val="0"/>
                <w:numId w:val="15"/>
              </w:numPr>
            </w:pPr>
            <w:r w:rsidRPr="00970720">
              <w:t xml:space="preserve">Leaky transport tube </w:t>
            </w:r>
          </w:p>
          <w:p w14:paraId="48878293" w14:textId="145941F5" w:rsidR="001130E9" w:rsidRPr="00970720" w:rsidRDefault="001130E9" w:rsidP="00403789">
            <w:pPr>
              <w:pStyle w:val="NormalWeb"/>
              <w:numPr>
                <w:ilvl w:val="0"/>
                <w:numId w:val="15"/>
              </w:numPr>
            </w:pPr>
            <w:r w:rsidRPr="00970720">
              <w:t xml:space="preserve">Improper storage of sample </w:t>
            </w:r>
          </w:p>
          <w:p w14:paraId="118ADDC7" w14:textId="3F44192A" w:rsidR="001130E9" w:rsidRPr="00970720" w:rsidRDefault="001130E9" w:rsidP="00403789">
            <w:pPr>
              <w:pStyle w:val="NormalWeb"/>
              <w:numPr>
                <w:ilvl w:val="0"/>
                <w:numId w:val="15"/>
              </w:numPr>
            </w:pPr>
            <w:r w:rsidRPr="00970720">
              <w:t xml:space="preserve">Incorrect swab used for </w:t>
            </w:r>
            <w:r w:rsidR="002B64B7" w:rsidRPr="00970720">
              <w:t xml:space="preserve">sample </w:t>
            </w:r>
            <w:r w:rsidRPr="00970720">
              <w:t>collection</w:t>
            </w:r>
          </w:p>
          <w:p w14:paraId="100A3D15" w14:textId="32862CD6" w:rsidR="001130E9" w:rsidRPr="00970720" w:rsidRDefault="001130E9" w:rsidP="00403789">
            <w:pPr>
              <w:pStyle w:val="NormalWeb"/>
              <w:numPr>
                <w:ilvl w:val="0"/>
                <w:numId w:val="15"/>
              </w:numPr>
            </w:pPr>
            <w:r w:rsidRPr="00970720">
              <w:t xml:space="preserve">Mislabeled sample  </w:t>
            </w:r>
          </w:p>
          <w:p w14:paraId="510C577A" w14:textId="21181713" w:rsidR="008C1ECC" w:rsidRPr="00970720" w:rsidRDefault="001130E9" w:rsidP="00403789">
            <w:pPr>
              <w:pStyle w:val="NormalWeb"/>
              <w:numPr>
                <w:ilvl w:val="0"/>
                <w:numId w:val="15"/>
              </w:numPr>
            </w:pPr>
            <w:r w:rsidRPr="00970720">
              <w:t xml:space="preserve">Improper </w:t>
            </w:r>
            <w:r w:rsidR="002B64B7" w:rsidRPr="00970720">
              <w:t xml:space="preserve">sample </w:t>
            </w:r>
            <w:r w:rsidRPr="00970720">
              <w:t>collectio</w:t>
            </w:r>
            <w:r w:rsidR="002B64B7" w:rsidRPr="00970720">
              <w:t>n</w:t>
            </w:r>
            <w:r w:rsidRPr="00970720">
              <w:t xml:space="preserve"> </w:t>
            </w:r>
          </w:p>
        </w:tc>
      </w:tr>
    </w:tbl>
    <w:p w14:paraId="3656B9AB" w14:textId="77777777" w:rsidR="005316ED" w:rsidRPr="00970720" w:rsidRDefault="005316ED" w:rsidP="00FB2F4D">
      <w:pPr>
        <w:rPr>
          <w:b/>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5316ED" w:rsidRPr="00970720" w14:paraId="424C591F" w14:textId="77777777" w:rsidTr="00403789">
        <w:tc>
          <w:tcPr>
            <w:tcW w:w="10260" w:type="dxa"/>
            <w:tcBorders>
              <w:top w:val="nil"/>
              <w:left w:val="nil"/>
              <w:bottom w:val="nil"/>
              <w:right w:val="nil"/>
            </w:tcBorders>
          </w:tcPr>
          <w:p w14:paraId="46BA4C7D" w14:textId="18EC4F81" w:rsidR="005316ED" w:rsidRPr="00970720" w:rsidRDefault="00650921" w:rsidP="00A62C4B">
            <w:pPr>
              <w:ind w:left="288"/>
              <w:rPr>
                <w:b/>
              </w:rPr>
            </w:pPr>
            <w:r w:rsidRPr="00970720">
              <w:rPr>
                <w:b/>
              </w:rPr>
              <w:t xml:space="preserve">C. </w:t>
            </w:r>
            <w:r w:rsidR="005316ED" w:rsidRPr="00970720">
              <w:rPr>
                <w:b/>
              </w:rPr>
              <w:t>STORAGE AND PRESERVATION:</w:t>
            </w:r>
          </w:p>
        </w:tc>
      </w:tr>
    </w:tbl>
    <w:p w14:paraId="45FB0818" w14:textId="77777777" w:rsidR="005316ED" w:rsidRPr="00970720" w:rsidRDefault="005316ED" w:rsidP="005316ED">
      <w:pPr>
        <w:rPr>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FE7EDB" w:rsidRPr="00970720" w14:paraId="13E68394" w14:textId="77777777" w:rsidTr="06CD56B4">
        <w:tc>
          <w:tcPr>
            <w:tcW w:w="9864" w:type="dxa"/>
            <w:tcBorders>
              <w:top w:val="nil"/>
              <w:left w:val="nil"/>
              <w:bottom w:val="nil"/>
              <w:right w:val="nil"/>
            </w:tcBorders>
          </w:tcPr>
          <w:p w14:paraId="60403714" w14:textId="77777777" w:rsidR="001130E9" w:rsidRPr="00970720" w:rsidRDefault="001130E9" w:rsidP="00403789">
            <w:pPr>
              <w:pStyle w:val="NormalWeb"/>
              <w:ind w:left="240"/>
            </w:pPr>
            <w:r w:rsidRPr="00970720">
              <w:t xml:space="preserve">The following are guidelines for storage and handling of nasopharyngeal samples: </w:t>
            </w:r>
          </w:p>
          <w:p w14:paraId="16DAD924" w14:textId="2A751AFD" w:rsidR="00793757" w:rsidRPr="00970720" w:rsidRDefault="06CD56B4" w:rsidP="00403789">
            <w:pPr>
              <w:autoSpaceDE w:val="0"/>
              <w:autoSpaceDN w:val="0"/>
              <w:adjustRightInd w:val="0"/>
              <w:ind w:left="240"/>
            </w:pPr>
            <w:r w:rsidRPr="00970720">
              <w:t xml:space="preserve">Specimen transferred into the </w:t>
            </w:r>
            <w:proofErr w:type="spellStart"/>
            <w:r w:rsidRPr="00C83301">
              <w:rPr>
                <w:bCs/>
              </w:rPr>
              <w:t>cobas</w:t>
            </w:r>
            <w:proofErr w:type="spellEnd"/>
            <w:r w:rsidRPr="00970720">
              <w:t xml:space="preserve">® SARS-CoV-2 &amp; Influenza A/B assay tube should be run as soon as possible on the Analyzer. Once the sample has been added to the </w:t>
            </w:r>
            <w:proofErr w:type="spellStart"/>
            <w:r w:rsidRPr="00C83301">
              <w:rPr>
                <w:bCs/>
              </w:rPr>
              <w:t>cobas</w:t>
            </w:r>
            <w:proofErr w:type="spellEnd"/>
            <w:r w:rsidRPr="00970720">
              <w:t>® SARS-CoV-2 &amp; Influenza A/B assay tube it may be stored at room temperature for up to 4 hours.</w:t>
            </w:r>
          </w:p>
          <w:p w14:paraId="0C1783DB" w14:textId="02AB4D33" w:rsidR="00793757" w:rsidRPr="00970720" w:rsidRDefault="06CD56B4" w:rsidP="00403789">
            <w:pPr>
              <w:autoSpaceDE w:val="0"/>
              <w:autoSpaceDN w:val="0"/>
              <w:adjustRightInd w:val="0"/>
              <w:ind w:left="330"/>
            </w:pPr>
            <w:r w:rsidRPr="00970720">
              <w:lastRenderedPageBreak/>
              <w:t>Specimens collected in transport media (UTM or UVT, M4, M4RT, M5 and M6) may be stored up to 4 hours at room temperature or up to 72 hours at 2-8°C if immediate testing is not possible. Freezing at -70°C or colder (and transportation on dry ice) is required for specimen storage or transportation beyond 72 hours prior to the specimen being added to the assay tube for testing.</w:t>
            </w:r>
          </w:p>
          <w:p w14:paraId="57A10B50" w14:textId="5FFCAC75" w:rsidR="002B64B7" w:rsidRPr="00970720" w:rsidRDefault="002B64B7" w:rsidP="00403789">
            <w:pPr>
              <w:autoSpaceDE w:val="0"/>
              <w:autoSpaceDN w:val="0"/>
              <w:adjustRightInd w:val="0"/>
              <w:ind w:left="330"/>
            </w:pPr>
            <w:r w:rsidRPr="00970720">
              <w:t>Specimens collected in 0.9% physiological saline solution may be stored up to 4 hours at room temperature or up to 72 hours at 2-8°C if immediate testing is not possible.</w:t>
            </w:r>
          </w:p>
          <w:p w14:paraId="62486C05" w14:textId="35389E60" w:rsidR="00FE7EDB" w:rsidRPr="00970720" w:rsidRDefault="001130E9" w:rsidP="00403789">
            <w:pPr>
              <w:autoSpaceDE w:val="0"/>
              <w:autoSpaceDN w:val="0"/>
              <w:adjustRightInd w:val="0"/>
              <w:ind w:left="330"/>
            </w:pPr>
            <w:r w:rsidRPr="00970720">
              <w:t xml:space="preserve">All applicable transport regulations should be met </w:t>
            </w:r>
            <w:r w:rsidR="00793757" w:rsidRPr="00970720">
              <w:t>regarding</w:t>
            </w:r>
            <w:r w:rsidRPr="00970720">
              <w:t xml:space="preserve"> transportation of etiologic agents. </w:t>
            </w:r>
          </w:p>
        </w:tc>
      </w:tr>
    </w:tbl>
    <w:p w14:paraId="1299C43A" w14:textId="77777777" w:rsidR="00270399" w:rsidRPr="00970720" w:rsidRDefault="00270399" w:rsidP="00FB2F4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7"/>
      </w:tblGrid>
      <w:tr w:rsidR="005316ED" w:rsidRPr="00970720" w14:paraId="6789508A" w14:textId="77777777" w:rsidTr="00270399">
        <w:trPr>
          <w:trHeight w:val="2117"/>
        </w:trPr>
        <w:tc>
          <w:tcPr>
            <w:tcW w:w="9847" w:type="dxa"/>
            <w:tcBorders>
              <w:top w:val="nil"/>
              <w:left w:val="nil"/>
              <w:bottom w:val="nil"/>
              <w:right w:val="nil"/>
            </w:tcBorders>
          </w:tcPr>
          <w:p w14:paraId="4DDBEF00" w14:textId="43464745" w:rsidR="005C04BB" w:rsidRDefault="00650921" w:rsidP="00403789">
            <w:pPr>
              <w:ind w:left="345"/>
              <w:rPr>
                <w:b/>
              </w:rPr>
            </w:pPr>
            <w:r w:rsidRPr="00970720">
              <w:rPr>
                <w:b/>
              </w:rPr>
              <w:t xml:space="preserve">4. </w:t>
            </w:r>
            <w:r w:rsidR="005316ED" w:rsidRPr="00970720">
              <w:rPr>
                <w:b/>
              </w:rPr>
              <w:t>REAGENTS, STANDARDS, AND CONTROLS:</w:t>
            </w:r>
          </w:p>
          <w:p w14:paraId="7A28EC78" w14:textId="7A3D7B15" w:rsidR="00281397" w:rsidRPr="00970720" w:rsidRDefault="00281397" w:rsidP="00281397">
            <w:pPr>
              <w:ind w:left="615"/>
              <w:rPr>
                <w:b/>
              </w:rPr>
            </w:pPr>
            <w:r>
              <w:rPr>
                <w:b/>
              </w:rPr>
              <w:t>A. REAGENTS:</w:t>
            </w:r>
          </w:p>
          <w:p w14:paraId="43CF4FA2" w14:textId="392BC455" w:rsidR="0099723F" w:rsidRPr="00970720" w:rsidRDefault="00AB0693" w:rsidP="00403789">
            <w:pPr>
              <w:pStyle w:val="NormalWeb"/>
              <w:ind w:left="615"/>
            </w:pPr>
            <w:r w:rsidRPr="00970720">
              <w:t xml:space="preserve">1. </w:t>
            </w:r>
            <w:proofErr w:type="spellStart"/>
            <w:r w:rsidRPr="00970720">
              <w:t>cobas</w:t>
            </w:r>
            <w:proofErr w:type="spellEnd"/>
            <w:r w:rsidRPr="00970720">
              <w:t xml:space="preserve">® </w:t>
            </w:r>
            <w:proofErr w:type="spellStart"/>
            <w:r w:rsidRPr="00970720">
              <w:t>L</w:t>
            </w:r>
            <w:r w:rsidR="0099723F" w:rsidRPr="00970720">
              <w:t>iat</w:t>
            </w:r>
            <w:proofErr w:type="spellEnd"/>
            <w:r w:rsidR="0099723F" w:rsidRPr="00970720">
              <w:t xml:space="preserve">® assay Quality Control Kit </w:t>
            </w:r>
          </w:p>
          <w:p w14:paraId="2FE31E98" w14:textId="77777777" w:rsidR="0099723F" w:rsidRPr="00970720" w:rsidRDefault="0099723F" w:rsidP="00403789">
            <w:pPr>
              <w:pStyle w:val="NormalWeb"/>
              <w:ind w:left="615"/>
            </w:pPr>
            <w:r w:rsidRPr="00970720">
              <w:t xml:space="preserve">2. Lot-specific Negative Control Barcode Card from the QC kit </w:t>
            </w:r>
          </w:p>
          <w:p w14:paraId="42040B28" w14:textId="77777777" w:rsidR="0099723F" w:rsidRPr="00970720" w:rsidRDefault="0099723F" w:rsidP="00403789">
            <w:pPr>
              <w:pStyle w:val="NormalWeb"/>
              <w:ind w:left="615"/>
            </w:pPr>
            <w:r w:rsidRPr="00970720">
              <w:t xml:space="preserve">3. Lot-specific Positive Control Barcode Card from the QC kit </w:t>
            </w:r>
          </w:p>
          <w:p w14:paraId="74E04656" w14:textId="77777777" w:rsidR="0099723F" w:rsidRPr="00970720" w:rsidRDefault="0099723F" w:rsidP="00403789">
            <w:pPr>
              <w:pStyle w:val="NormalWeb"/>
              <w:ind w:left="615"/>
            </w:pPr>
            <w:r w:rsidRPr="00970720">
              <w:t xml:space="preserve">4. Two </w:t>
            </w:r>
            <w:proofErr w:type="spellStart"/>
            <w:r w:rsidRPr="00970720">
              <w:t>cobas</w:t>
            </w:r>
            <w:proofErr w:type="spellEnd"/>
            <w:r w:rsidRPr="00970720">
              <w:t xml:space="preserve">® </w:t>
            </w:r>
            <w:proofErr w:type="spellStart"/>
            <w:r w:rsidRPr="00970720">
              <w:t>Liat</w:t>
            </w:r>
            <w:proofErr w:type="spellEnd"/>
            <w:r w:rsidRPr="00970720">
              <w:t xml:space="preserve">® assay tubes with sleeves on from the test kit you are using (leave the sleeve on the tube until you are ready to insert the tube into the analyzer tube slot) </w:t>
            </w:r>
          </w:p>
          <w:p w14:paraId="74863286" w14:textId="77777777" w:rsidR="0099723F" w:rsidRPr="00970720" w:rsidRDefault="0099723F" w:rsidP="00403789">
            <w:pPr>
              <w:pStyle w:val="NormalWeb"/>
              <w:ind w:left="615"/>
            </w:pPr>
            <w:r w:rsidRPr="00970720">
              <w:t xml:space="preserve">5. 200 µL pipettes from the QC kit and the </w:t>
            </w:r>
            <w:proofErr w:type="spellStart"/>
            <w:r w:rsidRPr="00970720">
              <w:t>cobas</w:t>
            </w:r>
            <w:proofErr w:type="spellEnd"/>
            <w:r w:rsidRPr="00970720">
              <w:t xml:space="preserve">® </w:t>
            </w:r>
            <w:proofErr w:type="spellStart"/>
            <w:r w:rsidRPr="00970720">
              <w:t>Liat</w:t>
            </w:r>
            <w:proofErr w:type="spellEnd"/>
            <w:r w:rsidRPr="00970720">
              <w:t xml:space="preserve">® assay tube pouch </w:t>
            </w:r>
          </w:p>
          <w:p w14:paraId="29251330" w14:textId="77777777" w:rsidR="0099723F" w:rsidRPr="00970720" w:rsidRDefault="0099723F" w:rsidP="00403789">
            <w:pPr>
              <w:pStyle w:val="NormalWeb"/>
              <w:ind w:left="615"/>
            </w:pPr>
            <w:r w:rsidRPr="00970720">
              <w:t xml:space="preserve">6. </w:t>
            </w:r>
            <w:r w:rsidR="00151BD0" w:rsidRPr="00970720">
              <w:t>One</w:t>
            </w:r>
            <w:r w:rsidRPr="00970720">
              <w:t xml:space="preserve"> sample dilution medium tube from the QC kit </w:t>
            </w:r>
            <w:r w:rsidR="00151BD0" w:rsidRPr="00970720">
              <w:t>(UTM).</w:t>
            </w:r>
            <w:r w:rsidRPr="00970720">
              <w:t xml:space="preserve">  </w:t>
            </w:r>
          </w:p>
          <w:p w14:paraId="2087D80F" w14:textId="16297A76" w:rsidR="0099723F" w:rsidRPr="00970720" w:rsidRDefault="0099723F" w:rsidP="00403789">
            <w:pPr>
              <w:pStyle w:val="NormalWeb"/>
              <w:ind w:left="615"/>
            </w:pPr>
            <w:r w:rsidRPr="00970720">
              <w:t xml:space="preserve">7. One positive control tube containing a pellet of dried chemically-inactivated Influenza A/B </w:t>
            </w:r>
            <w:r w:rsidR="00151BD0" w:rsidRPr="00970720">
              <w:t>and one positive control tube containing liquid SARS-Cov-2</w:t>
            </w:r>
            <w:r w:rsidR="00AC7691" w:rsidRPr="00970720">
              <w:t xml:space="preserve"> control.</w:t>
            </w:r>
          </w:p>
          <w:p w14:paraId="3CF2D8B6" w14:textId="71A6AFE0" w:rsidR="00270399" w:rsidRPr="00970720" w:rsidRDefault="0099723F" w:rsidP="00403789">
            <w:pPr>
              <w:pStyle w:val="NormalWeb"/>
              <w:ind w:left="615"/>
            </w:pPr>
            <w:r w:rsidRPr="00970720">
              <w:t>8. O</w:t>
            </w:r>
            <w:r w:rsidR="00753CD0" w:rsidRPr="00970720">
              <w:t>p</w:t>
            </w:r>
            <w:r w:rsidRPr="00970720">
              <w:t xml:space="preserve">erational </w:t>
            </w:r>
            <w:proofErr w:type="spellStart"/>
            <w:r w:rsidRPr="00970720">
              <w:t>cobas</w:t>
            </w:r>
            <w:proofErr w:type="spellEnd"/>
            <w:r w:rsidRPr="00970720">
              <w:t xml:space="preserve">® </w:t>
            </w:r>
            <w:proofErr w:type="spellStart"/>
            <w:r w:rsidRPr="00970720">
              <w:t>Liat</w:t>
            </w:r>
            <w:proofErr w:type="spellEnd"/>
            <w:r w:rsidRPr="00970720">
              <w:t xml:space="preserve">® Analyzer </w:t>
            </w:r>
          </w:p>
        </w:tc>
      </w:tr>
    </w:tbl>
    <w:p w14:paraId="4F893A9F" w14:textId="77777777" w:rsidR="00270399" w:rsidRPr="00970720" w:rsidRDefault="00270399" w:rsidP="00452E37">
      <w:pPr>
        <w:ind w:left="720"/>
        <w:rPr>
          <w:b/>
        </w:rPr>
      </w:pPr>
      <w:r w:rsidRPr="00970720">
        <w:rPr>
          <w:b/>
        </w:rPr>
        <w:t>Do not mix components from one kit with another.</w:t>
      </w:r>
    </w:p>
    <w:p w14:paraId="1FC39945" w14:textId="77777777" w:rsidR="00270399" w:rsidRPr="00970720" w:rsidRDefault="00270399" w:rsidP="005316E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5316ED" w:rsidRPr="00970720" w14:paraId="7D83FF66" w14:textId="77777777" w:rsidTr="00A62C4B">
        <w:tc>
          <w:tcPr>
            <w:tcW w:w="4248" w:type="dxa"/>
            <w:tcBorders>
              <w:top w:val="nil"/>
              <w:left w:val="nil"/>
              <w:bottom w:val="nil"/>
              <w:right w:val="nil"/>
            </w:tcBorders>
          </w:tcPr>
          <w:p w14:paraId="57D987F8" w14:textId="51B73750" w:rsidR="005316ED" w:rsidRPr="00970720" w:rsidRDefault="00650921" w:rsidP="00281397">
            <w:pPr>
              <w:pStyle w:val="NormalWeb"/>
              <w:ind w:left="525"/>
              <w:rPr>
                <w:b/>
              </w:rPr>
            </w:pPr>
            <w:r w:rsidRPr="00970720">
              <w:rPr>
                <w:b/>
              </w:rPr>
              <w:t xml:space="preserve">B. </w:t>
            </w:r>
            <w:r w:rsidR="005316ED" w:rsidRPr="00970720">
              <w:rPr>
                <w:b/>
              </w:rPr>
              <w:t>CONTROL PROCEDURE:</w:t>
            </w:r>
          </w:p>
        </w:tc>
      </w:tr>
    </w:tbl>
    <w:p w14:paraId="08DA33CA" w14:textId="77777777" w:rsidR="00D34907" w:rsidRPr="00970720" w:rsidRDefault="00D34907" w:rsidP="00281397">
      <w:pPr>
        <w:pStyle w:val="NormalWeb"/>
        <w:ind w:left="720"/>
      </w:pPr>
      <w:r w:rsidRPr="00970720">
        <w:t xml:space="preserve">External Quality Control Testing Procedure </w:t>
      </w:r>
    </w:p>
    <w:p w14:paraId="5CA31AEC" w14:textId="77777777" w:rsidR="00D34907" w:rsidRPr="00970720" w:rsidRDefault="00D34907" w:rsidP="00281397">
      <w:pPr>
        <w:pStyle w:val="NormalWeb"/>
        <w:ind w:left="720"/>
      </w:pPr>
      <w:r w:rsidRPr="00970720">
        <w:rPr>
          <w:b/>
          <w:bCs/>
          <w:u w:val="single"/>
        </w:rPr>
        <w:t>Prepare a negative control sample</w:t>
      </w:r>
      <w:r w:rsidRPr="00970720">
        <w:t xml:space="preserve">. </w:t>
      </w:r>
    </w:p>
    <w:p w14:paraId="1EE21984" w14:textId="77777777" w:rsidR="00D34907" w:rsidRPr="00970720" w:rsidRDefault="00D34907" w:rsidP="00281397">
      <w:pPr>
        <w:pStyle w:val="NormalWeb"/>
        <w:ind w:left="720"/>
      </w:pPr>
      <w:r w:rsidRPr="00970720">
        <w:t xml:space="preserve">1. Take a </w:t>
      </w:r>
      <w:r w:rsidR="00AC7691" w:rsidRPr="00970720">
        <w:t xml:space="preserve">UTM </w:t>
      </w:r>
      <w:r w:rsidRPr="00970720">
        <w:t xml:space="preserve">dilution medium tube from the QC kit.  The dilution tube serves as the negative control sample. </w:t>
      </w:r>
    </w:p>
    <w:p w14:paraId="60A57306" w14:textId="77777777" w:rsidR="00D34907" w:rsidRPr="00970720" w:rsidRDefault="00D34907" w:rsidP="00281397">
      <w:pPr>
        <w:pStyle w:val="NormalWeb"/>
        <w:ind w:left="720"/>
      </w:pPr>
      <w:r w:rsidRPr="00970720">
        <w:t xml:space="preserve">2. Hold the dilution tube by the tube cap and shake down the liquid using a quick, sharp, downward wrist motion (as if shaking down a mercury thermometer). Visually check that all of the liquid is at the bottom of the tube. If not, repeat the shakedown procedure. </w:t>
      </w:r>
    </w:p>
    <w:p w14:paraId="52F5395E" w14:textId="77777777" w:rsidR="00D34907" w:rsidRPr="00970720" w:rsidRDefault="00D34907" w:rsidP="00281397">
      <w:pPr>
        <w:pStyle w:val="NormalWeb"/>
        <w:ind w:left="720"/>
        <w:rPr>
          <w:b/>
          <w:bCs/>
          <w:u w:val="single"/>
        </w:rPr>
      </w:pPr>
      <w:r w:rsidRPr="00970720">
        <w:rPr>
          <w:b/>
          <w:bCs/>
          <w:u w:val="single"/>
        </w:rPr>
        <w:t xml:space="preserve">Prepare a positive control sample </w:t>
      </w:r>
    </w:p>
    <w:p w14:paraId="5B0CC91D" w14:textId="77777777" w:rsidR="00D34907" w:rsidRPr="00970720" w:rsidRDefault="00D34907" w:rsidP="00281397">
      <w:pPr>
        <w:pStyle w:val="NormalWeb"/>
        <w:ind w:left="720"/>
      </w:pPr>
      <w:r w:rsidRPr="00970720">
        <w:t xml:space="preserve">1. Take a </w:t>
      </w:r>
      <w:r w:rsidR="00AC7691" w:rsidRPr="00970720">
        <w:t xml:space="preserve">UTM </w:t>
      </w:r>
      <w:r w:rsidRPr="00970720">
        <w:t xml:space="preserve">dilution tube from the QC kit. </w:t>
      </w:r>
    </w:p>
    <w:p w14:paraId="40F856C7" w14:textId="77777777" w:rsidR="00D34907" w:rsidRPr="00970720" w:rsidRDefault="00AC7691" w:rsidP="00281397">
      <w:pPr>
        <w:pStyle w:val="NormalWeb"/>
        <w:ind w:left="720"/>
      </w:pPr>
      <w:r w:rsidRPr="00970720">
        <w:lastRenderedPageBreak/>
        <w:t xml:space="preserve">2. </w:t>
      </w:r>
      <w:r w:rsidR="00D34907" w:rsidRPr="00970720">
        <w:t xml:space="preserve">Hold the dilution tube by the tube cap and shake down the liquid using a quick, sharp, downward wrist motion (as if shaking down a mercury thermometer) to pool the liquid at the bottom of the tube. Visually check that all of the liquid is at the bottom of the tube. If not, repeat the shakedown procedure. </w:t>
      </w:r>
    </w:p>
    <w:p w14:paraId="42ED86F6" w14:textId="77777777" w:rsidR="00D34907" w:rsidRPr="00970720" w:rsidRDefault="00AC7691" w:rsidP="00281397">
      <w:pPr>
        <w:pStyle w:val="NormalWeb"/>
        <w:ind w:left="720"/>
      </w:pPr>
      <w:r w:rsidRPr="00970720">
        <w:t>3</w:t>
      </w:r>
      <w:r w:rsidR="00D34907" w:rsidRPr="00970720">
        <w:t xml:space="preserve">. Take a Positive </w:t>
      </w:r>
      <w:r w:rsidRPr="00970720">
        <w:t xml:space="preserve">FLU A/B </w:t>
      </w:r>
      <w:r w:rsidR="00D34907" w:rsidRPr="00970720">
        <w:t xml:space="preserve">Control tube </w:t>
      </w:r>
      <w:r w:rsidRPr="00970720">
        <w:t xml:space="preserve">and a Positive SARS-Cov-2 Control tube </w:t>
      </w:r>
      <w:r w:rsidR="00D34907" w:rsidRPr="00970720">
        <w:t xml:space="preserve">from the QC kit: </w:t>
      </w:r>
    </w:p>
    <w:p w14:paraId="7290FA1E" w14:textId="77777777" w:rsidR="00D34907" w:rsidRPr="00970720" w:rsidRDefault="002978A5" w:rsidP="00281397">
      <w:pPr>
        <w:pStyle w:val="NormalWeb"/>
        <w:ind w:left="720"/>
      </w:pPr>
      <w:r w:rsidRPr="00970720">
        <w:t>4</w:t>
      </w:r>
      <w:r w:rsidR="00D34907" w:rsidRPr="00970720">
        <w:t xml:space="preserve">. Using a transfer pipette, gently transfer all the liquid from the </w:t>
      </w:r>
      <w:r w:rsidR="00AC7691" w:rsidRPr="00970720">
        <w:t>SARS-Cov-2</w:t>
      </w:r>
      <w:r w:rsidR="00D34907" w:rsidRPr="00970720">
        <w:t xml:space="preserve"> tube into the bottom of the Positive </w:t>
      </w:r>
      <w:r w:rsidR="00AC7691" w:rsidRPr="00970720">
        <w:t xml:space="preserve">Flu A/B </w:t>
      </w:r>
      <w:r w:rsidR="00D34907" w:rsidRPr="00970720">
        <w:t xml:space="preserve">Control Tube. Avoid creating bubbles in the sample. </w:t>
      </w:r>
    </w:p>
    <w:p w14:paraId="4417C70D" w14:textId="77777777" w:rsidR="00D34907" w:rsidRPr="00970720" w:rsidRDefault="002978A5" w:rsidP="00281397">
      <w:pPr>
        <w:pStyle w:val="NormalWeb"/>
        <w:ind w:left="720"/>
      </w:pPr>
      <w:r w:rsidRPr="00970720">
        <w:t>5</w:t>
      </w:r>
      <w:r w:rsidR="00D34907" w:rsidRPr="00970720">
        <w:t>. Recap the Positive Control Tube</w:t>
      </w:r>
      <w:r w:rsidR="00AC7691" w:rsidRPr="00970720">
        <w:t xml:space="preserve"> containing the mixture of FLU A/B and SARS-Cov-2</w:t>
      </w:r>
      <w:r w:rsidR="00D34907" w:rsidRPr="00970720">
        <w:t xml:space="preserve">. </w:t>
      </w:r>
    </w:p>
    <w:p w14:paraId="013227D7" w14:textId="77777777" w:rsidR="00D34907" w:rsidRPr="00970720" w:rsidRDefault="002978A5" w:rsidP="00281397">
      <w:pPr>
        <w:pStyle w:val="NormalWeb"/>
        <w:ind w:left="720"/>
      </w:pPr>
      <w:r w:rsidRPr="00970720">
        <w:t>6</w:t>
      </w:r>
      <w:r w:rsidR="00D34907" w:rsidRPr="00970720">
        <w:t xml:space="preserve">. Holding the tube by the cap, shake down the liquid in the tube using a quick, sharp, downward wrist motion. </w:t>
      </w:r>
    </w:p>
    <w:p w14:paraId="3ABFC37E" w14:textId="77777777" w:rsidR="00D34907" w:rsidRPr="00970720" w:rsidRDefault="002978A5" w:rsidP="00281397">
      <w:pPr>
        <w:pStyle w:val="NormalWeb"/>
        <w:ind w:left="720"/>
      </w:pPr>
      <w:r w:rsidRPr="00970720">
        <w:t>7</w:t>
      </w:r>
      <w:r w:rsidR="00D34907" w:rsidRPr="00970720">
        <w:t xml:space="preserve">. Allow the Positive Control Tube to sit for 5 minutes as the dried material within the tube dissolves. </w:t>
      </w:r>
    </w:p>
    <w:p w14:paraId="5A310C98" w14:textId="3C9E2074" w:rsidR="00D34907" w:rsidRPr="00970720" w:rsidRDefault="002978A5" w:rsidP="00281397">
      <w:pPr>
        <w:pStyle w:val="NormalWeb"/>
        <w:ind w:left="720"/>
      </w:pPr>
      <w:r w:rsidRPr="00970720">
        <w:t>8</w:t>
      </w:r>
      <w:r w:rsidR="00D34907" w:rsidRPr="00970720">
        <w:t xml:space="preserve">. </w:t>
      </w:r>
      <w:r w:rsidR="00D953F7" w:rsidRPr="00970720">
        <w:t>After the positive control has sat for 5 minutes, u</w:t>
      </w:r>
      <w:r w:rsidR="00D34907" w:rsidRPr="00970720">
        <w:t>s</w:t>
      </w:r>
      <w:r w:rsidR="00D953F7" w:rsidRPr="00970720">
        <w:t>e</w:t>
      </w:r>
      <w:r w:rsidR="00D34907" w:rsidRPr="00970720">
        <w:t xml:space="preserve"> a</w:t>
      </w:r>
      <w:r w:rsidR="00D953F7" w:rsidRPr="00970720">
        <w:t>nother</w:t>
      </w:r>
      <w:r w:rsidR="00D34907" w:rsidRPr="00970720">
        <w:t xml:space="preserve"> transfer pipette from the </w:t>
      </w:r>
      <w:proofErr w:type="spellStart"/>
      <w:r w:rsidR="00D34907" w:rsidRPr="00970720">
        <w:t>cobas</w:t>
      </w:r>
      <w:proofErr w:type="spellEnd"/>
      <w:r w:rsidR="00D34907" w:rsidRPr="00970720">
        <w:t xml:space="preserve">® </w:t>
      </w:r>
      <w:proofErr w:type="spellStart"/>
      <w:r w:rsidR="00D34907" w:rsidRPr="00970720">
        <w:t>Liat</w:t>
      </w:r>
      <w:proofErr w:type="spellEnd"/>
      <w:r w:rsidR="00D34907" w:rsidRPr="00970720">
        <w:t xml:space="preserve">® assay tube pouch, slowly pipette the sample up and down 10 times to dissolve and mix the positive control sample. </w:t>
      </w:r>
    </w:p>
    <w:p w14:paraId="4F536030" w14:textId="77777777" w:rsidR="00D34907" w:rsidRPr="00970720" w:rsidRDefault="00D34907" w:rsidP="00452E37">
      <w:pPr>
        <w:pStyle w:val="NormalWeb"/>
        <w:ind w:left="615"/>
        <w:rPr>
          <w:b/>
          <w:bCs/>
          <w:u w:val="single"/>
        </w:rPr>
      </w:pPr>
      <w:r w:rsidRPr="00970720">
        <w:rPr>
          <w:b/>
          <w:bCs/>
          <w:u w:val="single"/>
        </w:rPr>
        <w:t xml:space="preserve">Test External Control Samples </w:t>
      </w:r>
    </w:p>
    <w:p w14:paraId="2C5FDFC7" w14:textId="77777777" w:rsidR="00D34907" w:rsidRPr="00970720" w:rsidRDefault="00D34907" w:rsidP="00281397">
      <w:pPr>
        <w:pStyle w:val="NormalWeb"/>
        <w:ind w:left="630"/>
      </w:pPr>
      <w:r w:rsidRPr="00970720">
        <w:t xml:space="preserve">1. Select Run Assay from the Main Menu. </w:t>
      </w:r>
    </w:p>
    <w:p w14:paraId="0EE4427A" w14:textId="77777777" w:rsidR="00D34907" w:rsidRPr="00970720" w:rsidRDefault="00D34907" w:rsidP="00281397">
      <w:pPr>
        <w:pStyle w:val="NormalWeb"/>
        <w:ind w:left="630"/>
      </w:pPr>
      <w:r w:rsidRPr="00970720">
        <w:t xml:space="preserve">2. Select Scan and scan the </w:t>
      </w:r>
      <w:proofErr w:type="spellStart"/>
      <w:r w:rsidRPr="00970720">
        <w:t>cobas</w:t>
      </w:r>
      <w:proofErr w:type="spellEnd"/>
      <w:r w:rsidRPr="00970720">
        <w:t xml:space="preserve">® </w:t>
      </w:r>
      <w:proofErr w:type="spellStart"/>
      <w:r w:rsidRPr="00970720">
        <w:t>Liat</w:t>
      </w:r>
      <w:proofErr w:type="spellEnd"/>
      <w:r w:rsidRPr="00970720">
        <w:t xml:space="preserve">® assay tube barcode on the tube sleeve by placing the tube on the table and sliding the tube towards the analyzer until the red scan light is over the entire barcode.  </w:t>
      </w:r>
    </w:p>
    <w:p w14:paraId="20085925" w14:textId="77777777" w:rsidR="00D34907" w:rsidRPr="00970720" w:rsidRDefault="00D34907" w:rsidP="00281397">
      <w:pPr>
        <w:pStyle w:val="NormalWeb"/>
        <w:ind w:left="630"/>
      </w:pPr>
      <w:r w:rsidRPr="00970720">
        <w:t xml:space="preserve">3. Select Scan again and scan the appropriate negative or positive control barcode on the control kit barcode card (match the lot number of the sample tube label to the lot number of the control barcode label on the Control Kit Barcode Card).  </w:t>
      </w:r>
    </w:p>
    <w:p w14:paraId="4536551C" w14:textId="77777777" w:rsidR="00D34907" w:rsidRPr="00970720" w:rsidRDefault="00D34907" w:rsidP="00D34907">
      <w:pPr>
        <w:pStyle w:val="NormalWeb"/>
      </w:pPr>
      <w:r w:rsidRPr="00970720">
        <w:t xml:space="preserve">Example: </w:t>
      </w:r>
      <w:r w:rsidR="002978A5" w:rsidRPr="00970720">
        <w:t xml:space="preserve"> </w:t>
      </w:r>
      <w:r w:rsidR="00783C7D" w:rsidRPr="00970720">
        <w:rPr>
          <w:noProof/>
        </w:rPr>
        <w:drawing>
          <wp:inline distT="0" distB="0" distL="0" distR="0" wp14:anchorId="5577D717" wp14:editId="07777777">
            <wp:extent cx="6305550"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5550" cy="1371600"/>
                    </a:xfrm>
                    <a:prstGeom prst="rect">
                      <a:avLst/>
                    </a:prstGeom>
                    <a:noFill/>
                    <a:ln>
                      <a:noFill/>
                    </a:ln>
                  </pic:spPr>
                </pic:pic>
              </a:graphicData>
            </a:graphic>
          </wp:inline>
        </w:drawing>
      </w:r>
    </w:p>
    <w:p w14:paraId="3FBBED99" w14:textId="77777777" w:rsidR="00D34907" w:rsidRPr="00970720" w:rsidRDefault="00D34907" w:rsidP="00281397">
      <w:pPr>
        <w:pStyle w:val="NormalWeb"/>
        <w:ind w:left="630"/>
      </w:pPr>
      <w:r w:rsidRPr="00970720">
        <w:t xml:space="preserve">4. Obtain a transfer pipette from the </w:t>
      </w:r>
      <w:proofErr w:type="spellStart"/>
      <w:r w:rsidRPr="00970720">
        <w:t>cobas</w:t>
      </w:r>
      <w:proofErr w:type="spellEnd"/>
      <w:r w:rsidRPr="00970720">
        <w:t xml:space="preserve">® </w:t>
      </w:r>
      <w:proofErr w:type="spellStart"/>
      <w:r w:rsidRPr="00970720">
        <w:t>Liat</w:t>
      </w:r>
      <w:proofErr w:type="spellEnd"/>
      <w:r w:rsidRPr="00970720">
        <w:t xml:space="preserve">® assay tube pouch or QC kit. Firmly squeeze the bulb of the pipette until it is fully flat.  </w:t>
      </w:r>
    </w:p>
    <w:p w14:paraId="005B5B60" w14:textId="77777777" w:rsidR="00D34907" w:rsidRPr="00970720" w:rsidRDefault="00D34907" w:rsidP="00281397">
      <w:pPr>
        <w:pStyle w:val="NormalWeb"/>
        <w:ind w:left="630"/>
      </w:pPr>
      <w:r w:rsidRPr="00970720">
        <w:lastRenderedPageBreak/>
        <w:t xml:space="preserve">5. While holding the pipette bulb fully flat, insert the pipette tip into the sample below the liquid surface. </w:t>
      </w:r>
    </w:p>
    <w:p w14:paraId="50B73C45" w14:textId="77777777" w:rsidR="00D34907" w:rsidRPr="00970720" w:rsidRDefault="00D34907" w:rsidP="00281397">
      <w:pPr>
        <w:pStyle w:val="NormalWeb"/>
        <w:ind w:left="630"/>
      </w:pPr>
      <w:r w:rsidRPr="00970720">
        <w:t xml:space="preserve">6. Slowly release the bulb while keeping the pipette tip below the liquid surface, drawing up the sample. After releasing the bulb completely, withdraw the pipette from the sample. </w:t>
      </w:r>
    </w:p>
    <w:p w14:paraId="7C968666" w14:textId="77777777" w:rsidR="00D34907" w:rsidRPr="00970720" w:rsidRDefault="00D34907" w:rsidP="00281397">
      <w:pPr>
        <w:pStyle w:val="NormalWeb"/>
        <w:ind w:left="630"/>
      </w:pPr>
      <w:r w:rsidRPr="00970720">
        <w:t xml:space="preserve">7. Unscrew the cap from the </w:t>
      </w:r>
      <w:proofErr w:type="spellStart"/>
      <w:r w:rsidRPr="00970720">
        <w:t>cobas</w:t>
      </w:r>
      <w:proofErr w:type="spellEnd"/>
      <w:r w:rsidRPr="00970720">
        <w:t xml:space="preserve">® </w:t>
      </w:r>
      <w:proofErr w:type="spellStart"/>
      <w:r w:rsidRPr="00970720">
        <w:t>Liat</w:t>
      </w:r>
      <w:proofErr w:type="spellEnd"/>
      <w:r w:rsidRPr="00970720">
        <w:t xml:space="preserve">® assay tube. </w:t>
      </w:r>
    </w:p>
    <w:p w14:paraId="15F89C50" w14:textId="77777777" w:rsidR="00D34907" w:rsidRPr="00970720" w:rsidRDefault="00D34907" w:rsidP="00281397">
      <w:pPr>
        <w:pStyle w:val="NormalWeb"/>
        <w:ind w:left="630"/>
      </w:pPr>
      <w:r w:rsidRPr="00970720">
        <w:t xml:space="preserve">8. While watching through the viewing window in the sleeve, carefully insert the pipette into the tube placing the pipette tip near the bottom of the sample compartment. </w:t>
      </w:r>
    </w:p>
    <w:p w14:paraId="7F532E5D" w14:textId="77777777" w:rsidR="00D34907" w:rsidRPr="00970720" w:rsidRDefault="00D34907" w:rsidP="00281397">
      <w:pPr>
        <w:pStyle w:val="NormalWeb"/>
        <w:ind w:left="630"/>
      </w:pPr>
      <w:r w:rsidRPr="00970720">
        <w:t xml:space="preserve">9. Slowly squeeze the bulb to empty the contents of the pipette into the sample compartment of the tube. Do not release the pipette bulb.  Note: Do not puncture the tube or the seal at the bottom of the sample compartment. If either of these is damaged, discard both the tube and the transfer pipette and restart the testing with new assay components. </w:t>
      </w:r>
    </w:p>
    <w:p w14:paraId="7BDB7D98" w14:textId="77777777" w:rsidR="00D34907" w:rsidRPr="00970720" w:rsidRDefault="00D34907" w:rsidP="00281397">
      <w:pPr>
        <w:pStyle w:val="NormalWeb"/>
        <w:ind w:left="630"/>
      </w:pPr>
      <w:r w:rsidRPr="00970720">
        <w:t xml:space="preserve">10. While still holding the pipette bulb flat, withdraw the pipette from the tube. Screw the cap back on the tube. </w:t>
      </w:r>
    </w:p>
    <w:p w14:paraId="371CA2D2" w14:textId="77777777" w:rsidR="00D34907" w:rsidRPr="00970720" w:rsidRDefault="00D34907" w:rsidP="00281397">
      <w:pPr>
        <w:pStyle w:val="NormalWeb"/>
        <w:ind w:left="630"/>
      </w:pPr>
      <w:r w:rsidRPr="00970720">
        <w:t xml:space="preserve">11. Scan the tube sleeve barcode again. The tube entry door on top of the analyzer will automatically open. </w:t>
      </w:r>
    </w:p>
    <w:p w14:paraId="5920B2CA" w14:textId="77777777" w:rsidR="00D34907" w:rsidRPr="00970720" w:rsidRDefault="00D34907" w:rsidP="00281397">
      <w:pPr>
        <w:pStyle w:val="NormalWeb"/>
        <w:ind w:left="630"/>
      </w:pPr>
      <w:r w:rsidRPr="00970720">
        <w:t xml:space="preserve">12. Remove the </w:t>
      </w:r>
      <w:proofErr w:type="spellStart"/>
      <w:r w:rsidRPr="00970720">
        <w:t>cobas</w:t>
      </w:r>
      <w:proofErr w:type="spellEnd"/>
      <w:r w:rsidRPr="00970720">
        <w:t xml:space="preserve">® </w:t>
      </w:r>
      <w:proofErr w:type="spellStart"/>
      <w:r w:rsidRPr="00970720">
        <w:t>Liat</w:t>
      </w:r>
      <w:proofErr w:type="spellEnd"/>
      <w:r w:rsidRPr="00970720">
        <w:t xml:space="preserve">® assay tube sleeve and immediately insert the tube into the tube entry slot until it clicks into place. The tube only fits in one way. If the tube is not inserted by the time the door closes, re-scan the </w:t>
      </w:r>
      <w:proofErr w:type="spellStart"/>
      <w:r w:rsidRPr="00970720">
        <w:t>cobas</w:t>
      </w:r>
      <w:proofErr w:type="spellEnd"/>
      <w:r w:rsidRPr="00970720">
        <w:t xml:space="preserve">® </w:t>
      </w:r>
      <w:proofErr w:type="spellStart"/>
      <w:r w:rsidRPr="00970720">
        <w:t>Liat</w:t>
      </w:r>
      <w:proofErr w:type="spellEnd"/>
      <w:r w:rsidRPr="00970720">
        <w:t xml:space="preserve">® assay tube barcode and insert the </w:t>
      </w:r>
      <w:proofErr w:type="spellStart"/>
      <w:r w:rsidRPr="00970720">
        <w:t>cobas</w:t>
      </w:r>
      <w:proofErr w:type="spellEnd"/>
      <w:r w:rsidRPr="00970720">
        <w:t xml:space="preserve">® </w:t>
      </w:r>
      <w:proofErr w:type="spellStart"/>
      <w:r w:rsidRPr="00970720">
        <w:t>Liat</w:t>
      </w:r>
      <w:proofErr w:type="spellEnd"/>
      <w:r w:rsidRPr="00970720">
        <w:t xml:space="preserve">® assay tube again. Once the tube is inserted the door will close automatically and the assay will begin. </w:t>
      </w:r>
    </w:p>
    <w:p w14:paraId="182C17F3" w14:textId="77777777" w:rsidR="00D34907" w:rsidRPr="00970720" w:rsidRDefault="00D34907" w:rsidP="00281397">
      <w:pPr>
        <w:pStyle w:val="NormalWeb"/>
        <w:ind w:left="630"/>
      </w:pPr>
      <w:r w:rsidRPr="00970720">
        <w:t xml:space="preserve">13. When the test is complete, the </w:t>
      </w:r>
      <w:proofErr w:type="spellStart"/>
      <w:r w:rsidRPr="00970720">
        <w:t>cobas</w:t>
      </w:r>
      <w:proofErr w:type="spellEnd"/>
      <w:r w:rsidRPr="00970720">
        <w:t xml:space="preserve">® </w:t>
      </w:r>
      <w:proofErr w:type="spellStart"/>
      <w:r w:rsidRPr="00970720">
        <w:t>Liat</w:t>
      </w:r>
      <w:proofErr w:type="spellEnd"/>
      <w:r w:rsidRPr="00970720">
        <w:t xml:space="preserve">® Analyzer screen displays the message “Please remove the tube slowly.” </w:t>
      </w:r>
    </w:p>
    <w:p w14:paraId="26E0D15B" w14:textId="77777777" w:rsidR="00D34907" w:rsidRPr="00970720" w:rsidRDefault="00D34907" w:rsidP="00281397">
      <w:pPr>
        <w:pStyle w:val="NormalWeb"/>
        <w:ind w:left="630"/>
      </w:pPr>
      <w:r w:rsidRPr="00970720">
        <w:t xml:space="preserve">14. Lift the tube out of the </w:t>
      </w:r>
      <w:proofErr w:type="spellStart"/>
      <w:r w:rsidRPr="00970720">
        <w:t>cobas</w:t>
      </w:r>
      <w:proofErr w:type="spellEnd"/>
      <w:r w:rsidRPr="00970720">
        <w:t xml:space="preserve">® </w:t>
      </w:r>
      <w:proofErr w:type="spellStart"/>
      <w:r w:rsidRPr="00970720">
        <w:t>Liat</w:t>
      </w:r>
      <w:proofErr w:type="spellEnd"/>
      <w:r w:rsidRPr="00970720">
        <w:t xml:space="preserve">® Analyzer and discard following all applicable biohazard safety precautions. </w:t>
      </w:r>
    </w:p>
    <w:p w14:paraId="381DE0FA" w14:textId="77777777" w:rsidR="00D34907" w:rsidRPr="00970720" w:rsidRDefault="00D34907" w:rsidP="00281397">
      <w:pPr>
        <w:pStyle w:val="NormalWeb"/>
        <w:ind w:left="630"/>
      </w:pPr>
      <w:r w:rsidRPr="00970720">
        <w:t xml:space="preserve">15. Touch or click Report after completion of the assay.  </w:t>
      </w:r>
    </w:p>
    <w:p w14:paraId="0BAC222B" w14:textId="77777777" w:rsidR="00D34907" w:rsidRPr="00970720" w:rsidRDefault="00D34907" w:rsidP="00452E37">
      <w:pPr>
        <w:pStyle w:val="NormalWeb"/>
        <w:ind w:left="615"/>
      </w:pPr>
      <w:r w:rsidRPr="00281397">
        <w:rPr>
          <w:b/>
        </w:rPr>
        <w:t>Negative Control Results:</w:t>
      </w:r>
      <w:r w:rsidRPr="00970720">
        <w:t xml:space="preserve"> The Report Result must be </w:t>
      </w:r>
      <w:r w:rsidR="002978A5" w:rsidRPr="00970720">
        <w:t>SARS-Cov-2</w:t>
      </w:r>
      <w:r w:rsidRPr="00970720">
        <w:t xml:space="preserve"> </w:t>
      </w:r>
      <w:r w:rsidR="002978A5" w:rsidRPr="00970720">
        <w:t>and</w:t>
      </w:r>
      <w:r w:rsidRPr="00970720">
        <w:t xml:space="preserve"> Influenza A and B not detected for the negative control to pass.   </w:t>
      </w:r>
    </w:p>
    <w:p w14:paraId="36AE5327" w14:textId="77777777" w:rsidR="00D34907" w:rsidRPr="00970720" w:rsidRDefault="00D34907" w:rsidP="00452E37">
      <w:pPr>
        <w:pStyle w:val="NormalWeb"/>
        <w:ind w:left="615"/>
      </w:pPr>
      <w:r w:rsidRPr="00281397">
        <w:rPr>
          <w:b/>
        </w:rPr>
        <w:t>Positive Control Results:</w:t>
      </w:r>
      <w:r w:rsidRPr="00970720">
        <w:t xml:space="preserve"> The Report Result must be S</w:t>
      </w:r>
      <w:r w:rsidR="002978A5" w:rsidRPr="00970720">
        <w:t>ARS-Cov-2</w:t>
      </w:r>
      <w:r w:rsidRPr="00970720">
        <w:t xml:space="preserve"> </w:t>
      </w:r>
      <w:r w:rsidR="002978A5" w:rsidRPr="00970720">
        <w:t>and</w:t>
      </w:r>
      <w:r w:rsidRPr="00970720">
        <w:t xml:space="preserve"> Influenza A and B detected for the positive control to pass. </w:t>
      </w:r>
    </w:p>
    <w:p w14:paraId="1B0CD756" w14:textId="77777777" w:rsidR="00D34907" w:rsidRPr="00970720" w:rsidRDefault="00D34907" w:rsidP="00452E37">
      <w:pPr>
        <w:pStyle w:val="NormalWeb"/>
        <w:ind w:left="615"/>
      </w:pPr>
      <w:r w:rsidRPr="00970720">
        <w:t>16. Select Back.</w:t>
      </w:r>
    </w:p>
    <w:p w14:paraId="0562CB0E" w14:textId="77777777" w:rsidR="005316ED" w:rsidRPr="00970720" w:rsidRDefault="005316ED" w:rsidP="005316ED">
      <w:pPr>
        <w:rPr>
          <w:b/>
        </w:rPr>
      </w:pPr>
    </w:p>
    <w:p w14:paraId="62EBF3C5" w14:textId="77777777" w:rsidR="005316ED" w:rsidRPr="00970720" w:rsidRDefault="005316ED" w:rsidP="00FB2F4D">
      <w:pPr>
        <w:rPr>
          <w:b/>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7"/>
        <w:gridCol w:w="155"/>
      </w:tblGrid>
      <w:tr w:rsidR="005316ED" w:rsidRPr="00970720" w14:paraId="33A6EBA9" w14:textId="77777777" w:rsidTr="00464F9A">
        <w:trPr>
          <w:gridAfter w:val="1"/>
          <w:wAfter w:w="184" w:type="dxa"/>
          <w:trHeight w:val="3834"/>
        </w:trPr>
        <w:tc>
          <w:tcPr>
            <w:tcW w:w="9936" w:type="dxa"/>
            <w:tcBorders>
              <w:top w:val="nil"/>
              <w:left w:val="nil"/>
              <w:bottom w:val="nil"/>
              <w:right w:val="nil"/>
            </w:tcBorders>
          </w:tcPr>
          <w:p w14:paraId="3C8B2A28" w14:textId="2F508CF1" w:rsidR="00AA260E" w:rsidRPr="00970720" w:rsidRDefault="00281397" w:rsidP="00281397">
            <w:pPr>
              <w:ind w:left="337"/>
              <w:rPr>
                <w:b/>
              </w:rPr>
            </w:pPr>
            <w:r>
              <w:rPr>
                <w:b/>
              </w:rPr>
              <w:lastRenderedPageBreak/>
              <w:t>5</w:t>
            </w:r>
            <w:r w:rsidR="00650921" w:rsidRPr="00970720">
              <w:rPr>
                <w:b/>
              </w:rPr>
              <w:t xml:space="preserve">. </w:t>
            </w:r>
            <w:r w:rsidR="00AA260E" w:rsidRPr="00970720">
              <w:rPr>
                <w:b/>
              </w:rPr>
              <w:t>PROCEDURE:</w:t>
            </w:r>
          </w:p>
          <w:p w14:paraId="610FBFCA" w14:textId="77777777" w:rsidR="0099484E" w:rsidRPr="00970720" w:rsidRDefault="00AA260E" w:rsidP="00452E37">
            <w:pPr>
              <w:ind w:left="525"/>
              <w:rPr>
                <w:b/>
              </w:rPr>
            </w:pPr>
            <w:r w:rsidRPr="00970720">
              <w:rPr>
                <w:b/>
              </w:rPr>
              <w:t>PERFORMANCE:</w:t>
            </w:r>
          </w:p>
          <w:p w14:paraId="28E55939" w14:textId="63297850" w:rsidR="00452E37" w:rsidRDefault="00452E37" w:rsidP="00452E37">
            <w:pPr>
              <w:ind w:left="525"/>
            </w:pPr>
            <w:r>
              <w:t xml:space="preserve">1. </w:t>
            </w:r>
            <w:r w:rsidR="00AB0693" w:rsidRPr="00970720">
              <w:t>Before testing, the following items are required as part of a modified PPE Practice</w:t>
            </w:r>
          </w:p>
          <w:p w14:paraId="71903C20" w14:textId="2ED773B3" w:rsidR="0099484E" w:rsidRPr="00452E37" w:rsidRDefault="00452E37" w:rsidP="00452E37">
            <w:pPr>
              <w:pStyle w:val="ListParagraph"/>
              <w:ind w:left="795"/>
              <w:rPr>
                <w:b/>
              </w:rPr>
            </w:pPr>
            <w:r>
              <w:t xml:space="preserve">a. </w:t>
            </w:r>
            <w:r w:rsidR="0099484E" w:rsidRPr="00970720">
              <w:t xml:space="preserve">Testing cartridges should be loaded in a Biocontainment Hood. </w:t>
            </w:r>
          </w:p>
          <w:p w14:paraId="0E2510CB" w14:textId="05F43F89" w:rsidR="0099484E" w:rsidRPr="00970720" w:rsidRDefault="00452E37" w:rsidP="00452E37">
            <w:pPr>
              <w:ind w:left="1065"/>
            </w:pPr>
            <w:r>
              <w:t>S</w:t>
            </w:r>
            <w:r w:rsidR="0099484E" w:rsidRPr="00970720">
              <w:t>tandard PPE (Non-permeable laboratory coat, gloves)</w:t>
            </w:r>
          </w:p>
          <w:p w14:paraId="77C29043" w14:textId="7D447EF1" w:rsidR="0099484E" w:rsidRPr="00970720" w:rsidRDefault="00452E37" w:rsidP="00682101">
            <w:pPr>
              <w:pStyle w:val="ListParagraph"/>
              <w:ind w:left="1065" w:hanging="270"/>
            </w:pPr>
            <w:r>
              <w:t xml:space="preserve">b. </w:t>
            </w:r>
            <w:r w:rsidR="06CD56B4" w:rsidRPr="00970720">
              <w:t>Alternatively, when a Biocontainment Hood is not used, operator should additionally utilize eye covering, either a face</w:t>
            </w:r>
            <w:r w:rsidR="00D953F7" w:rsidRPr="00970720">
              <w:t xml:space="preserve"> </w:t>
            </w:r>
            <w:r w:rsidR="06CD56B4" w:rsidRPr="00970720">
              <w:t>shield or approved safety goggles.</w:t>
            </w:r>
          </w:p>
          <w:p w14:paraId="4C726757" w14:textId="1DA61201" w:rsidR="0099723F" w:rsidRPr="00970720" w:rsidRDefault="0099723F" w:rsidP="00281397">
            <w:pPr>
              <w:pStyle w:val="NormalWeb"/>
              <w:ind w:left="607"/>
            </w:pPr>
            <w:r w:rsidRPr="00970720">
              <w:t xml:space="preserve">Gather the following items: </w:t>
            </w:r>
          </w:p>
          <w:p w14:paraId="227B8548" w14:textId="77777777" w:rsidR="0099723F" w:rsidRPr="00970720" w:rsidRDefault="0099723F" w:rsidP="00682101">
            <w:pPr>
              <w:pStyle w:val="ListParagraph"/>
              <w:ind w:left="1065" w:hanging="270"/>
            </w:pPr>
            <w:r w:rsidRPr="00970720">
              <w:t xml:space="preserve">a. </w:t>
            </w:r>
            <w:proofErr w:type="spellStart"/>
            <w:r w:rsidRPr="00970720">
              <w:t>cobas</w:t>
            </w:r>
            <w:proofErr w:type="spellEnd"/>
            <w:r w:rsidRPr="00970720">
              <w:t xml:space="preserve">® </w:t>
            </w:r>
            <w:proofErr w:type="spellStart"/>
            <w:r w:rsidRPr="00970720">
              <w:t>Liat</w:t>
            </w:r>
            <w:proofErr w:type="spellEnd"/>
            <w:r w:rsidRPr="00970720">
              <w:t xml:space="preserve">® </w:t>
            </w:r>
            <w:r w:rsidR="00E33B8F" w:rsidRPr="00970720">
              <w:t>SARS-Cov-2 &amp;</w:t>
            </w:r>
            <w:r w:rsidRPr="00970720">
              <w:t xml:space="preserve"> Influenza A/B assay tube (from a lot that has been validated and entered into the system) </w:t>
            </w:r>
          </w:p>
          <w:p w14:paraId="4A2D676A" w14:textId="77777777" w:rsidR="0099723F" w:rsidRPr="00970720" w:rsidRDefault="0099723F" w:rsidP="00452E37">
            <w:pPr>
              <w:pStyle w:val="ListParagraph"/>
              <w:ind w:left="795"/>
            </w:pPr>
            <w:r w:rsidRPr="00970720">
              <w:t xml:space="preserve">b. </w:t>
            </w:r>
            <w:proofErr w:type="spellStart"/>
            <w:r w:rsidRPr="00970720">
              <w:t>cobas</w:t>
            </w:r>
            <w:proofErr w:type="spellEnd"/>
            <w:r w:rsidRPr="00970720">
              <w:t xml:space="preserve">® </w:t>
            </w:r>
            <w:proofErr w:type="spellStart"/>
            <w:r w:rsidRPr="00970720">
              <w:t>Liat</w:t>
            </w:r>
            <w:proofErr w:type="spellEnd"/>
            <w:r w:rsidRPr="00970720">
              <w:t xml:space="preserve">® Transfer pipette (in </w:t>
            </w:r>
            <w:proofErr w:type="spellStart"/>
            <w:r w:rsidRPr="00970720">
              <w:t>cobas</w:t>
            </w:r>
            <w:proofErr w:type="spellEnd"/>
            <w:r w:rsidRPr="00970720">
              <w:t xml:space="preserve">® </w:t>
            </w:r>
            <w:proofErr w:type="spellStart"/>
            <w:r w:rsidRPr="00970720">
              <w:t>Liat</w:t>
            </w:r>
            <w:proofErr w:type="spellEnd"/>
            <w:r w:rsidRPr="00970720">
              <w:t xml:space="preserve">® reagent box with tubes) </w:t>
            </w:r>
          </w:p>
          <w:p w14:paraId="3CF1A133" w14:textId="77777777" w:rsidR="0099723F" w:rsidRPr="00970720" w:rsidRDefault="0099723F" w:rsidP="00452E37">
            <w:pPr>
              <w:pStyle w:val="ListParagraph"/>
              <w:ind w:left="795"/>
            </w:pPr>
            <w:r w:rsidRPr="00970720">
              <w:t xml:space="preserve">c. Appropriately collected patient sample </w:t>
            </w:r>
          </w:p>
          <w:p w14:paraId="23D2366E" w14:textId="77777777" w:rsidR="0099723F" w:rsidRPr="00970720" w:rsidRDefault="0099723F" w:rsidP="00452E37">
            <w:pPr>
              <w:pStyle w:val="ListParagraph"/>
              <w:ind w:left="795"/>
            </w:pPr>
            <w:r w:rsidRPr="00970720">
              <w:t xml:space="preserve">d. Biohazard container </w:t>
            </w:r>
          </w:p>
          <w:p w14:paraId="2858665C" w14:textId="77777777" w:rsidR="0099723F" w:rsidRPr="00970720" w:rsidRDefault="0099723F" w:rsidP="00452E37">
            <w:pPr>
              <w:pStyle w:val="ListParagraph"/>
              <w:ind w:left="795"/>
            </w:pPr>
            <w:r w:rsidRPr="00970720">
              <w:t xml:space="preserve">e. Operational </w:t>
            </w:r>
            <w:proofErr w:type="spellStart"/>
            <w:r w:rsidRPr="00970720">
              <w:t>cobas</w:t>
            </w:r>
            <w:proofErr w:type="spellEnd"/>
            <w:r w:rsidRPr="00970720">
              <w:t xml:space="preserve">® </w:t>
            </w:r>
            <w:proofErr w:type="spellStart"/>
            <w:r w:rsidRPr="00970720">
              <w:t>Liat</w:t>
            </w:r>
            <w:proofErr w:type="spellEnd"/>
            <w:r w:rsidRPr="00970720">
              <w:t xml:space="preserve">® Analyzer </w:t>
            </w:r>
          </w:p>
          <w:p w14:paraId="356A49FC" w14:textId="77777777" w:rsidR="0099723F" w:rsidRPr="00970720" w:rsidRDefault="0099723F" w:rsidP="00281397">
            <w:pPr>
              <w:ind w:left="525"/>
            </w:pPr>
            <w:r w:rsidRPr="00970720">
              <w:t xml:space="preserve">2. Scan the barcode: </w:t>
            </w:r>
          </w:p>
          <w:p w14:paraId="56A9505C" w14:textId="77777777" w:rsidR="0099723F" w:rsidRPr="00970720" w:rsidRDefault="0099723F" w:rsidP="00452E37">
            <w:pPr>
              <w:pStyle w:val="ListParagraph"/>
              <w:ind w:left="1065" w:hanging="270"/>
            </w:pPr>
            <w:r w:rsidRPr="00970720">
              <w:t xml:space="preserve">a. Tear open the foil packaging of the </w:t>
            </w:r>
            <w:proofErr w:type="spellStart"/>
            <w:r w:rsidRPr="00970720">
              <w:t>cobas</w:t>
            </w:r>
            <w:proofErr w:type="spellEnd"/>
            <w:r w:rsidRPr="00970720">
              <w:t xml:space="preserve">® </w:t>
            </w:r>
            <w:proofErr w:type="spellStart"/>
            <w:r w:rsidRPr="00970720">
              <w:t>Liat</w:t>
            </w:r>
            <w:proofErr w:type="spellEnd"/>
            <w:r w:rsidRPr="00970720">
              <w:t xml:space="preserve">® Tube and remove the tube and the transfer pipette. </w:t>
            </w:r>
          </w:p>
          <w:p w14:paraId="222154CC" w14:textId="77777777" w:rsidR="0099723F" w:rsidRPr="00970720" w:rsidRDefault="0099723F" w:rsidP="00452E37">
            <w:pPr>
              <w:pStyle w:val="ListParagraph"/>
              <w:ind w:left="1065" w:hanging="270"/>
            </w:pPr>
            <w:r w:rsidRPr="00281397">
              <w:rPr>
                <w:b/>
              </w:rPr>
              <w:t>Note:</w:t>
            </w:r>
            <w:r w:rsidRPr="00970720">
              <w:t xml:space="preserve"> Do not use a damaged </w:t>
            </w:r>
            <w:proofErr w:type="spellStart"/>
            <w:r w:rsidRPr="00970720">
              <w:t>cobas</w:t>
            </w:r>
            <w:proofErr w:type="spellEnd"/>
            <w:r w:rsidRPr="00970720">
              <w:t xml:space="preserve">® </w:t>
            </w:r>
            <w:proofErr w:type="spellStart"/>
            <w:r w:rsidRPr="00970720">
              <w:t>Liat</w:t>
            </w:r>
            <w:proofErr w:type="spellEnd"/>
            <w:r w:rsidRPr="00970720">
              <w:t xml:space="preserve">® assay tube. Do not open individual tube packaging until you are ready to perform testing. Each single-use </w:t>
            </w:r>
            <w:proofErr w:type="spellStart"/>
            <w:r w:rsidRPr="00970720">
              <w:t>cobas</w:t>
            </w:r>
            <w:proofErr w:type="spellEnd"/>
            <w:r w:rsidRPr="00970720">
              <w:t xml:space="preserve">® </w:t>
            </w:r>
            <w:proofErr w:type="spellStart"/>
            <w:r w:rsidRPr="00970720">
              <w:t>Liat</w:t>
            </w:r>
            <w:proofErr w:type="spellEnd"/>
            <w:r w:rsidRPr="00970720">
              <w:t xml:space="preserve">® assay tube is used to process one test. Do not attempt to reuse a spent </w:t>
            </w:r>
            <w:proofErr w:type="spellStart"/>
            <w:r w:rsidRPr="00970720">
              <w:t>cobas</w:t>
            </w:r>
            <w:proofErr w:type="spellEnd"/>
            <w:r w:rsidRPr="00970720">
              <w:t xml:space="preserve">® </w:t>
            </w:r>
            <w:proofErr w:type="spellStart"/>
            <w:r w:rsidRPr="00970720">
              <w:t>Liat</w:t>
            </w:r>
            <w:proofErr w:type="spellEnd"/>
            <w:r w:rsidRPr="00970720">
              <w:t xml:space="preserve">® assay tube.  </w:t>
            </w:r>
          </w:p>
          <w:p w14:paraId="4849F74A" w14:textId="77777777" w:rsidR="0099723F" w:rsidRPr="00970720" w:rsidRDefault="0099723F" w:rsidP="00452E37">
            <w:pPr>
              <w:pStyle w:val="ListParagraph"/>
              <w:ind w:left="1065" w:hanging="270"/>
            </w:pPr>
            <w:r w:rsidRPr="00970720">
              <w:t xml:space="preserve">b. Select Run Assay on the Main Menu.  </w:t>
            </w:r>
          </w:p>
          <w:p w14:paraId="734C4676" w14:textId="77777777" w:rsidR="0099723F" w:rsidRPr="00970720" w:rsidRDefault="0099723F" w:rsidP="00452E37">
            <w:pPr>
              <w:pStyle w:val="ListParagraph"/>
              <w:ind w:left="1065" w:hanging="270"/>
            </w:pPr>
            <w:r w:rsidRPr="00970720">
              <w:t xml:space="preserve">c. Select Scan and scan the </w:t>
            </w:r>
            <w:proofErr w:type="spellStart"/>
            <w:r w:rsidRPr="00970720">
              <w:t>cobas</w:t>
            </w:r>
            <w:proofErr w:type="spellEnd"/>
            <w:r w:rsidRPr="00970720">
              <w:t xml:space="preserve">® </w:t>
            </w:r>
            <w:proofErr w:type="spellStart"/>
            <w:r w:rsidRPr="00970720">
              <w:t>Liat</w:t>
            </w:r>
            <w:proofErr w:type="spellEnd"/>
            <w:r w:rsidRPr="00970720">
              <w:t xml:space="preserve">® assay tube barcode on the tube sleeve by placing the tube on the table and sliding the tube towards the analyzer until the red scan light is over the entire barcode.  </w:t>
            </w:r>
          </w:p>
          <w:p w14:paraId="309FF360" w14:textId="77777777" w:rsidR="0099723F" w:rsidRPr="00970720" w:rsidRDefault="0099723F" w:rsidP="00452E37">
            <w:pPr>
              <w:pStyle w:val="ListParagraph"/>
              <w:ind w:left="1065" w:hanging="270"/>
            </w:pPr>
            <w:r w:rsidRPr="00970720">
              <w:t xml:space="preserve">d. Select Scan again and scan the Patient or Sample barcode, or select Enter and type in a Sample or Patient ID. The screen will then prompt you to add the sample to the assay tube and rescan the tube.   </w:t>
            </w:r>
          </w:p>
          <w:p w14:paraId="7899E474" w14:textId="77777777" w:rsidR="0099723F" w:rsidRPr="00970720" w:rsidRDefault="0099723F" w:rsidP="00281397">
            <w:pPr>
              <w:ind w:left="525"/>
            </w:pPr>
            <w:r w:rsidRPr="00970720">
              <w:t xml:space="preserve">3. Add the sample to the assay tube: </w:t>
            </w:r>
          </w:p>
          <w:p w14:paraId="5E9E5236" w14:textId="77777777" w:rsidR="0099723F" w:rsidRPr="00970720" w:rsidRDefault="0099723F" w:rsidP="00682101">
            <w:pPr>
              <w:pStyle w:val="ListParagraph"/>
              <w:ind w:left="1065" w:hanging="270"/>
            </w:pPr>
            <w:r w:rsidRPr="00970720">
              <w:t xml:space="preserve">a. Unscrew the cap from the </w:t>
            </w:r>
            <w:proofErr w:type="spellStart"/>
            <w:r w:rsidRPr="00970720">
              <w:t>cobas</w:t>
            </w:r>
            <w:proofErr w:type="spellEnd"/>
            <w:r w:rsidRPr="00970720">
              <w:t xml:space="preserve">® </w:t>
            </w:r>
            <w:proofErr w:type="spellStart"/>
            <w:r w:rsidRPr="00970720">
              <w:t>Liat</w:t>
            </w:r>
            <w:proofErr w:type="spellEnd"/>
            <w:r w:rsidRPr="00970720">
              <w:t xml:space="preserve">® assay tube. Do not discard the cap. </w:t>
            </w:r>
          </w:p>
          <w:p w14:paraId="0B3F7F29" w14:textId="77777777" w:rsidR="0099723F" w:rsidRPr="00970720" w:rsidRDefault="0099723F" w:rsidP="00682101">
            <w:pPr>
              <w:pStyle w:val="ListParagraph"/>
              <w:ind w:left="1065" w:hanging="270"/>
            </w:pPr>
            <w:r w:rsidRPr="00970720">
              <w:t xml:space="preserve">b. Hold the swab sample tube on its ends with the thumb and forefinger; vigorously shake the tube for 5 seconds to evenly disperse the patient specimen in the liquid medium. </w:t>
            </w:r>
          </w:p>
          <w:p w14:paraId="331696FD" w14:textId="77777777" w:rsidR="0099723F" w:rsidRPr="00970720" w:rsidRDefault="0099723F" w:rsidP="00682101">
            <w:pPr>
              <w:pStyle w:val="ListParagraph"/>
              <w:ind w:left="1065" w:hanging="270"/>
            </w:pPr>
            <w:r w:rsidRPr="00970720">
              <w:t xml:space="preserve">c. Unscrew the sample tube cap. Hold the tube between the thumb and ring </w:t>
            </w:r>
            <w:r w:rsidR="00E33B8F" w:rsidRPr="00970720">
              <w:t>finger and</w:t>
            </w:r>
            <w:r w:rsidRPr="00970720">
              <w:t xml:space="preserve"> hold the cap between the index finger and middle finger. Lift the cap and any attached swab to allow a pipette to be inserted into the tube. Avoid lifting the swab completely out of the tube.  </w:t>
            </w:r>
          </w:p>
          <w:p w14:paraId="68EC1406" w14:textId="77777777" w:rsidR="0099723F" w:rsidRPr="00970720" w:rsidRDefault="0099723F" w:rsidP="00682101">
            <w:pPr>
              <w:pStyle w:val="ListParagraph"/>
              <w:ind w:left="1065" w:hanging="270"/>
            </w:pPr>
            <w:r w:rsidRPr="00970720">
              <w:t xml:space="preserve">d. Firmly squeeze the bulb of the pipette until the bulb is fully flat. </w:t>
            </w:r>
          </w:p>
          <w:p w14:paraId="38148570" w14:textId="77777777" w:rsidR="0099723F" w:rsidRPr="00970720" w:rsidRDefault="0099723F" w:rsidP="00682101">
            <w:pPr>
              <w:pStyle w:val="ListParagraph"/>
              <w:ind w:left="1065" w:hanging="270"/>
            </w:pPr>
            <w:r w:rsidRPr="00970720">
              <w:t xml:space="preserve">e. While holding the pipette bulb fully flat, insert the pipette tip into the sample just below the liquid surface. </w:t>
            </w:r>
          </w:p>
          <w:p w14:paraId="662EC728" w14:textId="77777777" w:rsidR="0099723F" w:rsidRPr="00970720" w:rsidRDefault="0099723F" w:rsidP="00682101">
            <w:pPr>
              <w:pStyle w:val="ListParagraph"/>
              <w:ind w:left="1065" w:hanging="270"/>
            </w:pPr>
            <w:r w:rsidRPr="00970720">
              <w:t xml:space="preserve">f. Slowly release the bulb while keeping the pipette tip below the liquid surface. You will see the liquid sample rising into the pipette. After releasing the bulb completely, withdraw the pipette from the sample. This will deliver ~200 </w:t>
            </w:r>
            <w:proofErr w:type="spellStart"/>
            <w:r w:rsidRPr="00970720">
              <w:t>μL</w:t>
            </w:r>
            <w:proofErr w:type="spellEnd"/>
            <w:r w:rsidRPr="00970720">
              <w:t xml:space="preserve"> of sample into the tube.  </w:t>
            </w:r>
          </w:p>
          <w:p w14:paraId="0048D86E" w14:textId="77777777" w:rsidR="0099723F" w:rsidRPr="00970720" w:rsidRDefault="0099723F" w:rsidP="00682101">
            <w:pPr>
              <w:pStyle w:val="ListParagraph"/>
              <w:ind w:left="1065" w:hanging="270"/>
            </w:pPr>
            <w:r w:rsidRPr="00281397">
              <w:rPr>
                <w:b/>
              </w:rPr>
              <w:t>Note:</w:t>
            </w:r>
            <w:r w:rsidRPr="00970720">
              <w:t xml:space="preserve"> You do not need to measure the sample volume; the </w:t>
            </w:r>
            <w:proofErr w:type="spellStart"/>
            <w:r w:rsidRPr="00970720">
              <w:t>cobas</w:t>
            </w:r>
            <w:proofErr w:type="spellEnd"/>
            <w:r w:rsidRPr="00970720">
              <w:t xml:space="preserve">® </w:t>
            </w:r>
            <w:proofErr w:type="spellStart"/>
            <w:r w:rsidRPr="00970720">
              <w:t>Liat</w:t>
            </w:r>
            <w:proofErr w:type="spellEnd"/>
            <w:r w:rsidRPr="00970720">
              <w:t xml:space="preserve">® Analyzer will adjust the sample volume if more sample was </w:t>
            </w:r>
            <w:r w:rsidR="00E33B8F" w:rsidRPr="00970720">
              <w:t>loaded or</w:t>
            </w:r>
            <w:r w:rsidRPr="00970720">
              <w:t xml:space="preserve"> output an error if not enough sample was loaded. </w:t>
            </w:r>
          </w:p>
          <w:p w14:paraId="4456ECA0" w14:textId="77777777" w:rsidR="0099723F" w:rsidRPr="00970720" w:rsidRDefault="0099723F" w:rsidP="00682101">
            <w:pPr>
              <w:pStyle w:val="ListParagraph"/>
              <w:ind w:left="1065" w:hanging="270"/>
            </w:pPr>
            <w:r w:rsidRPr="00970720">
              <w:t xml:space="preserve">g. Insert the pipette into the </w:t>
            </w:r>
            <w:proofErr w:type="spellStart"/>
            <w:r w:rsidRPr="00970720">
              <w:t>cobas</w:t>
            </w:r>
            <w:proofErr w:type="spellEnd"/>
            <w:r w:rsidRPr="00970720">
              <w:t xml:space="preserve">® </w:t>
            </w:r>
            <w:proofErr w:type="spellStart"/>
            <w:r w:rsidRPr="00970720">
              <w:t>Liat</w:t>
            </w:r>
            <w:proofErr w:type="spellEnd"/>
            <w:r w:rsidRPr="00970720">
              <w:t xml:space="preserve">® assay tube. </w:t>
            </w:r>
          </w:p>
          <w:p w14:paraId="109D1E23" w14:textId="77777777" w:rsidR="0099723F" w:rsidRPr="00970720" w:rsidRDefault="0099723F" w:rsidP="00682101">
            <w:pPr>
              <w:pStyle w:val="ListParagraph"/>
              <w:ind w:left="1065" w:hanging="270"/>
            </w:pPr>
            <w:r w:rsidRPr="00970720">
              <w:t xml:space="preserve">h. Place the pipette tip near the bottom of the sample compartment. Do not puncture the tube or the seal at the bottom. </w:t>
            </w:r>
          </w:p>
          <w:p w14:paraId="5521C1BB" w14:textId="77777777" w:rsidR="0099723F" w:rsidRPr="00970720" w:rsidRDefault="0099723F" w:rsidP="00682101">
            <w:pPr>
              <w:pStyle w:val="ListParagraph"/>
              <w:ind w:left="1065" w:hanging="270"/>
            </w:pPr>
            <w:proofErr w:type="spellStart"/>
            <w:r w:rsidRPr="00970720">
              <w:t>i</w:t>
            </w:r>
            <w:proofErr w:type="spellEnd"/>
            <w:r w:rsidRPr="00970720">
              <w:t xml:space="preserve">. Slowly squeeze the bulb to empty the contents of the pipette into the </w:t>
            </w:r>
            <w:proofErr w:type="spellStart"/>
            <w:r w:rsidRPr="00970720">
              <w:t>cobas</w:t>
            </w:r>
            <w:proofErr w:type="spellEnd"/>
            <w:r w:rsidRPr="00970720">
              <w:t xml:space="preserve">® </w:t>
            </w:r>
            <w:proofErr w:type="spellStart"/>
            <w:r w:rsidRPr="00970720">
              <w:t>Liat</w:t>
            </w:r>
            <w:proofErr w:type="spellEnd"/>
            <w:r w:rsidRPr="00970720">
              <w:t xml:space="preserve">® assay tube.  </w:t>
            </w:r>
          </w:p>
          <w:p w14:paraId="28C1C611" w14:textId="77777777" w:rsidR="0099723F" w:rsidRPr="00970720" w:rsidRDefault="0099723F" w:rsidP="00682101">
            <w:pPr>
              <w:pStyle w:val="ListParagraph"/>
              <w:ind w:left="1065" w:hanging="270"/>
            </w:pPr>
            <w:r w:rsidRPr="00281397">
              <w:rPr>
                <w:b/>
              </w:rPr>
              <w:t>Note:</w:t>
            </w:r>
            <w:r w:rsidRPr="00970720">
              <w:t xml:space="preserve"> Avoid creating bubbles in the sample. Do not release the pipette bulb. </w:t>
            </w:r>
          </w:p>
          <w:p w14:paraId="1416F3DC" w14:textId="77777777" w:rsidR="0099723F" w:rsidRPr="00970720" w:rsidRDefault="0099723F" w:rsidP="00682101">
            <w:pPr>
              <w:pStyle w:val="ListParagraph"/>
              <w:ind w:left="1065" w:hanging="270"/>
            </w:pPr>
            <w:r w:rsidRPr="00970720">
              <w:lastRenderedPageBreak/>
              <w:t xml:space="preserve">j. While still squeezing the pipette bulb, withdraw the pipette from the tube. Screw the cap back on the tube. </w:t>
            </w:r>
          </w:p>
          <w:p w14:paraId="09B3596F" w14:textId="77777777" w:rsidR="0099723F" w:rsidRPr="00970720" w:rsidRDefault="0099723F" w:rsidP="00281397">
            <w:pPr>
              <w:ind w:left="525"/>
            </w:pPr>
            <w:r w:rsidRPr="00970720">
              <w:t xml:space="preserve">4. Insert the </w:t>
            </w:r>
            <w:proofErr w:type="spellStart"/>
            <w:r w:rsidRPr="00970720">
              <w:t>cobas</w:t>
            </w:r>
            <w:proofErr w:type="spellEnd"/>
            <w:r w:rsidRPr="00970720">
              <w:t xml:space="preserve">® </w:t>
            </w:r>
            <w:proofErr w:type="spellStart"/>
            <w:r w:rsidRPr="00970720">
              <w:t>Liat</w:t>
            </w:r>
            <w:proofErr w:type="spellEnd"/>
            <w:r w:rsidRPr="00970720">
              <w:t xml:space="preserve">® assay tube into the analyzer and run test.  </w:t>
            </w:r>
          </w:p>
          <w:p w14:paraId="62DEA0FB" w14:textId="77777777" w:rsidR="0099723F" w:rsidRPr="00970720" w:rsidRDefault="0099723F" w:rsidP="00682101">
            <w:pPr>
              <w:pStyle w:val="ListParagraph"/>
              <w:ind w:left="1065" w:hanging="270"/>
            </w:pPr>
            <w:r w:rsidRPr="00970720">
              <w:t xml:space="preserve">a. Select Scan and re-scan the </w:t>
            </w:r>
            <w:proofErr w:type="spellStart"/>
            <w:r w:rsidRPr="00970720">
              <w:t>cobas</w:t>
            </w:r>
            <w:proofErr w:type="spellEnd"/>
            <w:r w:rsidRPr="00970720">
              <w:t xml:space="preserve">® </w:t>
            </w:r>
            <w:proofErr w:type="spellStart"/>
            <w:r w:rsidRPr="00970720">
              <w:t>Liat</w:t>
            </w:r>
            <w:proofErr w:type="spellEnd"/>
            <w:r w:rsidRPr="00970720">
              <w:t xml:space="preserve">® assay tube barcode. The tube entry door on top of the analyzer will open automatically. </w:t>
            </w:r>
          </w:p>
          <w:p w14:paraId="02EDEA7D" w14:textId="77777777" w:rsidR="0099723F" w:rsidRPr="00970720" w:rsidRDefault="0099723F" w:rsidP="00682101">
            <w:pPr>
              <w:pStyle w:val="ListParagraph"/>
              <w:ind w:left="1065" w:hanging="270"/>
            </w:pPr>
            <w:r w:rsidRPr="00970720">
              <w:t xml:space="preserve">b. Remove the </w:t>
            </w:r>
            <w:proofErr w:type="spellStart"/>
            <w:r w:rsidRPr="00970720">
              <w:t>cobas</w:t>
            </w:r>
            <w:proofErr w:type="spellEnd"/>
            <w:r w:rsidRPr="00970720">
              <w:t xml:space="preserve">® </w:t>
            </w:r>
            <w:proofErr w:type="spellStart"/>
            <w:r w:rsidRPr="00970720">
              <w:t>Liat</w:t>
            </w:r>
            <w:proofErr w:type="spellEnd"/>
            <w:r w:rsidRPr="00970720">
              <w:t xml:space="preserve">® assay tube sleeve. </w:t>
            </w:r>
          </w:p>
          <w:p w14:paraId="279D4FC4" w14:textId="77777777" w:rsidR="0099723F" w:rsidRPr="00970720" w:rsidRDefault="0099723F" w:rsidP="00682101">
            <w:pPr>
              <w:pStyle w:val="ListParagraph"/>
              <w:ind w:left="1065" w:hanging="270"/>
            </w:pPr>
            <w:r w:rsidRPr="00970720">
              <w:t xml:space="preserve">c. Immediately insert the </w:t>
            </w:r>
            <w:proofErr w:type="spellStart"/>
            <w:r w:rsidRPr="00970720">
              <w:t>cobas</w:t>
            </w:r>
            <w:proofErr w:type="spellEnd"/>
            <w:r w:rsidRPr="00970720">
              <w:t xml:space="preserve">® </w:t>
            </w:r>
            <w:proofErr w:type="spellStart"/>
            <w:r w:rsidRPr="00970720">
              <w:t>Liat®assay</w:t>
            </w:r>
            <w:proofErr w:type="spellEnd"/>
            <w:r w:rsidRPr="00970720">
              <w:t xml:space="preserve"> tube into the analyzer until the tube clicks into place. The </w:t>
            </w:r>
            <w:proofErr w:type="spellStart"/>
            <w:r w:rsidRPr="00970720">
              <w:t>cobas</w:t>
            </w:r>
            <w:proofErr w:type="spellEnd"/>
            <w:r w:rsidRPr="00970720">
              <w:t xml:space="preserve">® </w:t>
            </w:r>
            <w:proofErr w:type="spellStart"/>
            <w:r w:rsidRPr="00970720">
              <w:t>Liat</w:t>
            </w:r>
            <w:proofErr w:type="spellEnd"/>
            <w:r w:rsidRPr="00970720">
              <w:t xml:space="preserve">® assay tube only fits in one way. If the tube is not inserted by the time the door closes, re-scan the </w:t>
            </w:r>
            <w:proofErr w:type="spellStart"/>
            <w:r w:rsidRPr="00970720">
              <w:t>cobas</w:t>
            </w:r>
            <w:proofErr w:type="spellEnd"/>
            <w:r w:rsidRPr="00970720">
              <w:t xml:space="preserve">® </w:t>
            </w:r>
            <w:proofErr w:type="spellStart"/>
            <w:r w:rsidRPr="00970720">
              <w:t>Liat</w:t>
            </w:r>
            <w:proofErr w:type="spellEnd"/>
            <w:r w:rsidRPr="00970720">
              <w:t xml:space="preserve">® assay tube barcode and insert the </w:t>
            </w:r>
            <w:proofErr w:type="spellStart"/>
            <w:r w:rsidRPr="00970720">
              <w:t>cobas</w:t>
            </w:r>
            <w:proofErr w:type="spellEnd"/>
            <w:r w:rsidRPr="00970720">
              <w:t xml:space="preserve">® </w:t>
            </w:r>
            <w:proofErr w:type="spellStart"/>
            <w:r w:rsidRPr="00970720">
              <w:t>Liat</w:t>
            </w:r>
            <w:proofErr w:type="spellEnd"/>
            <w:r w:rsidRPr="00970720">
              <w:t xml:space="preserve">® assay tube again. Once the </w:t>
            </w:r>
            <w:proofErr w:type="spellStart"/>
            <w:r w:rsidRPr="00970720">
              <w:t>cobas</w:t>
            </w:r>
            <w:proofErr w:type="spellEnd"/>
            <w:r w:rsidRPr="00970720">
              <w:t xml:space="preserve">® </w:t>
            </w:r>
            <w:proofErr w:type="spellStart"/>
            <w:r w:rsidRPr="00970720">
              <w:t>Liat</w:t>
            </w:r>
            <w:proofErr w:type="spellEnd"/>
            <w:r w:rsidRPr="00970720">
              <w:t xml:space="preserve">® assay tube is properly inserted, the </w:t>
            </w:r>
            <w:proofErr w:type="spellStart"/>
            <w:r w:rsidRPr="00970720">
              <w:t>cobas</w:t>
            </w:r>
            <w:proofErr w:type="spellEnd"/>
            <w:r w:rsidRPr="00970720">
              <w:t xml:space="preserve">® </w:t>
            </w:r>
            <w:proofErr w:type="spellStart"/>
            <w:r w:rsidRPr="00970720">
              <w:t>Liat</w:t>
            </w:r>
            <w:proofErr w:type="spellEnd"/>
            <w:r w:rsidRPr="00970720">
              <w:t xml:space="preserve">® Analyzer will close the door automatically and begin the test. </w:t>
            </w:r>
          </w:p>
          <w:p w14:paraId="3356086D" w14:textId="77777777" w:rsidR="0099723F" w:rsidRPr="00970720" w:rsidRDefault="0099723F" w:rsidP="00682101">
            <w:pPr>
              <w:pStyle w:val="ListParagraph"/>
              <w:ind w:left="1065" w:hanging="270"/>
            </w:pPr>
            <w:r w:rsidRPr="00970720">
              <w:t xml:space="preserve">d. During the test, the analyzer screen displays the running status and estimated time remaining. Once the test is complete, the analyzer displays the message, “Please remove the tube slowly…” and opens the tube entry door automatically. </w:t>
            </w:r>
          </w:p>
          <w:p w14:paraId="58FF89D8" w14:textId="77777777" w:rsidR="0099723F" w:rsidRPr="00970720" w:rsidRDefault="0099723F" w:rsidP="00682101">
            <w:pPr>
              <w:pStyle w:val="ListParagraph"/>
              <w:ind w:left="1065" w:hanging="270"/>
            </w:pPr>
            <w:r w:rsidRPr="00970720">
              <w:t xml:space="preserve">e. Gently lift the </w:t>
            </w:r>
            <w:proofErr w:type="spellStart"/>
            <w:r w:rsidRPr="00970720">
              <w:t>cobas</w:t>
            </w:r>
            <w:proofErr w:type="spellEnd"/>
            <w:r w:rsidRPr="00970720">
              <w:t xml:space="preserve">® </w:t>
            </w:r>
            <w:proofErr w:type="spellStart"/>
            <w:r w:rsidRPr="00970720">
              <w:t>Liat</w:t>
            </w:r>
            <w:proofErr w:type="spellEnd"/>
            <w:r w:rsidRPr="00970720">
              <w:t xml:space="preserve">® assay tube out of the analyzer and discard the tube according to established procedure for disposing of biohazardous materials. </w:t>
            </w:r>
          </w:p>
          <w:p w14:paraId="3807FEAF" w14:textId="77777777" w:rsidR="0099723F" w:rsidRPr="00970720" w:rsidRDefault="0099723F" w:rsidP="00281397">
            <w:pPr>
              <w:ind w:left="525"/>
            </w:pPr>
            <w:r w:rsidRPr="00970720">
              <w:t xml:space="preserve">5. View the result.   </w:t>
            </w:r>
          </w:p>
          <w:p w14:paraId="13735968" w14:textId="77777777" w:rsidR="0099723F" w:rsidRPr="00970720" w:rsidRDefault="0099723F" w:rsidP="00682101">
            <w:pPr>
              <w:pStyle w:val="ListParagraph"/>
              <w:ind w:left="1065" w:hanging="270"/>
            </w:pPr>
            <w:r w:rsidRPr="00970720">
              <w:t xml:space="preserve">a. Select Report to see the Result Report.  </w:t>
            </w:r>
          </w:p>
          <w:p w14:paraId="0446B2B2" w14:textId="77777777" w:rsidR="0099723F" w:rsidRPr="00970720" w:rsidRDefault="0099723F" w:rsidP="00682101">
            <w:pPr>
              <w:pStyle w:val="ListParagraph"/>
              <w:ind w:left="1065" w:hanging="270"/>
            </w:pPr>
            <w:r w:rsidRPr="00970720">
              <w:t xml:space="preserve">b. Select Print to print the report (if applicable).  </w:t>
            </w:r>
          </w:p>
          <w:p w14:paraId="29B36244" w14:textId="77777777" w:rsidR="0099723F" w:rsidRPr="00970720" w:rsidRDefault="0099723F" w:rsidP="00682101">
            <w:pPr>
              <w:pStyle w:val="ListParagraph"/>
              <w:ind w:left="1065" w:hanging="270"/>
            </w:pPr>
            <w:r w:rsidRPr="00970720">
              <w:t xml:space="preserve">c. Select Back, and then Main to return to the main menu for the next test. </w:t>
            </w:r>
          </w:p>
          <w:p w14:paraId="397A9B92" w14:textId="77777777" w:rsidR="0099723F" w:rsidRPr="00970720" w:rsidRDefault="0099723F" w:rsidP="00682101">
            <w:pPr>
              <w:pStyle w:val="ListParagraph"/>
              <w:ind w:left="1065" w:hanging="270"/>
            </w:pPr>
            <w:r w:rsidRPr="00970720">
              <w:t xml:space="preserve">6. Interpret the results. </w:t>
            </w:r>
          </w:p>
          <w:p w14:paraId="12CB6657" w14:textId="77777777" w:rsidR="0099723F" w:rsidRPr="00970720" w:rsidRDefault="0099723F" w:rsidP="00281397">
            <w:pPr>
              <w:pStyle w:val="NormalWeb"/>
              <w:ind w:left="517"/>
            </w:pPr>
            <w:r w:rsidRPr="00970720">
              <w:t xml:space="preserve">The </w:t>
            </w:r>
            <w:proofErr w:type="spellStart"/>
            <w:r w:rsidRPr="00970720">
              <w:t>cobas</w:t>
            </w:r>
            <w:proofErr w:type="spellEnd"/>
            <w:r w:rsidRPr="00970720">
              <w:t xml:space="preserve">® </w:t>
            </w:r>
            <w:proofErr w:type="spellStart"/>
            <w:r w:rsidRPr="00970720">
              <w:t>Liat</w:t>
            </w:r>
            <w:proofErr w:type="spellEnd"/>
            <w:r w:rsidRPr="00970720">
              <w:t xml:space="preserve">® System reports </w:t>
            </w:r>
            <w:r w:rsidR="00E33B8F" w:rsidRPr="00970720">
              <w:t>result</w:t>
            </w:r>
            <w:r w:rsidRPr="00970720">
              <w:t xml:space="preserve"> as “Detected”, “Not Detected”, “Indeterminate”, “Assay Invalid” or an error message.  See table below for guidance on how to interpret and follow up on various results:</w:t>
            </w:r>
          </w:p>
          <w:p w14:paraId="5997CC1D" w14:textId="77777777" w:rsidR="009A6837" w:rsidRPr="00970720" w:rsidRDefault="009A6837" w:rsidP="0099723F">
            <w:pPr>
              <w:ind w:left="1080"/>
              <w:rPr>
                <w:b/>
              </w:rPr>
            </w:pPr>
          </w:p>
        </w:tc>
      </w:tr>
      <w:tr w:rsidR="005316ED" w:rsidRPr="00970720" w14:paraId="50D53852" w14:textId="77777777" w:rsidTr="00464F9A">
        <w:trPr>
          <w:trHeight w:val="2532"/>
        </w:trPr>
        <w:tc>
          <w:tcPr>
            <w:tcW w:w="10120" w:type="dxa"/>
            <w:gridSpan w:val="2"/>
            <w:tcBorders>
              <w:top w:val="nil"/>
              <w:left w:val="nil"/>
              <w:bottom w:val="nil"/>
              <w:right w:val="nil"/>
            </w:tcBorders>
          </w:tcPr>
          <w:p w14:paraId="666647EA" w14:textId="5094A80E" w:rsidR="00464F9A" w:rsidRPr="00464F9A" w:rsidRDefault="00464F9A" w:rsidP="00464F9A">
            <w:pPr>
              <w:ind w:left="247"/>
              <w:rPr>
                <w:b/>
              </w:rPr>
            </w:pPr>
            <w:r w:rsidRPr="00464F9A">
              <w:rPr>
                <w:b/>
              </w:rPr>
              <w:lastRenderedPageBreak/>
              <w:t>6.</w:t>
            </w:r>
            <w:r>
              <w:rPr>
                <w:b/>
              </w:rPr>
              <w:t xml:space="preserve"> </w:t>
            </w:r>
            <w:r w:rsidR="00AA260E" w:rsidRPr="00464F9A">
              <w:rPr>
                <w:b/>
              </w:rPr>
              <w:t>INTERPRETATION OF RESULTS:</w:t>
            </w:r>
          </w:p>
          <w:p w14:paraId="2FAA4BEA" w14:textId="5A0B4DE6" w:rsidR="008966D3" w:rsidRPr="00464F9A" w:rsidRDefault="00464F9A" w:rsidP="00464F9A">
            <w:pPr>
              <w:ind w:left="517"/>
              <w:rPr>
                <w:b/>
              </w:rPr>
            </w:pPr>
            <w:r>
              <w:t xml:space="preserve">A. </w:t>
            </w:r>
            <w:r w:rsidR="008966D3" w:rsidRPr="00970720">
              <w:t xml:space="preserve">Results are reported through </w:t>
            </w:r>
            <w:r>
              <w:t xml:space="preserve">the </w:t>
            </w:r>
            <w:proofErr w:type="spellStart"/>
            <w:r w:rsidRPr="00970720">
              <w:t>cobas</w:t>
            </w:r>
            <w:proofErr w:type="spellEnd"/>
            <w:r w:rsidRPr="00970720">
              <w:t>®</w:t>
            </w:r>
            <w:r>
              <w:t xml:space="preserve"> Infinity POC</w:t>
            </w:r>
            <w:r w:rsidR="008966D3" w:rsidRPr="00970720">
              <w:t xml:space="preserve"> Interface.</w:t>
            </w:r>
          </w:p>
          <w:p w14:paraId="6B699379" w14:textId="77777777" w:rsidR="00870457" w:rsidRPr="00970720" w:rsidRDefault="00870457" w:rsidP="00870457">
            <w:pPr>
              <w:ind w:left="648"/>
              <w:rPr>
                <w:b/>
              </w:rPr>
            </w:pP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065"/>
              <w:gridCol w:w="3116"/>
            </w:tblGrid>
            <w:tr w:rsidR="001130E9" w:rsidRPr="00970720" w14:paraId="2B4906E3" w14:textId="77777777" w:rsidTr="00464F9A">
              <w:tc>
                <w:tcPr>
                  <w:tcW w:w="3065" w:type="dxa"/>
                  <w:shd w:val="clear" w:color="auto" w:fill="auto"/>
                </w:tcPr>
                <w:p w14:paraId="6EFA07E5" w14:textId="77777777" w:rsidR="001130E9" w:rsidRPr="00970720" w:rsidRDefault="001130E9" w:rsidP="000A476D">
                  <w:pPr>
                    <w:pStyle w:val="NormalWeb"/>
                  </w:pPr>
                  <w:r w:rsidRPr="00970720">
                    <w:t xml:space="preserve">Influenza A  </w:t>
                  </w:r>
                </w:p>
                <w:p w14:paraId="3FE9F23F" w14:textId="77777777" w:rsidR="001130E9" w:rsidRPr="00970720" w:rsidRDefault="001130E9" w:rsidP="000A476D">
                  <w:pPr>
                    <w:pStyle w:val="NormalWeb"/>
                  </w:pPr>
                </w:p>
              </w:tc>
              <w:tc>
                <w:tcPr>
                  <w:tcW w:w="3065" w:type="dxa"/>
                  <w:shd w:val="clear" w:color="auto" w:fill="auto"/>
                </w:tcPr>
                <w:p w14:paraId="1FC1B55E" w14:textId="77777777" w:rsidR="001130E9" w:rsidRPr="00970720" w:rsidRDefault="001130E9" w:rsidP="000A476D">
                  <w:pPr>
                    <w:pStyle w:val="NormalWeb"/>
                  </w:pPr>
                  <w:r w:rsidRPr="00970720">
                    <w:t xml:space="preserve">Influenza A Not Detected </w:t>
                  </w:r>
                </w:p>
                <w:p w14:paraId="1F72F646" w14:textId="77777777" w:rsidR="001130E9" w:rsidRPr="00970720" w:rsidRDefault="001130E9" w:rsidP="001130E9">
                  <w:pPr>
                    <w:pStyle w:val="NormalWeb"/>
                  </w:pPr>
                </w:p>
                <w:p w14:paraId="7ADA6ACC" w14:textId="77777777" w:rsidR="001130E9" w:rsidRPr="00970720" w:rsidRDefault="001130E9" w:rsidP="000A476D">
                  <w:pPr>
                    <w:pStyle w:val="NormalWeb"/>
                  </w:pPr>
                  <w:r w:rsidRPr="00970720">
                    <w:t>Influenza A Detected</w:t>
                  </w:r>
                </w:p>
                <w:p w14:paraId="08CE6F91" w14:textId="77777777" w:rsidR="001130E9" w:rsidRPr="00970720" w:rsidRDefault="001130E9" w:rsidP="001130E9">
                  <w:pPr>
                    <w:pStyle w:val="NormalWeb"/>
                  </w:pPr>
                </w:p>
                <w:p w14:paraId="61CDCEAD" w14:textId="77777777" w:rsidR="001130E9" w:rsidRPr="00970720" w:rsidRDefault="001130E9" w:rsidP="6ACD9241">
                  <w:pPr>
                    <w:pStyle w:val="NormalWeb"/>
                    <w:rPr>
                      <w:highlight w:val="yellow"/>
                    </w:rPr>
                  </w:pPr>
                </w:p>
                <w:p w14:paraId="66CCA195" w14:textId="1430504B" w:rsidR="001130E9" w:rsidRPr="006C6F94" w:rsidRDefault="6ACD9241" w:rsidP="6ACD9241">
                  <w:pPr>
                    <w:pStyle w:val="NormalWeb"/>
                  </w:pPr>
                  <w:r w:rsidRPr="006C6F94">
                    <w:t xml:space="preserve">Influenza </w:t>
                  </w:r>
                  <w:proofErr w:type="gramStart"/>
                  <w:r w:rsidRPr="006C6F94">
                    <w:t>A</w:t>
                  </w:r>
                  <w:proofErr w:type="gramEnd"/>
                  <w:r w:rsidRPr="006C6F94">
                    <w:t xml:space="preserve"> In</w:t>
                  </w:r>
                  <w:r w:rsidR="00B82C21" w:rsidRPr="006C6F94">
                    <w:t>valid</w:t>
                  </w:r>
                  <w:r w:rsidRPr="006C6F94">
                    <w:t xml:space="preserve">. Repeat Assay.  </w:t>
                  </w:r>
                </w:p>
                <w:p w14:paraId="6BB9E253" w14:textId="77777777" w:rsidR="001130E9" w:rsidRPr="00970720" w:rsidRDefault="001130E9" w:rsidP="00870457"/>
              </w:tc>
              <w:tc>
                <w:tcPr>
                  <w:tcW w:w="3116" w:type="dxa"/>
                  <w:shd w:val="clear" w:color="auto" w:fill="auto"/>
                </w:tcPr>
                <w:p w14:paraId="13275FF7" w14:textId="3439EC40" w:rsidR="001130E9" w:rsidRPr="00970720" w:rsidRDefault="001130E9" w:rsidP="000A476D">
                  <w:pPr>
                    <w:pStyle w:val="NormalWeb"/>
                  </w:pPr>
                  <w:r w:rsidRPr="00970720">
                    <w:t xml:space="preserve">Negative test for Influenza A (no Influenza </w:t>
                  </w:r>
                  <w:proofErr w:type="gramStart"/>
                  <w:r w:rsidRPr="00970720">
                    <w:t>A</w:t>
                  </w:r>
                  <w:proofErr w:type="gramEnd"/>
                  <w:r w:rsidRPr="00970720">
                    <w:t xml:space="preserve"> RNA detected)</w:t>
                  </w:r>
                </w:p>
                <w:p w14:paraId="6D1A2330" w14:textId="2D291D81" w:rsidR="001130E9" w:rsidRPr="00970720" w:rsidRDefault="001130E9" w:rsidP="000A476D">
                  <w:pPr>
                    <w:pStyle w:val="NormalWeb"/>
                  </w:pPr>
                  <w:r w:rsidRPr="00970720">
                    <w:t xml:space="preserve">Positive test for Influenza A (Influenza </w:t>
                  </w:r>
                  <w:proofErr w:type="gramStart"/>
                  <w:r w:rsidRPr="00970720">
                    <w:t>A</w:t>
                  </w:r>
                  <w:proofErr w:type="gramEnd"/>
                  <w:r w:rsidRPr="00970720">
                    <w:t xml:space="preserve"> RNA present)</w:t>
                  </w:r>
                </w:p>
                <w:p w14:paraId="23DE523C" w14:textId="77777777" w:rsidR="001130E9" w:rsidRPr="00970720" w:rsidRDefault="001130E9" w:rsidP="00870457"/>
                <w:p w14:paraId="52E56223" w14:textId="2BC3CB18" w:rsidR="001130E9" w:rsidRPr="00970720" w:rsidRDefault="001130E9" w:rsidP="00F5524C">
                  <w:pPr>
                    <w:pStyle w:val="NormalWeb"/>
                  </w:pPr>
                  <w:r w:rsidRPr="00970720">
                    <w:t xml:space="preserve">Presence or absence of Influenza A cannot be determined. Repeat assay with same sample or, if possible, </w:t>
                  </w:r>
                  <w:r w:rsidR="00F5524C" w:rsidRPr="00970720">
                    <w:t>new sample. Do not report indeterminate. Cancel test, notify physician and send out an alternative method.</w:t>
                  </w:r>
                </w:p>
              </w:tc>
            </w:tr>
            <w:tr w:rsidR="001130E9" w:rsidRPr="00970720" w14:paraId="2A6C4896" w14:textId="77777777" w:rsidTr="00464F9A">
              <w:tc>
                <w:tcPr>
                  <w:tcW w:w="3065" w:type="dxa"/>
                  <w:shd w:val="clear" w:color="auto" w:fill="auto"/>
                </w:tcPr>
                <w:p w14:paraId="03AD5297" w14:textId="77777777" w:rsidR="001130E9" w:rsidRPr="00970720" w:rsidRDefault="001130E9" w:rsidP="000A476D">
                  <w:pPr>
                    <w:pStyle w:val="NormalWeb"/>
                  </w:pPr>
                  <w:r w:rsidRPr="00970720">
                    <w:lastRenderedPageBreak/>
                    <w:t xml:space="preserve">Influenza B </w:t>
                  </w:r>
                </w:p>
                <w:p w14:paraId="07547A01" w14:textId="77777777" w:rsidR="001130E9" w:rsidRPr="00970720" w:rsidRDefault="001130E9" w:rsidP="00870457"/>
              </w:tc>
              <w:tc>
                <w:tcPr>
                  <w:tcW w:w="3065" w:type="dxa"/>
                  <w:shd w:val="clear" w:color="auto" w:fill="auto"/>
                </w:tcPr>
                <w:p w14:paraId="2617BA8B" w14:textId="77777777" w:rsidR="00B76C46" w:rsidRPr="00970720" w:rsidRDefault="00B76C46" w:rsidP="000A476D">
                  <w:pPr>
                    <w:pStyle w:val="NormalWeb"/>
                  </w:pPr>
                  <w:r w:rsidRPr="00970720">
                    <w:t xml:space="preserve">Influenza B Not Detected  </w:t>
                  </w:r>
                </w:p>
                <w:p w14:paraId="5043CB0F" w14:textId="77777777" w:rsidR="00B76C46" w:rsidRPr="00970720" w:rsidRDefault="00B76C46" w:rsidP="00B76C46">
                  <w:pPr>
                    <w:pStyle w:val="NormalWeb"/>
                  </w:pPr>
                </w:p>
                <w:p w14:paraId="2151F2F4" w14:textId="77777777" w:rsidR="00B76C46" w:rsidRPr="00970720" w:rsidRDefault="00B76C46" w:rsidP="000A476D">
                  <w:pPr>
                    <w:pStyle w:val="NormalWeb"/>
                  </w:pPr>
                  <w:r w:rsidRPr="00970720">
                    <w:t>Influenza B Detected</w:t>
                  </w:r>
                </w:p>
                <w:p w14:paraId="07459315" w14:textId="77777777" w:rsidR="00B76C46" w:rsidRPr="00970720" w:rsidRDefault="00B76C46" w:rsidP="00B76C46">
                  <w:pPr>
                    <w:pStyle w:val="NormalWeb"/>
                  </w:pPr>
                </w:p>
                <w:p w14:paraId="06712726" w14:textId="61836A07" w:rsidR="00B76C46" w:rsidRPr="00970720" w:rsidRDefault="6ACD9241" w:rsidP="000A476D">
                  <w:pPr>
                    <w:pStyle w:val="NormalWeb"/>
                  </w:pPr>
                  <w:r w:rsidRPr="006C6F94">
                    <w:t>Influenza B In</w:t>
                  </w:r>
                  <w:r w:rsidR="00B82C21" w:rsidRPr="006C6F94">
                    <w:t>valid</w:t>
                  </w:r>
                  <w:r w:rsidRPr="006C6F94">
                    <w:t>. Repeat Assay.</w:t>
                  </w:r>
                  <w:r w:rsidRPr="00970720">
                    <w:t xml:space="preserve"> </w:t>
                  </w:r>
                </w:p>
                <w:p w14:paraId="6537F28F" w14:textId="77777777" w:rsidR="001130E9" w:rsidRPr="00970720" w:rsidRDefault="001130E9" w:rsidP="00870457"/>
              </w:tc>
              <w:tc>
                <w:tcPr>
                  <w:tcW w:w="3116" w:type="dxa"/>
                  <w:shd w:val="clear" w:color="auto" w:fill="auto"/>
                </w:tcPr>
                <w:p w14:paraId="04DE29B5" w14:textId="3E0E5BA4" w:rsidR="00B76C46" w:rsidRPr="00970720" w:rsidRDefault="00B76C46" w:rsidP="000A476D">
                  <w:pPr>
                    <w:pStyle w:val="NormalWeb"/>
                  </w:pPr>
                  <w:r w:rsidRPr="00970720">
                    <w:t>Negative test for Influenza B (no Influenza B RNA detected)</w:t>
                  </w:r>
                </w:p>
                <w:p w14:paraId="4755F407" w14:textId="5C4AD65B" w:rsidR="00B76C46" w:rsidRPr="00970720" w:rsidRDefault="00B76C46" w:rsidP="000A476D">
                  <w:pPr>
                    <w:pStyle w:val="NormalWeb"/>
                  </w:pPr>
                  <w:r w:rsidRPr="00970720">
                    <w:t>Positive test for Influenza B (Influenza B RNA present)</w:t>
                  </w:r>
                </w:p>
                <w:p w14:paraId="3E811F2B" w14:textId="3E495BAE" w:rsidR="00B76C46" w:rsidRPr="00970720" w:rsidRDefault="00B76C46" w:rsidP="000A476D">
                  <w:pPr>
                    <w:pStyle w:val="NormalWeb"/>
                  </w:pPr>
                  <w:r w:rsidRPr="00970720">
                    <w:t>Presence or absence of Influenza B cannot be determined. Repeat assay</w:t>
                  </w:r>
                  <w:r w:rsidR="00F5524C" w:rsidRPr="00970720">
                    <w:t>.</w:t>
                  </w:r>
                  <w:r w:rsidRPr="00970720">
                    <w:t xml:space="preserve"> </w:t>
                  </w:r>
                  <w:r w:rsidR="00F5524C" w:rsidRPr="00970720">
                    <w:t>Do not report indeterminate. Cancel test, notify physician and send out an alternative method</w:t>
                  </w:r>
                  <w:r w:rsidR="00B82C21" w:rsidRPr="00970720">
                    <w:t xml:space="preserve"> </w:t>
                  </w:r>
                  <w:r w:rsidRPr="00970720">
                    <w:t>with same sample or, if possible, new sample.</w:t>
                  </w:r>
                </w:p>
                <w:p w14:paraId="6DFB9E20" w14:textId="77777777" w:rsidR="001130E9" w:rsidRPr="00970720" w:rsidRDefault="001130E9" w:rsidP="00870457"/>
              </w:tc>
            </w:tr>
            <w:tr w:rsidR="00753CD0" w:rsidRPr="00970720" w14:paraId="1AFC4D21" w14:textId="77777777" w:rsidTr="00464F9A">
              <w:trPr>
                <w:trHeight w:val="2213"/>
              </w:trPr>
              <w:tc>
                <w:tcPr>
                  <w:tcW w:w="3065" w:type="dxa"/>
                  <w:shd w:val="clear" w:color="auto" w:fill="auto"/>
                </w:tcPr>
                <w:p w14:paraId="45A6A95D" w14:textId="12E87515" w:rsidR="00753CD0" w:rsidRPr="00970720" w:rsidRDefault="00A64FBF" w:rsidP="000A476D">
                  <w:pPr>
                    <w:pStyle w:val="NormalWeb"/>
                  </w:pPr>
                  <w:r w:rsidRPr="00970720">
                    <w:t>SARS-COV2</w:t>
                  </w:r>
                </w:p>
              </w:tc>
              <w:tc>
                <w:tcPr>
                  <w:tcW w:w="3065" w:type="dxa"/>
                  <w:shd w:val="clear" w:color="auto" w:fill="auto"/>
                </w:tcPr>
                <w:p w14:paraId="7628CE90" w14:textId="4BF43B5A" w:rsidR="00A64FBF" w:rsidRPr="00970720" w:rsidRDefault="00A64FBF" w:rsidP="00A64FBF">
                  <w:pPr>
                    <w:pStyle w:val="NormalWeb"/>
                  </w:pPr>
                  <w:r w:rsidRPr="00970720">
                    <w:t xml:space="preserve">SARS-COV2 Not Detected  </w:t>
                  </w:r>
                </w:p>
                <w:p w14:paraId="7919D20B" w14:textId="77777777" w:rsidR="00A64FBF" w:rsidRPr="00970720" w:rsidRDefault="00A64FBF" w:rsidP="00A64FBF">
                  <w:pPr>
                    <w:pStyle w:val="NormalWeb"/>
                  </w:pPr>
                </w:p>
                <w:p w14:paraId="1302B6AE" w14:textId="77777777" w:rsidR="00315EB7" w:rsidRDefault="00315EB7" w:rsidP="00A64FBF">
                  <w:pPr>
                    <w:pStyle w:val="NormalWeb"/>
                  </w:pPr>
                </w:p>
                <w:p w14:paraId="714E038A" w14:textId="77777777" w:rsidR="00315EB7" w:rsidRDefault="00315EB7" w:rsidP="00A64FBF">
                  <w:pPr>
                    <w:pStyle w:val="NormalWeb"/>
                  </w:pPr>
                </w:p>
                <w:p w14:paraId="3D6E365B" w14:textId="77777777" w:rsidR="00315EB7" w:rsidRDefault="00315EB7" w:rsidP="00A64FBF">
                  <w:pPr>
                    <w:pStyle w:val="NormalWeb"/>
                  </w:pPr>
                </w:p>
                <w:p w14:paraId="47998456" w14:textId="77777777" w:rsidR="00315EB7" w:rsidRDefault="00315EB7" w:rsidP="00A64FBF">
                  <w:pPr>
                    <w:pStyle w:val="NormalWeb"/>
                  </w:pPr>
                </w:p>
                <w:p w14:paraId="4F4EE5FB" w14:textId="77777777" w:rsidR="00315EB7" w:rsidRDefault="00315EB7" w:rsidP="00A64FBF">
                  <w:pPr>
                    <w:pStyle w:val="NormalWeb"/>
                  </w:pPr>
                </w:p>
                <w:p w14:paraId="5B46065F" w14:textId="77777777" w:rsidR="00315EB7" w:rsidRDefault="00315EB7" w:rsidP="00A64FBF">
                  <w:pPr>
                    <w:pStyle w:val="NormalWeb"/>
                  </w:pPr>
                </w:p>
                <w:p w14:paraId="545DEBA9" w14:textId="77777777" w:rsidR="00315EB7" w:rsidRDefault="00315EB7" w:rsidP="00A64FBF">
                  <w:pPr>
                    <w:pStyle w:val="NormalWeb"/>
                  </w:pPr>
                </w:p>
                <w:p w14:paraId="0F066722" w14:textId="77777777" w:rsidR="00315EB7" w:rsidRDefault="00315EB7" w:rsidP="00A64FBF">
                  <w:pPr>
                    <w:pStyle w:val="NormalWeb"/>
                  </w:pPr>
                </w:p>
                <w:p w14:paraId="72B4E1BF" w14:textId="77777777" w:rsidR="00315EB7" w:rsidRDefault="00315EB7" w:rsidP="00A64FBF">
                  <w:pPr>
                    <w:pStyle w:val="NormalWeb"/>
                  </w:pPr>
                </w:p>
                <w:p w14:paraId="1F0F4944" w14:textId="77777777" w:rsidR="00315EB7" w:rsidRDefault="00315EB7" w:rsidP="00A64FBF">
                  <w:pPr>
                    <w:pStyle w:val="NormalWeb"/>
                  </w:pPr>
                </w:p>
                <w:p w14:paraId="636B7540" w14:textId="2045565F" w:rsidR="00A64FBF" w:rsidRPr="00970720" w:rsidRDefault="00A64FBF" w:rsidP="00A64FBF">
                  <w:pPr>
                    <w:pStyle w:val="NormalWeb"/>
                  </w:pPr>
                  <w:r w:rsidRPr="00970720">
                    <w:t>SARS-COV2 Detected</w:t>
                  </w:r>
                </w:p>
                <w:p w14:paraId="7788A93A" w14:textId="77777777" w:rsidR="00A64FBF" w:rsidRPr="00970720" w:rsidRDefault="00A64FBF" w:rsidP="00A64FBF">
                  <w:pPr>
                    <w:pStyle w:val="NormalWeb"/>
                  </w:pPr>
                </w:p>
                <w:p w14:paraId="25BC366B" w14:textId="70314F9F" w:rsidR="00753CD0" w:rsidRPr="00970720" w:rsidRDefault="00A64FBF" w:rsidP="00A64FBF">
                  <w:pPr>
                    <w:pStyle w:val="NormalWeb"/>
                  </w:pPr>
                  <w:r w:rsidRPr="006C6F94">
                    <w:t>SARS-COV2 In</w:t>
                  </w:r>
                  <w:r w:rsidR="00B82C21" w:rsidRPr="006C6F94">
                    <w:t>valid</w:t>
                  </w:r>
                  <w:r w:rsidRPr="006C6F94">
                    <w:t>. Repeat Assay.</w:t>
                  </w:r>
                </w:p>
              </w:tc>
              <w:tc>
                <w:tcPr>
                  <w:tcW w:w="3116" w:type="dxa"/>
                  <w:shd w:val="clear" w:color="auto" w:fill="auto"/>
                </w:tcPr>
                <w:p w14:paraId="416FD359" w14:textId="77777777" w:rsidR="00315EB7" w:rsidRDefault="00A64FBF" w:rsidP="00315EB7">
                  <w:pPr>
                    <w:pStyle w:val="NormalWeb"/>
                  </w:pPr>
                  <w:r w:rsidRPr="00970720">
                    <w:t>Negative test for SARS-COV2 (no SARS-COV2 RNA detected)</w:t>
                  </w:r>
                </w:p>
                <w:p w14:paraId="77BD1BEC" w14:textId="348C762C" w:rsidR="00315EB7" w:rsidRPr="00176CF6" w:rsidRDefault="00315EB7" w:rsidP="00315EB7">
                  <w:pPr>
                    <w:pStyle w:val="NormalWeb"/>
                    <w:rPr>
                      <w:highlight w:val="yellow"/>
                    </w:rPr>
                  </w:pPr>
                  <w:r w:rsidRPr="00176CF6">
                    <w:rPr>
                      <w:highlight w:val="yellow"/>
                    </w:rPr>
                    <w:t>Asymptomatic: A negative result from an asymptomatic individual is presumptive. A negative result obtained with a nasal swab collected from an asymptomatic patient should be followed up by testing at least twice over three days with at least 48 hours between tests. Negative results do not preclude SARS-CoV-2 infection.</w:t>
                  </w:r>
                </w:p>
                <w:p w14:paraId="2CE520F3" w14:textId="77777777" w:rsidR="00315EB7" w:rsidRPr="00367F09" w:rsidRDefault="00315EB7" w:rsidP="00315EB7">
                  <w:pPr>
                    <w:rPr>
                      <w:szCs w:val="20"/>
                    </w:rPr>
                  </w:pPr>
                  <w:r w:rsidRPr="00176CF6">
                    <w:rPr>
                      <w:szCs w:val="20"/>
                      <w:highlight w:val="yellow"/>
                    </w:rPr>
                    <w:t>This applies to Nasal swab collections ONLY. Nasopharyngeal specimens do not require the same follow-up process.</w:t>
                  </w:r>
                  <w:bookmarkStart w:id="0" w:name="_GoBack"/>
                  <w:bookmarkEnd w:id="0"/>
                </w:p>
                <w:p w14:paraId="28A7E620" w14:textId="77777777" w:rsidR="00315EB7" w:rsidRPr="00970720" w:rsidRDefault="00315EB7" w:rsidP="00A64FBF">
                  <w:pPr>
                    <w:pStyle w:val="NormalWeb"/>
                  </w:pPr>
                </w:p>
                <w:p w14:paraId="33B1468A" w14:textId="1D5DB7EE" w:rsidR="00A64FBF" w:rsidRPr="00970720" w:rsidRDefault="00A64FBF" w:rsidP="00A64FBF">
                  <w:pPr>
                    <w:pStyle w:val="NormalWeb"/>
                  </w:pPr>
                  <w:r w:rsidRPr="00970720">
                    <w:t>Positive test for Influenza B (SARS-COV2 RNA present)</w:t>
                  </w:r>
                </w:p>
                <w:p w14:paraId="40807459" w14:textId="33F492B9" w:rsidR="00753CD0" w:rsidRPr="00970720" w:rsidRDefault="00A64FBF" w:rsidP="00A64FBF">
                  <w:pPr>
                    <w:pStyle w:val="NormalWeb"/>
                  </w:pPr>
                  <w:r w:rsidRPr="00970720">
                    <w:t xml:space="preserve">Presence or absence of SARS-COV2 cannot be determined. Repeat assay. Do not report indeterminate. </w:t>
                  </w:r>
                  <w:r w:rsidRPr="00970720">
                    <w:lastRenderedPageBreak/>
                    <w:t>Cancel test, notify physician and send out an alternative method</w:t>
                  </w:r>
                  <w:r w:rsidR="00B82C21" w:rsidRPr="00970720">
                    <w:t xml:space="preserve"> </w:t>
                  </w:r>
                  <w:r w:rsidRPr="00970720">
                    <w:t>with same sample or, if possible, new sample.</w:t>
                  </w:r>
                </w:p>
              </w:tc>
            </w:tr>
            <w:tr w:rsidR="001130E9" w:rsidRPr="00970720" w14:paraId="00AEFE11" w14:textId="77777777" w:rsidTr="00464F9A">
              <w:tc>
                <w:tcPr>
                  <w:tcW w:w="3065" w:type="dxa"/>
                  <w:shd w:val="clear" w:color="auto" w:fill="auto"/>
                </w:tcPr>
                <w:p w14:paraId="04D2A1C9" w14:textId="77777777" w:rsidR="001130E9" w:rsidRPr="00970720" w:rsidRDefault="001130E9" w:rsidP="000A476D">
                  <w:pPr>
                    <w:pStyle w:val="NormalWeb"/>
                  </w:pPr>
                  <w:r w:rsidRPr="00970720">
                    <w:lastRenderedPageBreak/>
                    <w:t>Assay Invalid. Repeat Assay.</w:t>
                  </w:r>
                </w:p>
                <w:p w14:paraId="70DF9E56" w14:textId="77777777" w:rsidR="001130E9" w:rsidRPr="00970720" w:rsidRDefault="001130E9" w:rsidP="00870457"/>
              </w:tc>
              <w:tc>
                <w:tcPr>
                  <w:tcW w:w="3065" w:type="dxa"/>
                  <w:shd w:val="clear" w:color="auto" w:fill="auto"/>
                </w:tcPr>
                <w:p w14:paraId="44E871BC" w14:textId="77777777" w:rsidR="001130E9" w:rsidRPr="00970720" w:rsidRDefault="001130E9" w:rsidP="00870457"/>
              </w:tc>
              <w:tc>
                <w:tcPr>
                  <w:tcW w:w="3116" w:type="dxa"/>
                  <w:shd w:val="clear" w:color="auto" w:fill="auto"/>
                </w:tcPr>
                <w:p w14:paraId="436C615F" w14:textId="589115AB" w:rsidR="00B76C46" w:rsidRPr="00970720" w:rsidRDefault="00B76C46" w:rsidP="000A476D">
                  <w:pPr>
                    <w:pStyle w:val="NormalWeb"/>
                  </w:pPr>
                  <w:r w:rsidRPr="00970720">
                    <w:t>Presence or absence of Influenza A, and Influenza B cannot be determined. Repeat assay with same sample or, if possible, new sample.</w:t>
                  </w:r>
                  <w:r w:rsidR="00F5524C" w:rsidRPr="00970720">
                    <w:t xml:space="preserve"> Do not report invalid. Cancel test, notify physician and send out an alternative method.</w:t>
                  </w:r>
                </w:p>
                <w:p w14:paraId="144A5D23" w14:textId="77777777" w:rsidR="001130E9" w:rsidRPr="00970720" w:rsidRDefault="001130E9" w:rsidP="00870457"/>
              </w:tc>
            </w:tr>
            <w:tr w:rsidR="001130E9" w:rsidRPr="00970720" w14:paraId="46326AE1" w14:textId="77777777" w:rsidTr="00464F9A">
              <w:tc>
                <w:tcPr>
                  <w:tcW w:w="3065" w:type="dxa"/>
                  <w:shd w:val="clear" w:color="auto" w:fill="auto"/>
                </w:tcPr>
                <w:p w14:paraId="69D894C8" w14:textId="77777777" w:rsidR="001130E9" w:rsidRPr="00970720" w:rsidRDefault="001130E9" w:rsidP="000A476D">
                  <w:pPr>
                    <w:pStyle w:val="NormalWeb"/>
                  </w:pPr>
                  <w:r w:rsidRPr="00970720">
                    <w:t>[Error]. Assay Abort</w:t>
                  </w:r>
                </w:p>
                <w:p w14:paraId="738610EB" w14:textId="77777777" w:rsidR="001130E9" w:rsidRPr="00970720" w:rsidRDefault="001130E9" w:rsidP="00870457"/>
              </w:tc>
              <w:tc>
                <w:tcPr>
                  <w:tcW w:w="3065" w:type="dxa"/>
                  <w:shd w:val="clear" w:color="auto" w:fill="auto"/>
                </w:tcPr>
                <w:p w14:paraId="637805D2" w14:textId="77777777" w:rsidR="001130E9" w:rsidRPr="00970720" w:rsidRDefault="001130E9" w:rsidP="00870457"/>
              </w:tc>
              <w:tc>
                <w:tcPr>
                  <w:tcW w:w="3116" w:type="dxa"/>
                  <w:shd w:val="clear" w:color="auto" w:fill="auto"/>
                </w:tcPr>
                <w:p w14:paraId="489E5E3B" w14:textId="77777777" w:rsidR="00B76C46" w:rsidRPr="00970720" w:rsidRDefault="00B76C46" w:rsidP="000A476D">
                  <w:pPr>
                    <w:pStyle w:val="NormalWeb"/>
                  </w:pPr>
                  <w:r w:rsidRPr="00970720">
                    <w:t xml:space="preserve">Presence or absence of target viruses cannot be determined. Repeat assay. </w:t>
                  </w:r>
                </w:p>
                <w:p w14:paraId="463F29E8" w14:textId="77777777" w:rsidR="001130E9" w:rsidRPr="00970720" w:rsidRDefault="001130E9" w:rsidP="00870457"/>
              </w:tc>
            </w:tr>
          </w:tbl>
          <w:p w14:paraId="264316E5" w14:textId="77777777" w:rsidR="0024549C" w:rsidRPr="00970720" w:rsidRDefault="0024549C" w:rsidP="00870457">
            <w:pPr>
              <w:ind w:left="648"/>
            </w:pPr>
          </w:p>
          <w:p w14:paraId="76F2EFC8" w14:textId="02E8A0EE" w:rsidR="00B82F2B" w:rsidRPr="00970720" w:rsidRDefault="008B305F" w:rsidP="00464F9A">
            <w:pPr>
              <w:ind w:left="517"/>
            </w:pPr>
            <w:r w:rsidRPr="00970720">
              <w:rPr>
                <w:bCs/>
              </w:rPr>
              <w:t>D.</w:t>
            </w:r>
            <w:r w:rsidR="00B82F2B" w:rsidRPr="00970720">
              <w:rPr>
                <w:bCs/>
              </w:rPr>
              <w:t xml:space="preserve"> </w:t>
            </w:r>
            <w:r w:rsidR="00B82F2B" w:rsidRPr="00970720">
              <w:t xml:space="preserve">Interpretation of results of </w:t>
            </w:r>
            <w:proofErr w:type="spellStart"/>
            <w:r w:rsidR="00B82F2B" w:rsidRPr="00970720">
              <w:t>cobas</w:t>
            </w:r>
            <w:proofErr w:type="spellEnd"/>
            <w:r w:rsidR="00B82F2B" w:rsidRPr="00970720">
              <w:t>® SARS-CoV-2 &amp; Influenza A/B when running “Lot Validation” procedure</w:t>
            </w:r>
          </w:p>
          <w:tbl>
            <w:tblPr>
              <w:tblStyle w:val="TableGrid"/>
              <w:tblW w:w="9894" w:type="dxa"/>
              <w:tblInd w:w="512" w:type="dxa"/>
              <w:tblLook w:val="0000" w:firstRow="0" w:lastRow="0" w:firstColumn="0" w:lastColumn="0" w:noHBand="0" w:noVBand="0"/>
            </w:tblPr>
            <w:tblGrid>
              <w:gridCol w:w="3296"/>
              <w:gridCol w:w="6598"/>
            </w:tblGrid>
            <w:tr w:rsidR="00B82F2B" w:rsidRPr="00970720" w14:paraId="33F4C618" w14:textId="77777777" w:rsidTr="00464F9A">
              <w:trPr>
                <w:trHeight w:val="116"/>
              </w:trPr>
              <w:tc>
                <w:tcPr>
                  <w:tcW w:w="3296" w:type="dxa"/>
                </w:tcPr>
                <w:p w14:paraId="6729E503" w14:textId="168C0405" w:rsidR="00B82F2B" w:rsidRPr="00970720" w:rsidRDefault="00B82F2B" w:rsidP="00B82F2B">
                  <w:pPr>
                    <w:pStyle w:val="Default"/>
                    <w:ind w:left="-45"/>
                    <w:rPr>
                      <w:rFonts w:ascii="Times New Roman" w:hAnsi="Times New Roman" w:cs="Times New Roman"/>
                    </w:rPr>
                  </w:pPr>
                  <w:proofErr w:type="spellStart"/>
                  <w:r w:rsidRPr="00970720">
                    <w:rPr>
                      <w:rFonts w:ascii="Times New Roman" w:hAnsi="Times New Roman" w:cs="Times New Roman"/>
                      <w:bCs/>
                    </w:rPr>
                    <w:t>cobas</w:t>
                  </w:r>
                  <w:proofErr w:type="spellEnd"/>
                  <w:r w:rsidRPr="00970720">
                    <w:rPr>
                      <w:rFonts w:ascii="Times New Roman" w:hAnsi="Times New Roman" w:cs="Times New Roman"/>
                      <w:bCs/>
                    </w:rPr>
                    <w:t xml:space="preserve">® </w:t>
                  </w:r>
                  <w:proofErr w:type="spellStart"/>
                  <w:r w:rsidRPr="00970720">
                    <w:rPr>
                      <w:rFonts w:ascii="Times New Roman" w:hAnsi="Times New Roman" w:cs="Times New Roman"/>
                      <w:bCs/>
                    </w:rPr>
                    <w:t>Liat</w:t>
                  </w:r>
                  <w:proofErr w:type="spellEnd"/>
                  <w:r w:rsidRPr="00970720">
                    <w:rPr>
                      <w:rFonts w:ascii="Times New Roman" w:hAnsi="Times New Roman" w:cs="Times New Roman"/>
                      <w:bCs/>
                    </w:rPr>
                    <w:t xml:space="preserve">® Analyzer Display </w:t>
                  </w:r>
                </w:p>
              </w:tc>
              <w:tc>
                <w:tcPr>
                  <w:tcW w:w="6598" w:type="dxa"/>
                </w:tcPr>
                <w:p w14:paraId="4D438FE9" w14:textId="77777777" w:rsidR="00B82F2B" w:rsidRPr="00970720" w:rsidRDefault="00B82F2B" w:rsidP="00B82F2B">
                  <w:pPr>
                    <w:pStyle w:val="Default"/>
                    <w:ind w:left="-45"/>
                    <w:rPr>
                      <w:rFonts w:ascii="Times New Roman" w:hAnsi="Times New Roman" w:cs="Times New Roman"/>
                    </w:rPr>
                  </w:pPr>
                  <w:r w:rsidRPr="00970720">
                    <w:rPr>
                      <w:rFonts w:ascii="Times New Roman" w:hAnsi="Times New Roman" w:cs="Times New Roman"/>
                      <w:bCs/>
                    </w:rPr>
                    <w:t xml:space="preserve">Interpretation </w:t>
                  </w:r>
                </w:p>
              </w:tc>
            </w:tr>
            <w:tr w:rsidR="00B82F2B" w:rsidRPr="00970720" w14:paraId="5AF50BE3" w14:textId="77777777" w:rsidTr="00464F9A">
              <w:trPr>
                <w:trHeight w:val="342"/>
              </w:trPr>
              <w:tc>
                <w:tcPr>
                  <w:tcW w:w="3296" w:type="dxa"/>
                </w:tcPr>
                <w:p w14:paraId="50606880" w14:textId="77777777" w:rsidR="00B82F2B" w:rsidRPr="00970720" w:rsidRDefault="00B82F2B" w:rsidP="00B82F2B">
                  <w:pPr>
                    <w:pStyle w:val="Default"/>
                    <w:ind w:left="-45"/>
                    <w:rPr>
                      <w:rFonts w:ascii="Times New Roman" w:hAnsi="Times New Roman" w:cs="Times New Roman"/>
                    </w:rPr>
                  </w:pPr>
                  <w:r w:rsidRPr="00970720">
                    <w:rPr>
                      <w:rFonts w:ascii="Times New Roman" w:hAnsi="Times New Roman" w:cs="Times New Roman"/>
                      <w:bCs/>
                    </w:rPr>
                    <w:t xml:space="preserve">Negative Control Valid </w:t>
                  </w:r>
                </w:p>
              </w:tc>
              <w:tc>
                <w:tcPr>
                  <w:tcW w:w="6598" w:type="dxa"/>
                </w:tcPr>
                <w:p w14:paraId="1D95D1EA" w14:textId="77777777" w:rsidR="00B82F2B" w:rsidRPr="00970720" w:rsidRDefault="00B82F2B" w:rsidP="00B82F2B">
                  <w:pPr>
                    <w:pStyle w:val="Default"/>
                    <w:ind w:left="-45"/>
                    <w:rPr>
                      <w:rFonts w:ascii="Times New Roman" w:hAnsi="Times New Roman" w:cs="Times New Roman"/>
                    </w:rPr>
                  </w:pPr>
                  <w:r w:rsidRPr="00970720">
                    <w:rPr>
                      <w:rFonts w:ascii="Times New Roman" w:hAnsi="Times New Roman" w:cs="Times New Roman"/>
                      <w:bCs/>
                    </w:rPr>
                    <w:t xml:space="preserve">Negative Control Valid </w:t>
                  </w:r>
                </w:p>
                <w:p w14:paraId="17A2C890" w14:textId="77777777" w:rsidR="00B82F2B" w:rsidRPr="00970720" w:rsidRDefault="00B82F2B" w:rsidP="00B82F2B">
                  <w:pPr>
                    <w:pStyle w:val="Default"/>
                    <w:ind w:left="-45"/>
                    <w:rPr>
                      <w:rFonts w:ascii="Times New Roman" w:hAnsi="Times New Roman" w:cs="Times New Roman"/>
                    </w:rPr>
                  </w:pPr>
                  <w:r w:rsidRPr="00970720">
                    <w:rPr>
                      <w:rFonts w:ascii="Times New Roman" w:hAnsi="Times New Roman" w:cs="Times New Roman"/>
                    </w:rPr>
                    <w:t xml:space="preserve">Control is negative for the presence of SARS-CoV-2, Influenza type A virus and Influenza type B virus RNA. </w:t>
                  </w:r>
                </w:p>
              </w:tc>
            </w:tr>
            <w:tr w:rsidR="00B82F2B" w:rsidRPr="00970720" w14:paraId="72A1D40F" w14:textId="77777777" w:rsidTr="00464F9A">
              <w:trPr>
                <w:trHeight w:val="241"/>
              </w:trPr>
              <w:tc>
                <w:tcPr>
                  <w:tcW w:w="3296" w:type="dxa"/>
                </w:tcPr>
                <w:p w14:paraId="05D5D990" w14:textId="77777777" w:rsidR="00B82F2B" w:rsidRPr="00970720" w:rsidRDefault="00B82F2B" w:rsidP="00B82F2B">
                  <w:pPr>
                    <w:pStyle w:val="Default"/>
                    <w:ind w:left="-45"/>
                    <w:rPr>
                      <w:rFonts w:ascii="Times New Roman" w:hAnsi="Times New Roman" w:cs="Times New Roman"/>
                    </w:rPr>
                  </w:pPr>
                  <w:r w:rsidRPr="00970720">
                    <w:rPr>
                      <w:rFonts w:ascii="Times New Roman" w:hAnsi="Times New Roman" w:cs="Times New Roman"/>
                      <w:bCs/>
                    </w:rPr>
                    <w:t xml:space="preserve">Negative Control Invalid. Repeat Run </w:t>
                  </w:r>
                </w:p>
              </w:tc>
              <w:tc>
                <w:tcPr>
                  <w:tcW w:w="6598" w:type="dxa"/>
                </w:tcPr>
                <w:p w14:paraId="78081179" w14:textId="77777777" w:rsidR="00B82F2B" w:rsidRPr="00970720" w:rsidRDefault="00B82F2B" w:rsidP="00B82F2B">
                  <w:pPr>
                    <w:pStyle w:val="Default"/>
                    <w:ind w:left="-45"/>
                    <w:rPr>
                      <w:rFonts w:ascii="Times New Roman" w:hAnsi="Times New Roman" w:cs="Times New Roman"/>
                    </w:rPr>
                  </w:pPr>
                  <w:r w:rsidRPr="00970720">
                    <w:rPr>
                      <w:rFonts w:ascii="Times New Roman" w:hAnsi="Times New Roman" w:cs="Times New Roman"/>
                      <w:bCs/>
                    </w:rPr>
                    <w:t xml:space="preserve">Negative Control Invalid </w:t>
                  </w:r>
                </w:p>
                <w:p w14:paraId="68933695" w14:textId="77777777" w:rsidR="00B82F2B" w:rsidRPr="00970720" w:rsidRDefault="00B82F2B" w:rsidP="00B82F2B">
                  <w:pPr>
                    <w:pStyle w:val="Default"/>
                    <w:ind w:left="-45"/>
                    <w:rPr>
                      <w:rFonts w:ascii="Times New Roman" w:hAnsi="Times New Roman" w:cs="Times New Roman"/>
                    </w:rPr>
                  </w:pPr>
                  <w:r w:rsidRPr="00970720">
                    <w:rPr>
                      <w:rFonts w:ascii="Times New Roman" w:hAnsi="Times New Roman" w:cs="Times New Roman"/>
                    </w:rPr>
                    <w:t xml:space="preserve">Result is Invalid. The Negative Control should be re-tested to obtain valid result. Repeat Run. </w:t>
                  </w:r>
                </w:p>
              </w:tc>
            </w:tr>
            <w:tr w:rsidR="00B82F2B" w:rsidRPr="00970720" w14:paraId="32E44BCD" w14:textId="77777777" w:rsidTr="00464F9A">
              <w:trPr>
                <w:trHeight w:val="246"/>
              </w:trPr>
              <w:tc>
                <w:tcPr>
                  <w:tcW w:w="3296" w:type="dxa"/>
                </w:tcPr>
                <w:p w14:paraId="45512CCC" w14:textId="77777777" w:rsidR="00B82F2B" w:rsidRPr="00970720" w:rsidRDefault="00B82F2B" w:rsidP="00B82F2B">
                  <w:pPr>
                    <w:pStyle w:val="Default"/>
                    <w:ind w:left="-45"/>
                    <w:rPr>
                      <w:rFonts w:ascii="Times New Roman" w:hAnsi="Times New Roman" w:cs="Times New Roman"/>
                    </w:rPr>
                  </w:pPr>
                  <w:r w:rsidRPr="00970720">
                    <w:rPr>
                      <w:rFonts w:ascii="Times New Roman" w:hAnsi="Times New Roman" w:cs="Times New Roman"/>
                      <w:bCs/>
                    </w:rPr>
                    <w:t xml:space="preserve">Positive Control Valid </w:t>
                  </w:r>
                </w:p>
              </w:tc>
              <w:tc>
                <w:tcPr>
                  <w:tcW w:w="6598" w:type="dxa"/>
                </w:tcPr>
                <w:p w14:paraId="563076EF" w14:textId="77777777" w:rsidR="00B82F2B" w:rsidRPr="00970720" w:rsidRDefault="00B82F2B" w:rsidP="00B82F2B">
                  <w:pPr>
                    <w:pStyle w:val="Default"/>
                    <w:ind w:left="-45"/>
                    <w:rPr>
                      <w:rFonts w:ascii="Times New Roman" w:hAnsi="Times New Roman" w:cs="Times New Roman"/>
                    </w:rPr>
                  </w:pPr>
                  <w:r w:rsidRPr="00970720">
                    <w:rPr>
                      <w:rFonts w:ascii="Times New Roman" w:hAnsi="Times New Roman" w:cs="Times New Roman"/>
                      <w:bCs/>
                    </w:rPr>
                    <w:t xml:space="preserve">Positive Control Valid </w:t>
                  </w:r>
                </w:p>
                <w:p w14:paraId="1C4F8D16" w14:textId="77777777" w:rsidR="00B82F2B" w:rsidRPr="00970720" w:rsidRDefault="00B82F2B" w:rsidP="00B82F2B">
                  <w:pPr>
                    <w:pStyle w:val="Default"/>
                    <w:ind w:left="-45"/>
                    <w:rPr>
                      <w:rFonts w:ascii="Times New Roman" w:hAnsi="Times New Roman" w:cs="Times New Roman"/>
                    </w:rPr>
                  </w:pPr>
                  <w:r w:rsidRPr="00970720">
                    <w:rPr>
                      <w:rFonts w:ascii="Times New Roman" w:hAnsi="Times New Roman" w:cs="Times New Roman"/>
                    </w:rPr>
                    <w:t xml:space="preserve">Control is positive for the presence of SARS-CoV-2, Influenza type A virus and Influenza type B virus RNA. </w:t>
                  </w:r>
                </w:p>
              </w:tc>
            </w:tr>
            <w:tr w:rsidR="00B82F2B" w:rsidRPr="00970720" w14:paraId="387A9DBD" w14:textId="77777777" w:rsidTr="00464F9A">
              <w:trPr>
                <w:trHeight w:val="222"/>
              </w:trPr>
              <w:tc>
                <w:tcPr>
                  <w:tcW w:w="3296" w:type="dxa"/>
                </w:tcPr>
                <w:p w14:paraId="7B3CC3E5" w14:textId="77777777" w:rsidR="00B82F2B" w:rsidRPr="00970720" w:rsidRDefault="00B82F2B" w:rsidP="00B82F2B">
                  <w:pPr>
                    <w:pStyle w:val="Default"/>
                    <w:ind w:left="-45"/>
                    <w:rPr>
                      <w:rFonts w:ascii="Times New Roman" w:hAnsi="Times New Roman" w:cs="Times New Roman"/>
                    </w:rPr>
                  </w:pPr>
                  <w:r w:rsidRPr="00970720">
                    <w:rPr>
                      <w:rFonts w:ascii="Times New Roman" w:hAnsi="Times New Roman" w:cs="Times New Roman"/>
                      <w:bCs/>
                    </w:rPr>
                    <w:t xml:space="preserve">Positive Control Invalid. Repeat Run </w:t>
                  </w:r>
                </w:p>
              </w:tc>
              <w:tc>
                <w:tcPr>
                  <w:tcW w:w="6598" w:type="dxa"/>
                </w:tcPr>
                <w:p w14:paraId="653432E2" w14:textId="77777777" w:rsidR="00B82F2B" w:rsidRPr="00970720" w:rsidRDefault="00B82F2B" w:rsidP="00B82F2B">
                  <w:pPr>
                    <w:pStyle w:val="Default"/>
                    <w:ind w:left="-45"/>
                    <w:rPr>
                      <w:rFonts w:ascii="Times New Roman" w:hAnsi="Times New Roman" w:cs="Times New Roman"/>
                    </w:rPr>
                  </w:pPr>
                  <w:r w:rsidRPr="00970720">
                    <w:rPr>
                      <w:rFonts w:ascii="Times New Roman" w:hAnsi="Times New Roman" w:cs="Times New Roman"/>
                      <w:bCs/>
                    </w:rPr>
                    <w:t xml:space="preserve">Positive Control Invalid </w:t>
                  </w:r>
                </w:p>
                <w:p w14:paraId="1E90EA56" w14:textId="77777777" w:rsidR="00B82F2B" w:rsidRPr="00970720" w:rsidRDefault="00B82F2B" w:rsidP="00B82F2B">
                  <w:pPr>
                    <w:pStyle w:val="Default"/>
                    <w:ind w:left="-45"/>
                    <w:rPr>
                      <w:rFonts w:ascii="Times New Roman" w:hAnsi="Times New Roman" w:cs="Times New Roman"/>
                    </w:rPr>
                  </w:pPr>
                  <w:r w:rsidRPr="00970720">
                    <w:rPr>
                      <w:rFonts w:ascii="Times New Roman" w:hAnsi="Times New Roman" w:cs="Times New Roman"/>
                    </w:rPr>
                    <w:t xml:space="preserve">Result is Invalid. The positive control should be re-tested to obtain valid result. Repeat Run. </w:t>
                  </w:r>
                </w:p>
              </w:tc>
            </w:tr>
          </w:tbl>
          <w:p w14:paraId="3B7B4B86" w14:textId="76D2256E" w:rsidR="00B82F2B" w:rsidRPr="00970720" w:rsidRDefault="00B82F2B" w:rsidP="00870457">
            <w:pPr>
              <w:ind w:left="648"/>
            </w:pPr>
          </w:p>
        </w:tc>
      </w:tr>
    </w:tbl>
    <w:p w14:paraId="3A0FF5F2" w14:textId="10B36E28" w:rsidR="00AE1FD7" w:rsidRDefault="00AE1FD7" w:rsidP="00FB2F4D">
      <w:pPr>
        <w:rPr>
          <w:b/>
        </w:rPr>
      </w:pPr>
    </w:p>
    <w:p w14:paraId="223AAE55" w14:textId="77777777" w:rsidR="002A149C" w:rsidRDefault="00464F9A" w:rsidP="00464F9A">
      <w:pPr>
        <w:ind w:left="360"/>
        <w:rPr>
          <w:b/>
        </w:rPr>
      </w:pPr>
      <w:r w:rsidRPr="00970720">
        <w:rPr>
          <w:b/>
        </w:rPr>
        <w:t xml:space="preserve">7. QC </w:t>
      </w:r>
    </w:p>
    <w:p w14:paraId="4E95BBA3" w14:textId="7E17981C" w:rsidR="00464F9A" w:rsidRDefault="002A149C" w:rsidP="002A149C">
      <w:pPr>
        <w:ind w:left="630"/>
        <w:rPr>
          <w:b/>
        </w:rPr>
      </w:pPr>
      <w:r>
        <w:rPr>
          <w:b/>
        </w:rPr>
        <w:t xml:space="preserve">A. </w:t>
      </w:r>
      <w:r w:rsidR="00464F9A" w:rsidRPr="00970720">
        <w:rPr>
          <w:b/>
        </w:rPr>
        <w:t>PERFORMANCE</w:t>
      </w:r>
    </w:p>
    <w:p w14:paraId="45ED4FCC" w14:textId="77777777" w:rsidR="00464F9A" w:rsidRPr="00970720" w:rsidRDefault="00464F9A" w:rsidP="00FB2F4D">
      <w:pPr>
        <w:rPr>
          <w:b/>
        </w:rPr>
      </w:pPr>
    </w:p>
    <w:tbl>
      <w:tblPr>
        <w:tblW w:w="993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3310"/>
        <w:gridCol w:w="3312"/>
      </w:tblGrid>
      <w:tr w:rsidR="005108FB" w:rsidRPr="00970720" w14:paraId="21808409" w14:textId="77777777" w:rsidTr="00464F9A">
        <w:tc>
          <w:tcPr>
            <w:tcW w:w="3314" w:type="dxa"/>
            <w:shd w:val="clear" w:color="auto" w:fill="auto"/>
          </w:tcPr>
          <w:p w14:paraId="2975929F" w14:textId="77777777" w:rsidR="0026221F" w:rsidRPr="00970720" w:rsidRDefault="0026221F" w:rsidP="000A476D">
            <w:pPr>
              <w:pStyle w:val="NormalWeb"/>
            </w:pPr>
            <w:r w:rsidRPr="00970720">
              <w:t xml:space="preserve">Internal Processing </w:t>
            </w:r>
          </w:p>
          <w:p w14:paraId="7B5B5B77" w14:textId="77777777" w:rsidR="0026221F" w:rsidRPr="00970720" w:rsidRDefault="0026221F" w:rsidP="000A476D">
            <w:pPr>
              <w:pStyle w:val="NormalWeb"/>
            </w:pPr>
            <w:r w:rsidRPr="00970720">
              <w:t>Control (IPC)</w:t>
            </w:r>
          </w:p>
          <w:p w14:paraId="61829076" w14:textId="77777777" w:rsidR="005108FB" w:rsidRPr="00970720" w:rsidRDefault="005108FB" w:rsidP="000A476D">
            <w:pPr>
              <w:tabs>
                <w:tab w:val="left" w:pos="-360"/>
                <w:tab w:val="left" w:pos="0"/>
                <w:tab w:val="left" w:pos="540"/>
                <w:tab w:val="left" w:pos="1080"/>
                <w:tab w:val="left" w:pos="1620"/>
              </w:tabs>
            </w:pPr>
          </w:p>
        </w:tc>
        <w:tc>
          <w:tcPr>
            <w:tcW w:w="3310" w:type="dxa"/>
            <w:shd w:val="clear" w:color="auto" w:fill="auto"/>
          </w:tcPr>
          <w:p w14:paraId="34EAB351" w14:textId="77777777" w:rsidR="0026221F" w:rsidRPr="00970720" w:rsidRDefault="0026221F" w:rsidP="000A476D">
            <w:pPr>
              <w:pStyle w:val="NormalWeb"/>
            </w:pPr>
            <w:r w:rsidRPr="00970720">
              <w:t>With each control or patient test</w:t>
            </w:r>
          </w:p>
          <w:p w14:paraId="2BA226A1" w14:textId="77777777" w:rsidR="005108FB" w:rsidRPr="00970720" w:rsidRDefault="005108FB" w:rsidP="000A476D">
            <w:pPr>
              <w:tabs>
                <w:tab w:val="left" w:pos="-360"/>
                <w:tab w:val="left" w:pos="0"/>
                <w:tab w:val="left" w:pos="540"/>
                <w:tab w:val="left" w:pos="1080"/>
                <w:tab w:val="left" w:pos="1620"/>
              </w:tabs>
            </w:pPr>
          </w:p>
        </w:tc>
        <w:tc>
          <w:tcPr>
            <w:tcW w:w="3312" w:type="dxa"/>
            <w:shd w:val="clear" w:color="auto" w:fill="auto"/>
          </w:tcPr>
          <w:p w14:paraId="6E09050C" w14:textId="77777777" w:rsidR="0026221F" w:rsidRPr="00970720" w:rsidRDefault="0026221F" w:rsidP="000A476D">
            <w:pPr>
              <w:pStyle w:val="NormalWeb"/>
            </w:pPr>
            <w:r w:rsidRPr="00970720">
              <w:t xml:space="preserve">IPC is integrated into each </w:t>
            </w:r>
            <w:proofErr w:type="spellStart"/>
            <w:r w:rsidRPr="00970720">
              <w:t>cobas</w:t>
            </w:r>
            <w:proofErr w:type="spellEnd"/>
            <w:r w:rsidRPr="00970720">
              <w:t xml:space="preserve">® </w:t>
            </w:r>
            <w:proofErr w:type="spellStart"/>
            <w:r w:rsidRPr="00970720">
              <w:t>Liat</w:t>
            </w:r>
            <w:proofErr w:type="spellEnd"/>
            <w:r w:rsidRPr="00970720">
              <w:t xml:space="preserve">® </w:t>
            </w:r>
            <w:r w:rsidR="00E33B8F" w:rsidRPr="00970720">
              <w:t>SARS-Cov-2 &amp;</w:t>
            </w:r>
            <w:r w:rsidRPr="00970720">
              <w:t xml:space="preserve"> Influenza A/B</w:t>
            </w:r>
            <w:r w:rsidR="00E33B8F" w:rsidRPr="00970720">
              <w:t xml:space="preserve"> </w:t>
            </w:r>
            <w:r w:rsidRPr="00970720">
              <w:t xml:space="preserve">Tube. </w:t>
            </w:r>
          </w:p>
          <w:p w14:paraId="17AD93B2" w14:textId="77777777" w:rsidR="005108FB" w:rsidRPr="00970720" w:rsidRDefault="005108FB" w:rsidP="000A476D">
            <w:pPr>
              <w:tabs>
                <w:tab w:val="left" w:pos="-360"/>
                <w:tab w:val="left" w:pos="0"/>
                <w:tab w:val="left" w:pos="540"/>
                <w:tab w:val="left" w:pos="1080"/>
                <w:tab w:val="left" w:pos="1620"/>
              </w:tabs>
            </w:pPr>
          </w:p>
        </w:tc>
      </w:tr>
      <w:tr w:rsidR="005108FB" w:rsidRPr="00970720" w14:paraId="046D3E17" w14:textId="77777777" w:rsidTr="00464F9A">
        <w:tc>
          <w:tcPr>
            <w:tcW w:w="3314" w:type="dxa"/>
            <w:shd w:val="clear" w:color="auto" w:fill="auto"/>
          </w:tcPr>
          <w:p w14:paraId="3BE1CB33" w14:textId="77777777" w:rsidR="0026221F" w:rsidRPr="00970720" w:rsidRDefault="0026221F" w:rsidP="000A476D">
            <w:pPr>
              <w:pStyle w:val="NormalWeb"/>
            </w:pPr>
            <w:r w:rsidRPr="00970720">
              <w:lastRenderedPageBreak/>
              <w:t xml:space="preserve">External positive and </w:t>
            </w:r>
          </w:p>
          <w:p w14:paraId="4C826F88" w14:textId="77777777" w:rsidR="0026221F" w:rsidRPr="00970720" w:rsidRDefault="0026221F" w:rsidP="000A476D">
            <w:pPr>
              <w:pStyle w:val="NormalWeb"/>
            </w:pPr>
            <w:r w:rsidRPr="00970720">
              <w:t>negative controls</w:t>
            </w:r>
          </w:p>
          <w:p w14:paraId="0DE4B5B7" w14:textId="77777777" w:rsidR="005108FB" w:rsidRPr="00970720" w:rsidRDefault="005108FB" w:rsidP="000A476D">
            <w:pPr>
              <w:tabs>
                <w:tab w:val="left" w:pos="-360"/>
                <w:tab w:val="left" w:pos="0"/>
                <w:tab w:val="left" w:pos="540"/>
                <w:tab w:val="left" w:pos="1080"/>
                <w:tab w:val="left" w:pos="1620"/>
              </w:tabs>
            </w:pPr>
          </w:p>
        </w:tc>
        <w:tc>
          <w:tcPr>
            <w:tcW w:w="3310" w:type="dxa"/>
            <w:shd w:val="clear" w:color="auto" w:fill="auto"/>
          </w:tcPr>
          <w:p w14:paraId="1BA58056" w14:textId="77777777" w:rsidR="0026221F" w:rsidRPr="00970720" w:rsidRDefault="0026221F" w:rsidP="000A476D">
            <w:pPr>
              <w:pStyle w:val="NormalWeb"/>
            </w:pPr>
            <w:r w:rsidRPr="00970720">
              <w:t xml:space="preserve">Validation of every new </w:t>
            </w:r>
            <w:proofErr w:type="spellStart"/>
            <w:r w:rsidRPr="00970720">
              <w:t>cobas</w:t>
            </w:r>
            <w:proofErr w:type="spellEnd"/>
            <w:r w:rsidRPr="00970720">
              <w:t xml:space="preserve">® </w:t>
            </w:r>
            <w:r w:rsidR="00E33B8F" w:rsidRPr="00970720">
              <w:t xml:space="preserve">SARS-Cov-2 &amp; Influenza A/B reagent </w:t>
            </w:r>
            <w:r w:rsidRPr="00970720">
              <w:t>that is added to the system.</w:t>
            </w:r>
          </w:p>
          <w:p w14:paraId="66204FF1" w14:textId="77777777" w:rsidR="005108FB" w:rsidRPr="00970720" w:rsidRDefault="005108FB" w:rsidP="000A476D">
            <w:pPr>
              <w:tabs>
                <w:tab w:val="left" w:pos="-360"/>
                <w:tab w:val="left" w:pos="0"/>
                <w:tab w:val="left" w:pos="540"/>
                <w:tab w:val="left" w:pos="1080"/>
                <w:tab w:val="left" w:pos="1620"/>
              </w:tabs>
            </w:pPr>
          </w:p>
        </w:tc>
        <w:tc>
          <w:tcPr>
            <w:tcW w:w="3312" w:type="dxa"/>
            <w:shd w:val="clear" w:color="auto" w:fill="auto"/>
          </w:tcPr>
          <w:p w14:paraId="16459760" w14:textId="77777777" w:rsidR="0026221F" w:rsidRPr="00970720" w:rsidRDefault="0026221F" w:rsidP="000A476D">
            <w:pPr>
              <w:pStyle w:val="NormalWeb"/>
            </w:pPr>
            <w:r w:rsidRPr="00970720">
              <w:t xml:space="preserve">The </w:t>
            </w:r>
            <w:proofErr w:type="spellStart"/>
            <w:r w:rsidRPr="00970720">
              <w:t>cobas</w:t>
            </w:r>
            <w:proofErr w:type="spellEnd"/>
            <w:r w:rsidRPr="00970720">
              <w:t xml:space="preserve">® </w:t>
            </w:r>
            <w:proofErr w:type="spellStart"/>
            <w:r w:rsidRPr="00970720">
              <w:t>Liat</w:t>
            </w:r>
            <w:proofErr w:type="spellEnd"/>
            <w:r w:rsidRPr="00970720">
              <w:t>® System requires the validation of new tube lots as part of its “Add Lot” function and will not allow testing with a new tube lot without successful completion of positive and negative external control testing.</w:t>
            </w:r>
          </w:p>
          <w:p w14:paraId="2DBF0D7D" w14:textId="77777777" w:rsidR="005108FB" w:rsidRPr="00970720" w:rsidRDefault="005108FB" w:rsidP="000A476D">
            <w:pPr>
              <w:tabs>
                <w:tab w:val="left" w:pos="-360"/>
                <w:tab w:val="left" w:pos="0"/>
                <w:tab w:val="left" w:pos="540"/>
                <w:tab w:val="left" w:pos="1080"/>
                <w:tab w:val="left" w:pos="1620"/>
              </w:tabs>
            </w:pPr>
          </w:p>
        </w:tc>
      </w:tr>
    </w:tbl>
    <w:p w14:paraId="29D6B04F" w14:textId="77777777" w:rsidR="000B6A90" w:rsidRPr="00970720" w:rsidRDefault="00CE4E39" w:rsidP="00CE4E39">
      <w:pPr>
        <w:tabs>
          <w:tab w:val="left" w:pos="-360"/>
          <w:tab w:val="left" w:pos="0"/>
          <w:tab w:val="left" w:pos="540"/>
          <w:tab w:val="left" w:pos="1080"/>
          <w:tab w:val="left" w:pos="1620"/>
        </w:tabs>
      </w:pPr>
      <w:r w:rsidRPr="00970720">
        <w:t xml:space="preserve"> </w:t>
      </w:r>
    </w:p>
    <w:p w14:paraId="03A6A5D4" w14:textId="2880D738" w:rsidR="008966D3" w:rsidRPr="00970720" w:rsidRDefault="0026221F" w:rsidP="00464F9A">
      <w:pPr>
        <w:pStyle w:val="NormalWeb"/>
        <w:ind w:left="630"/>
      </w:pPr>
      <w:r w:rsidRPr="00970720">
        <w:t xml:space="preserve">Internal Process Control (IPC) is included in every assay tube. It verifies the adequate processing of the biological sample. The IPC passes if sample purification and target amplification meet validated acceptance criteria. This process occurs automatically with each test and requires no operator processing. Like the </w:t>
      </w:r>
      <w:r w:rsidR="00E33B8F" w:rsidRPr="00970720">
        <w:t>SARS-Cov-2 &amp; Influenza A/B</w:t>
      </w:r>
      <w:r w:rsidRPr="00970720">
        <w:t xml:space="preserve"> assay target, the IPC target is also evaluated in every assay run. In the case that the assay target is not detected, the IPC target must be detected for the result to be called “Not Detected”; if the IPC is also not detected or if the IPC PCR curve is abnormal, the result is called “Assay Invalid. Repeat Assay.” In some cases, high concentration of the assay target may inhibit the amplification of IPC; as such, IPC is not taken into consideration when the assay target is detected.</w:t>
      </w:r>
    </w:p>
    <w:p w14:paraId="7328EADF" w14:textId="76008B94" w:rsidR="00C83301" w:rsidRDefault="00C833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4302"/>
        <w:gridCol w:w="5346"/>
      </w:tblGrid>
      <w:tr w:rsidR="00416C90" w:rsidRPr="00970720" w14:paraId="6E87D48B" w14:textId="77777777" w:rsidTr="002A149C">
        <w:trPr>
          <w:gridAfter w:val="1"/>
          <w:wAfter w:w="5346" w:type="dxa"/>
        </w:trPr>
        <w:tc>
          <w:tcPr>
            <w:tcW w:w="4590" w:type="dxa"/>
            <w:gridSpan w:val="2"/>
            <w:tcBorders>
              <w:top w:val="nil"/>
              <w:left w:val="nil"/>
              <w:bottom w:val="nil"/>
              <w:right w:val="nil"/>
            </w:tcBorders>
          </w:tcPr>
          <w:p w14:paraId="2710FA48" w14:textId="2F65E5AD" w:rsidR="00416C90" w:rsidRPr="00970720" w:rsidRDefault="005A23EA" w:rsidP="002A149C">
            <w:pPr>
              <w:ind w:left="517"/>
              <w:rPr>
                <w:b/>
              </w:rPr>
            </w:pPr>
            <w:r w:rsidRPr="00970720">
              <w:rPr>
                <w:b/>
              </w:rPr>
              <w:t xml:space="preserve">B. </w:t>
            </w:r>
            <w:r w:rsidR="00416C90" w:rsidRPr="00970720">
              <w:rPr>
                <w:b/>
              </w:rPr>
              <w:t>FAILURE/REMEDIAL ACTION:</w:t>
            </w:r>
          </w:p>
        </w:tc>
      </w:tr>
      <w:tr w:rsidR="000B6A90" w:rsidRPr="00970720" w14:paraId="747A0E85" w14:textId="77777777" w:rsidTr="002A149C">
        <w:trPr>
          <w:gridBefore w:val="1"/>
          <w:wBefore w:w="288" w:type="dxa"/>
        </w:trPr>
        <w:tc>
          <w:tcPr>
            <w:tcW w:w="9648" w:type="dxa"/>
            <w:gridSpan w:val="2"/>
            <w:tcBorders>
              <w:top w:val="nil"/>
              <w:left w:val="nil"/>
              <w:bottom w:val="nil"/>
              <w:right w:val="nil"/>
            </w:tcBorders>
          </w:tcPr>
          <w:p w14:paraId="52B967DA" w14:textId="77777777" w:rsidR="0026221F" w:rsidRPr="00970720" w:rsidRDefault="0026221F" w:rsidP="002A149C">
            <w:pPr>
              <w:pStyle w:val="NormalWeb"/>
              <w:ind w:left="319"/>
            </w:pPr>
            <w:r w:rsidRPr="00970720">
              <w:t xml:space="preserve">Troubleshooting Error Messages or Unexpected Results </w:t>
            </w:r>
          </w:p>
          <w:p w14:paraId="0D3613DD" w14:textId="77777777" w:rsidR="0026221F" w:rsidRPr="00970720" w:rsidRDefault="0026221F" w:rsidP="00281397">
            <w:pPr>
              <w:ind w:left="525"/>
            </w:pPr>
            <w:r w:rsidRPr="00970720">
              <w:t xml:space="preserve">1. The </w:t>
            </w:r>
            <w:proofErr w:type="spellStart"/>
            <w:r w:rsidRPr="00970720">
              <w:t>cobas</w:t>
            </w:r>
            <w:proofErr w:type="spellEnd"/>
            <w:r w:rsidRPr="00970720">
              <w:t xml:space="preserve">® </w:t>
            </w:r>
            <w:proofErr w:type="spellStart"/>
            <w:r w:rsidRPr="00970720">
              <w:t>Liat</w:t>
            </w:r>
            <w:proofErr w:type="spellEnd"/>
            <w:r w:rsidRPr="00970720">
              <w:t xml:space="preserve">® Analyzer monitors its operation and logs abnormal events. Based on the severity, the </w:t>
            </w:r>
            <w:proofErr w:type="spellStart"/>
            <w:r w:rsidRPr="00970720">
              <w:t>cobas</w:t>
            </w:r>
            <w:proofErr w:type="spellEnd"/>
            <w:r w:rsidRPr="00970720">
              <w:t xml:space="preserve">® </w:t>
            </w:r>
            <w:proofErr w:type="spellStart"/>
            <w:r w:rsidRPr="00970720">
              <w:t>Liat</w:t>
            </w:r>
            <w:proofErr w:type="spellEnd"/>
            <w:r w:rsidRPr="00970720">
              <w:t xml:space="preserve">® Analyzer tries to recover or fix errors while running. If the error is unrecoverable, the </w:t>
            </w:r>
            <w:proofErr w:type="spellStart"/>
            <w:r w:rsidRPr="00970720">
              <w:t>cobas</w:t>
            </w:r>
            <w:proofErr w:type="spellEnd"/>
            <w:r w:rsidRPr="00970720">
              <w:t xml:space="preserve">® </w:t>
            </w:r>
            <w:proofErr w:type="spellStart"/>
            <w:r w:rsidRPr="00970720">
              <w:t>Liat</w:t>
            </w:r>
            <w:proofErr w:type="spellEnd"/>
            <w:r w:rsidRPr="00970720">
              <w:t xml:space="preserve">® Analyzer stops. If repeating the test as suggested in the results table above does not yield a clear positive or negative result. Call the Roche Support Network Customer Support Center </w:t>
            </w:r>
            <w:proofErr w:type="spellStart"/>
            <w:r w:rsidRPr="00970720">
              <w:t>cobas</w:t>
            </w:r>
            <w:proofErr w:type="spellEnd"/>
            <w:r w:rsidRPr="00970720">
              <w:t xml:space="preserve">® </w:t>
            </w:r>
            <w:proofErr w:type="spellStart"/>
            <w:r w:rsidRPr="00970720">
              <w:t>Liat</w:t>
            </w:r>
            <w:proofErr w:type="spellEnd"/>
            <w:r w:rsidRPr="00970720">
              <w:t xml:space="preserve">® hotline at 1-800-800-5973. </w:t>
            </w:r>
          </w:p>
          <w:p w14:paraId="088360B0" w14:textId="7F2725F5" w:rsidR="0026221F" w:rsidRPr="00970720" w:rsidRDefault="0026221F" w:rsidP="00281397">
            <w:pPr>
              <w:ind w:left="525"/>
            </w:pPr>
            <w:r w:rsidRPr="00970720">
              <w:t xml:space="preserve">2. Event Logs: Certain error messages are recorded in the Event Log file. To view the log, select Tools, then Event Logs. Large Event Logs might take some time to load. Viewing the Event Log requires Supervisor or higher security level. If needed, select Print to print the Event Log. See the </w:t>
            </w:r>
            <w:proofErr w:type="spellStart"/>
            <w:r w:rsidR="00C83301">
              <w:t>cobas</w:t>
            </w:r>
            <w:proofErr w:type="spellEnd"/>
            <w:r w:rsidR="00C83301">
              <w:t xml:space="preserve">® </w:t>
            </w:r>
            <w:proofErr w:type="spellStart"/>
            <w:r w:rsidR="00C83301">
              <w:t>Liat</w:t>
            </w:r>
            <w:proofErr w:type="spellEnd"/>
            <w:r w:rsidR="00C83301">
              <w:t xml:space="preserve">® </w:t>
            </w:r>
            <w:r w:rsidRPr="00970720">
              <w:t xml:space="preserve">User’s Manual for a full list of error messages and their meanings. </w:t>
            </w:r>
          </w:p>
          <w:p w14:paraId="5BBDDA2C" w14:textId="77777777" w:rsidR="0026221F" w:rsidRPr="00970720" w:rsidRDefault="0026221F" w:rsidP="00281397">
            <w:pPr>
              <w:ind w:left="525"/>
            </w:pPr>
            <w:r w:rsidRPr="00970720">
              <w:t xml:space="preserve">3. Real Time Error Messages: See the </w:t>
            </w:r>
            <w:proofErr w:type="spellStart"/>
            <w:r w:rsidRPr="00970720">
              <w:t>cobas</w:t>
            </w:r>
            <w:proofErr w:type="spellEnd"/>
            <w:r w:rsidRPr="00970720">
              <w:t xml:space="preserve">® </w:t>
            </w:r>
            <w:proofErr w:type="spellStart"/>
            <w:r w:rsidRPr="00970720">
              <w:t>Liat</w:t>
            </w:r>
            <w:proofErr w:type="spellEnd"/>
            <w:r w:rsidRPr="00970720">
              <w:t xml:space="preserve">® System User’s Manual for a table that lists the real-time messages and suggested troubleshooting. Certain error messages are accompanied by a unique alphanumeric error code displayed after the error messages. Please provide this code when contacting Roche Support Network Customer Support Center </w:t>
            </w:r>
            <w:proofErr w:type="spellStart"/>
            <w:r w:rsidRPr="00970720">
              <w:t>cobas</w:t>
            </w:r>
            <w:proofErr w:type="spellEnd"/>
            <w:r w:rsidRPr="00970720">
              <w:t xml:space="preserve">® </w:t>
            </w:r>
            <w:proofErr w:type="spellStart"/>
            <w:r w:rsidRPr="00970720">
              <w:t>Liat</w:t>
            </w:r>
            <w:proofErr w:type="spellEnd"/>
            <w:r w:rsidRPr="00970720">
              <w:t xml:space="preserve">® hotline at 1-800-800-5973. </w:t>
            </w:r>
          </w:p>
          <w:p w14:paraId="0AF812A1" w14:textId="77777777" w:rsidR="0026221F" w:rsidRPr="00970720" w:rsidRDefault="0026221F" w:rsidP="00281397">
            <w:pPr>
              <w:ind w:left="525"/>
            </w:pPr>
            <w:r w:rsidRPr="00970720">
              <w:t xml:space="preserve">4. Warning! Only a Roche-qualified service representative can service the system or perform preventative maintenance. Never attempt to repair or adjust the system yourself. Disassembly could result in electrical hazards. Contact the Roche Support Network Customer Support Center </w:t>
            </w:r>
            <w:proofErr w:type="spellStart"/>
            <w:r w:rsidRPr="00970720">
              <w:t>cobas</w:t>
            </w:r>
            <w:proofErr w:type="spellEnd"/>
            <w:r w:rsidRPr="00970720">
              <w:t xml:space="preserve">® </w:t>
            </w:r>
            <w:proofErr w:type="spellStart"/>
            <w:r w:rsidRPr="00970720">
              <w:t>Liat</w:t>
            </w:r>
            <w:proofErr w:type="spellEnd"/>
            <w:r w:rsidRPr="00970720">
              <w:t xml:space="preserve">® hotline at 1-800-800-5973 if the </w:t>
            </w:r>
            <w:proofErr w:type="spellStart"/>
            <w:r w:rsidRPr="00970720">
              <w:t>cobas</w:t>
            </w:r>
            <w:proofErr w:type="spellEnd"/>
            <w:r w:rsidRPr="00970720">
              <w:t xml:space="preserve">® </w:t>
            </w:r>
            <w:proofErr w:type="spellStart"/>
            <w:r w:rsidRPr="00970720">
              <w:t>Liat</w:t>
            </w:r>
            <w:proofErr w:type="spellEnd"/>
            <w:r w:rsidRPr="00970720">
              <w:t>® System fails to operate properly.</w:t>
            </w:r>
          </w:p>
          <w:p w14:paraId="680A4E5D" w14:textId="77777777" w:rsidR="000B6A90" w:rsidRPr="00970720" w:rsidRDefault="000B6A90" w:rsidP="00CE4E39">
            <w:pPr>
              <w:rPr>
                <w:b/>
              </w:rPr>
            </w:pPr>
          </w:p>
        </w:tc>
      </w:tr>
    </w:tbl>
    <w:p w14:paraId="19219836" w14:textId="77777777" w:rsidR="0024549C" w:rsidRPr="00970720" w:rsidRDefault="0024549C" w:rsidP="0024549C">
      <w:pPr>
        <w:rPr>
          <w:b/>
        </w:r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112"/>
        <w:gridCol w:w="4370"/>
        <w:gridCol w:w="2250"/>
        <w:gridCol w:w="705"/>
        <w:gridCol w:w="2211"/>
        <w:gridCol w:w="49"/>
        <w:gridCol w:w="599"/>
        <w:gridCol w:w="741"/>
        <w:gridCol w:w="2767"/>
      </w:tblGrid>
      <w:tr w:rsidR="00C45277" w:rsidRPr="00970720" w14:paraId="6C595849" w14:textId="77777777" w:rsidTr="00C83301">
        <w:tc>
          <w:tcPr>
            <w:tcW w:w="14092" w:type="dxa"/>
            <w:gridSpan w:val="10"/>
            <w:tcBorders>
              <w:top w:val="nil"/>
              <w:left w:val="nil"/>
              <w:bottom w:val="nil"/>
              <w:right w:val="nil"/>
            </w:tcBorders>
          </w:tcPr>
          <w:p w14:paraId="40241883" w14:textId="30206002" w:rsidR="00C45277" w:rsidRPr="00970720" w:rsidRDefault="005A23EA" w:rsidP="00CC6375">
            <w:pPr>
              <w:ind w:left="247"/>
              <w:rPr>
                <w:b/>
              </w:rPr>
            </w:pPr>
            <w:r w:rsidRPr="00970720">
              <w:rPr>
                <w:b/>
              </w:rPr>
              <w:lastRenderedPageBreak/>
              <w:t xml:space="preserve">8. </w:t>
            </w:r>
            <w:r w:rsidR="00C45277" w:rsidRPr="00970720">
              <w:rPr>
                <w:b/>
              </w:rPr>
              <w:t>EXPECTED RESULTS:</w:t>
            </w:r>
          </w:p>
          <w:p w14:paraId="0F3902CF" w14:textId="2014130B" w:rsidR="00C45277" w:rsidRPr="00970720" w:rsidRDefault="005A23EA" w:rsidP="00CC6375">
            <w:pPr>
              <w:ind w:left="337"/>
              <w:rPr>
                <w:b/>
              </w:rPr>
            </w:pPr>
            <w:r w:rsidRPr="00970720">
              <w:rPr>
                <w:b/>
              </w:rPr>
              <w:t xml:space="preserve">A. </w:t>
            </w:r>
            <w:r w:rsidR="00C45277" w:rsidRPr="00970720">
              <w:rPr>
                <w:b/>
              </w:rPr>
              <w:t>REPORTABLE RANGE:</w:t>
            </w:r>
          </w:p>
          <w:p w14:paraId="629D792A" w14:textId="77777777" w:rsidR="002C1DDA" w:rsidRPr="00CC6375" w:rsidRDefault="00D34907" w:rsidP="00CC6375">
            <w:pPr>
              <w:ind w:left="697"/>
            </w:pPr>
            <w:r w:rsidRPr="00CC6375">
              <w:t>N/A</w:t>
            </w:r>
          </w:p>
          <w:p w14:paraId="54F9AE05" w14:textId="502FB4E3" w:rsidR="002C1DDA" w:rsidRPr="00970720" w:rsidRDefault="002C1DDA" w:rsidP="00CC6375">
            <w:pPr>
              <w:ind w:left="247"/>
              <w:rPr>
                <w:b/>
              </w:rPr>
            </w:pPr>
          </w:p>
        </w:tc>
      </w:tr>
      <w:tr w:rsidR="00AA260E" w:rsidRPr="00970720" w14:paraId="7D7F00C5" w14:textId="77777777" w:rsidTr="00C83301">
        <w:trPr>
          <w:gridAfter w:val="3"/>
          <w:wAfter w:w="4107" w:type="dxa"/>
          <w:trHeight w:val="781"/>
        </w:trPr>
        <w:tc>
          <w:tcPr>
            <w:tcW w:w="9985" w:type="dxa"/>
            <w:gridSpan w:val="7"/>
            <w:tcBorders>
              <w:top w:val="nil"/>
              <w:left w:val="nil"/>
              <w:bottom w:val="nil"/>
              <w:right w:val="nil"/>
            </w:tcBorders>
          </w:tcPr>
          <w:p w14:paraId="625B774E" w14:textId="64A16294" w:rsidR="00AA260E" w:rsidRPr="00970720" w:rsidRDefault="00CC6375" w:rsidP="00CC6375">
            <w:pPr>
              <w:ind w:left="337"/>
              <w:rPr>
                <w:b/>
              </w:rPr>
            </w:pPr>
            <w:r>
              <w:rPr>
                <w:b/>
              </w:rPr>
              <w:t xml:space="preserve">B. </w:t>
            </w:r>
            <w:r w:rsidR="003F00F6" w:rsidRPr="00970720">
              <w:rPr>
                <w:b/>
              </w:rPr>
              <w:t>REFERENCE RANGE:</w:t>
            </w:r>
          </w:p>
          <w:p w14:paraId="74D882A5" w14:textId="703115C9" w:rsidR="002C1DDA" w:rsidRPr="00970720" w:rsidRDefault="06CD56B4" w:rsidP="00A64FBF">
            <w:pPr>
              <w:ind w:left="648"/>
            </w:pPr>
            <w:r w:rsidRPr="00970720">
              <w:t>‘NOT DETECTED’</w:t>
            </w:r>
          </w:p>
        </w:tc>
      </w:tr>
      <w:tr w:rsidR="00AA260E" w:rsidRPr="00970720" w14:paraId="06734EE0" w14:textId="77777777" w:rsidTr="00C83301">
        <w:trPr>
          <w:gridAfter w:val="5"/>
          <w:wAfter w:w="6367" w:type="dxa"/>
          <w:trHeight w:val="199"/>
        </w:trPr>
        <w:tc>
          <w:tcPr>
            <w:tcW w:w="7725" w:type="dxa"/>
            <w:gridSpan w:val="5"/>
            <w:tcBorders>
              <w:top w:val="nil"/>
              <w:left w:val="nil"/>
              <w:bottom w:val="nil"/>
              <w:right w:val="nil"/>
            </w:tcBorders>
          </w:tcPr>
          <w:p w14:paraId="1AF042D9" w14:textId="7F396D87" w:rsidR="00AA260E" w:rsidRPr="00970720" w:rsidRDefault="00A64FBF" w:rsidP="00CC6375">
            <w:pPr>
              <w:ind w:left="337"/>
              <w:rPr>
                <w:b/>
                <w:bCs/>
              </w:rPr>
            </w:pPr>
            <w:r w:rsidRPr="00970720">
              <w:rPr>
                <w:b/>
                <w:bCs/>
              </w:rPr>
              <w:t>C</w:t>
            </w:r>
            <w:r w:rsidR="06CD56B4" w:rsidRPr="00970720">
              <w:rPr>
                <w:b/>
                <w:bCs/>
              </w:rPr>
              <w:t>. CRITICALVALUES:</w:t>
            </w:r>
          </w:p>
          <w:p w14:paraId="05D7120A" w14:textId="2A57DDC0" w:rsidR="00A64FBF" w:rsidRPr="00970720" w:rsidRDefault="00A64FBF" w:rsidP="00CC6375">
            <w:pPr>
              <w:ind w:left="697"/>
              <w:rPr>
                <w:bCs/>
              </w:rPr>
            </w:pPr>
            <w:r w:rsidRPr="00970720">
              <w:rPr>
                <w:bCs/>
              </w:rPr>
              <w:t>None</w:t>
            </w:r>
          </w:p>
          <w:p w14:paraId="769D0D3C" w14:textId="77777777" w:rsidR="002C1DDA" w:rsidRPr="00970720" w:rsidRDefault="002C1DDA" w:rsidP="002C1DDA">
            <w:pPr>
              <w:ind w:left="648"/>
            </w:pPr>
          </w:p>
        </w:tc>
      </w:tr>
      <w:tr w:rsidR="00AA260E" w:rsidRPr="00970720" w14:paraId="7522A2F7" w14:textId="77777777" w:rsidTr="00C83301">
        <w:trPr>
          <w:gridAfter w:val="2"/>
          <w:wAfter w:w="3508" w:type="dxa"/>
        </w:trPr>
        <w:tc>
          <w:tcPr>
            <w:tcW w:w="10584" w:type="dxa"/>
            <w:gridSpan w:val="8"/>
            <w:tcBorders>
              <w:top w:val="nil"/>
              <w:left w:val="nil"/>
              <w:bottom w:val="nil"/>
              <w:right w:val="nil"/>
            </w:tcBorders>
          </w:tcPr>
          <w:p w14:paraId="54C831B6" w14:textId="6FEB1C8C" w:rsidR="00AA260E" w:rsidRPr="00970720" w:rsidRDefault="00CC6375" w:rsidP="00CC6375">
            <w:pPr>
              <w:ind w:left="247"/>
              <w:rPr>
                <w:b/>
              </w:rPr>
            </w:pPr>
            <w:r>
              <w:rPr>
                <w:b/>
              </w:rPr>
              <w:t>9</w:t>
            </w:r>
            <w:r w:rsidR="005A23EA" w:rsidRPr="00970720">
              <w:rPr>
                <w:b/>
              </w:rPr>
              <w:t xml:space="preserve">. </w:t>
            </w:r>
            <w:r w:rsidR="003F00F6" w:rsidRPr="00970720">
              <w:rPr>
                <w:b/>
              </w:rPr>
              <w:t>PROCEDURAL NOTES:</w:t>
            </w:r>
          </w:p>
          <w:p w14:paraId="2F3A00CC" w14:textId="2887F9EB" w:rsidR="00711CC1" w:rsidRPr="00970720" w:rsidRDefault="005A23EA" w:rsidP="00CC6375">
            <w:pPr>
              <w:ind w:left="337"/>
              <w:rPr>
                <w:b/>
              </w:rPr>
            </w:pPr>
            <w:r w:rsidRPr="00970720">
              <w:rPr>
                <w:b/>
              </w:rPr>
              <w:t xml:space="preserve">A. </w:t>
            </w:r>
            <w:r w:rsidR="00711CC1" w:rsidRPr="00970720">
              <w:rPr>
                <w:b/>
              </w:rPr>
              <w:t>BACKUP FOR INOPERABLE SYSTEM</w:t>
            </w:r>
          </w:p>
          <w:p w14:paraId="1231BE67" w14:textId="77777777" w:rsidR="002C1DDA" w:rsidRPr="00970720" w:rsidRDefault="002C1DDA" w:rsidP="00A62C4B">
            <w:pPr>
              <w:ind w:left="288"/>
            </w:pPr>
          </w:p>
        </w:tc>
      </w:tr>
      <w:tr w:rsidR="00AA260E" w:rsidRPr="00970720" w14:paraId="77AB3C46" w14:textId="77777777" w:rsidTr="00C83301">
        <w:trPr>
          <w:gridBefore w:val="2"/>
          <w:gridAfter w:val="1"/>
          <w:wBefore w:w="400" w:type="dxa"/>
          <w:wAfter w:w="2767" w:type="dxa"/>
        </w:trPr>
        <w:tc>
          <w:tcPr>
            <w:tcW w:w="10925" w:type="dxa"/>
            <w:gridSpan w:val="7"/>
            <w:tcBorders>
              <w:top w:val="nil"/>
              <w:left w:val="nil"/>
              <w:bottom w:val="nil"/>
              <w:right w:val="nil"/>
            </w:tcBorders>
          </w:tcPr>
          <w:p w14:paraId="3808667F" w14:textId="792508C1" w:rsidR="00CC6375" w:rsidRPr="00970720" w:rsidRDefault="00CC6375" w:rsidP="00CC6375">
            <w:pPr>
              <w:rPr>
                <w:b/>
              </w:rPr>
            </w:pPr>
            <w:r>
              <w:t>Refer to St. Rita’s Medical Lab.</w:t>
            </w:r>
            <w:r w:rsidRPr="00970720">
              <w:t xml:space="preserve"> Any specimen transported must be packaged in compliance with NVML regulations covering the transportation of etiologic agents.</w:t>
            </w:r>
          </w:p>
          <w:p w14:paraId="188E5352" w14:textId="44AA2CC1" w:rsidR="00AA260E" w:rsidRPr="00970720" w:rsidRDefault="00AA260E" w:rsidP="00177208"/>
        </w:tc>
      </w:tr>
      <w:tr w:rsidR="00AA260E" w:rsidRPr="00970720" w14:paraId="66D8F1A7" w14:textId="77777777" w:rsidTr="00C83301">
        <w:trPr>
          <w:gridAfter w:val="6"/>
          <w:wAfter w:w="7072" w:type="dxa"/>
        </w:trPr>
        <w:tc>
          <w:tcPr>
            <w:tcW w:w="7020" w:type="dxa"/>
            <w:gridSpan w:val="4"/>
            <w:tcBorders>
              <w:top w:val="nil"/>
              <w:left w:val="nil"/>
              <w:bottom w:val="nil"/>
              <w:right w:val="nil"/>
            </w:tcBorders>
          </w:tcPr>
          <w:p w14:paraId="1906D90F" w14:textId="7FCD2C30" w:rsidR="00AA260E" w:rsidRPr="00970720" w:rsidRDefault="00711CC1" w:rsidP="00CC6375">
            <w:pPr>
              <w:ind w:left="247"/>
              <w:rPr>
                <w:b/>
              </w:rPr>
            </w:pPr>
            <w:r w:rsidRPr="00970720">
              <w:rPr>
                <w:b/>
              </w:rPr>
              <w:t>1</w:t>
            </w:r>
            <w:r w:rsidR="00CC6375">
              <w:rPr>
                <w:b/>
              </w:rPr>
              <w:t>0</w:t>
            </w:r>
            <w:r w:rsidRPr="00970720">
              <w:rPr>
                <w:b/>
              </w:rPr>
              <w:t xml:space="preserve">. </w:t>
            </w:r>
            <w:r w:rsidR="003F00F6" w:rsidRPr="00970720">
              <w:rPr>
                <w:b/>
              </w:rPr>
              <w:t>LIMITATIONS AND INTERFERRING SUBSTANCES:</w:t>
            </w:r>
          </w:p>
        </w:tc>
      </w:tr>
      <w:tr w:rsidR="00AA260E" w:rsidRPr="00970720" w14:paraId="34824FA9" w14:textId="77777777" w:rsidTr="00C83301">
        <w:trPr>
          <w:gridBefore w:val="1"/>
          <w:gridAfter w:val="4"/>
          <w:wBefore w:w="288" w:type="dxa"/>
          <w:wAfter w:w="4156" w:type="dxa"/>
        </w:trPr>
        <w:tc>
          <w:tcPr>
            <w:tcW w:w="9648" w:type="dxa"/>
            <w:gridSpan w:val="5"/>
            <w:tcBorders>
              <w:top w:val="nil"/>
              <w:left w:val="nil"/>
              <w:bottom w:val="nil"/>
              <w:right w:val="nil"/>
            </w:tcBorders>
          </w:tcPr>
          <w:p w14:paraId="53E4FB56" w14:textId="03C762BA" w:rsidR="008966D3" w:rsidRPr="00970720" w:rsidRDefault="00D229FC" w:rsidP="00C83301">
            <w:pPr>
              <w:ind w:left="409"/>
            </w:pPr>
            <w:r w:rsidRPr="00970720">
              <w:t>When both Influenza A and Influenza B are Not Detected, these results should be considered presumptive in samples that have a positive SAR-CoV-2 result. Consider retesting with an FDA approved test if influenza detection would alter clinical management.</w:t>
            </w:r>
          </w:p>
          <w:p w14:paraId="7546AC13" w14:textId="028A59F6" w:rsidR="008966D3" w:rsidRPr="00970720" w:rsidRDefault="008966D3" w:rsidP="00CC6375"/>
        </w:tc>
      </w:tr>
      <w:tr w:rsidR="00AA260E" w:rsidRPr="00970720" w14:paraId="386CB2E2" w14:textId="77777777" w:rsidTr="00C83301">
        <w:trPr>
          <w:gridAfter w:val="7"/>
          <w:wAfter w:w="9322" w:type="dxa"/>
        </w:trPr>
        <w:tc>
          <w:tcPr>
            <w:tcW w:w="4770" w:type="dxa"/>
            <w:gridSpan w:val="3"/>
            <w:tcBorders>
              <w:top w:val="nil"/>
              <w:left w:val="nil"/>
              <w:bottom w:val="nil"/>
              <w:right w:val="nil"/>
            </w:tcBorders>
          </w:tcPr>
          <w:p w14:paraId="18A01F05" w14:textId="0BEA19AA" w:rsidR="00AA260E" w:rsidRPr="00970720" w:rsidRDefault="00711CC1" w:rsidP="00CC6375">
            <w:pPr>
              <w:ind w:left="247"/>
              <w:rPr>
                <w:b/>
              </w:rPr>
            </w:pPr>
            <w:r w:rsidRPr="00970720">
              <w:rPr>
                <w:b/>
              </w:rPr>
              <w:t>1</w:t>
            </w:r>
            <w:r w:rsidR="00CC6375">
              <w:rPr>
                <w:b/>
              </w:rPr>
              <w:t>1</w:t>
            </w:r>
            <w:r w:rsidRPr="00970720">
              <w:rPr>
                <w:b/>
              </w:rPr>
              <w:t xml:space="preserve">. </w:t>
            </w:r>
            <w:r w:rsidR="00027697" w:rsidRPr="00970720">
              <w:rPr>
                <w:b/>
              </w:rPr>
              <w:t>METHOD VALIDATION:</w:t>
            </w:r>
            <w:r w:rsidR="000B425C" w:rsidRPr="00970720">
              <w:rPr>
                <w:b/>
              </w:rPr>
              <w:t xml:space="preserve"> </w:t>
            </w:r>
          </w:p>
          <w:p w14:paraId="03D41794" w14:textId="007BA888" w:rsidR="000B425C" w:rsidRPr="00970720" w:rsidRDefault="00F5524C" w:rsidP="00CC6375">
            <w:pPr>
              <w:ind w:left="697"/>
              <w:rPr>
                <w:b/>
              </w:rPr>
            </w:pPr>
            <w:r w:rsidRPr="00970720">
              <w:rPr>
                <w:b/>
              </w:rPr>
              <w:t>November 2020</w:t>
            </w:r>
          </w:p>
        </w:tc>
      </w:tr>
    </w:tbl>
    <w:p w14:paraId="48A21919" w14:textId="77777777" w:rsidR="00AA260E" w:rsidRPr="00970720" w:rsidRDefault="00AA260E" w:rsidP="00AA260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0"/>
      </w:tblGrid>
      <w:tr w:rsidR="00AA260E" w:rsidRPr="00970720" w14:paraId="7740645C" w14:textId="77777777" w:rsidTr="00177208">
        <w:trPr>
          <w:trHeight w:val="864"/>
        </w:trPr>
        <w:tc>
          <w:tcPr>
            <w:tcW w:w="9910" w:type="dxa"/>
            <w:tcBorders>
              <w:top w:val="nil"/>
              <w:left w:val="nil"/>
              <w:bottom w:val="nil"/>
              <w:right w:val="nil"/>
            </w:tcBorders>
          </w:tcPr>
          <w:p w14:paraId="0CD8DD31" w14:textId="4D851B7D" w:rsidR="00AA260E" w:rsidRPr="00970720" w:rsidRDefault="00711CC1" w:rsidP="00CC6375">
            <w:pPr>
              <w:ind w:left="247"/>
              <w:rPr>
                <w:b/>
              </w:rPr>
            </w:pPr>
            <w:r w:rsidRPr="00970720">
              <w:rPr>
                <w:b/>
              </w:rPr>
              <w:t>1</w:t>
            </w:r>
            <w:r w:rsidR="00CC6375">
              <w:rPr>
                <w:b/>
              </w:rPr>
              <w:t>2</w:t>
            </w:r>
            <w:r w:rsidRPr="00970720">
              <w:rPr>
                <w:b/>
              </w:rPr>
              <w:t xml:space="preserve">. </w:t>
            </w:r>
            <w:r w:rsidR="00027697" w:rsidRPr="00970720">
              <w:rPr>
                <w:b/>
              </w:rPr>
              <w:t>REFERENCES:</w:t>
            </w:r>
          </w:p>
          <w:p w14:paraId="38030AB4" w14:textId="77777777" w:rsidR="005C55E2" w:rsidRPr="00970720" w:rsidRDefault="005C55E2" w:rsidP="00CC6375">
            <w:pPr>
              <w:pStyle w:val="NormalWeb"/>
              <w:ind w:left="697"/>
            </w:pPr>
            <w:r w:rsidRPr="00970720">
              <w:t xml:space="preserve">Roche Diagnostics </w:t>
            </w:r>
          </w:p>
          <w:p w14:paraId="7F24FEE5" w14:textId="77777777" w:rsidR="005C55E2" w:rsidRPr="00970720" w:rsidRDefault="005C55E2" w:rsidP="00CC6375">
            <w:pPr>
              <w:pStyle w:val="NormalWeb"/>
              <w:ind w:left="697"/>
            </w:pPr>
            <w:r w:rsidRPr="00970720">
              <w:t xml:space="preserve">Engineering Operations Department  </w:t>
            </w:r>
          </w:p>
          <w:p w14:paraId="75E5D7F1" w14:textId="77777777" w:rsidR="005C55E2" w:rsidRPr="00970720" w:rsidRDefault="005C55E2" w:rsidP="00CC6375">
            <w:pPr>
              <w:pStyle w:val="NormalWeb"/>
              <w:ind w:left="697"/>
            </w:pPr>
            <w:r w:rsidRPr="00970720">
              <w:t xml:space="preserve">9115 Hague Road </w:t>
            </w:r>
          </w:p>
          <w:p w14:paraId="3BD5F0CD" w14:textId="77777777" w:rsidR="005C55E2" w:rsidRPr="00970720" w:rsidRDefault="005C55E2" w:rsidP="00CC6375">
            <w:pPr>
              <w:pStyle w:val="NormalWeb"/>
              <w:ind w:left="697"/>
            </w:pPr>
            <w:r w:rsidRPr="00970720">
              <w:t xml:space="preserve">P.O. Box 50457 </w:t>
            </w:r>
          </w:p>
          <w:p w14:paraId="1C2EE63A" w14:textId="77777777" w:rsidR="005C55E2" w:rsidRPr="00970720" w:rsidRDefault="005C55E2" w:rsidP="00CC6375">
            <w:pPr>
              <w:pStyle w:val="NormalWeb"/>
              <w:ind w:left="697"/>
            </w:pPr>
            <w:r w:rsidRPr="00970720">
              <w:t xml:space="preserve">Indianapolis, IN  46250-0457 </w:t>
            </w:r>
          </w:p>
          <w:p w14:paraId="6C71DCB9" w14:textId="77777777" w:rsidR="005C55E2" w:rsidRPr="00970720" w:rsidRDefault="005C55E2" w:rsidP="00CC6375">
            <w:pPr>
              <w:pStyle w:val="NormalWeb"/>
              <w:ind w:left="697"/>
            </w:pPr>
            <w:r w:rsidRPr="00970720">
              <w:t xml:space="preserve">USA </w:t>
            </w:r>
          </w:p>
          <w:p w14:paraId="238601FE" w14:textId="77777777" w:rsidR="00335CDE" w:rsidRPr="00970720" w:rsidRDefault="00335CDE" w:rsidP="00177208">
            <w:pPr>
              <w:rPr>
                <w:b/>
              </w:rPr>
            </w:pPr>
          </w:p>
        </w:tc>
      </w:tr>
    </w:tbl>
    <w:p w14:paraId="3B2FC946" w14:textId="77777777" w:rsidR="006C71EB" w:rsidRPr="00970720" w:rsidRDefault="006C71EB" w:rsidP="006C71EB">
      <w:pPr>
        <w:tabs>
          <w:tab w:val="left" w:pos="4320"/>
        </w:tabs>
        <w:rPr>
          <w:b/>
        </w:rPr>
      </w:pPr>
      <w:r w:rsidRPr="00970720">
        <w:rPr>
          <w:b/>
        </w:rPr>
        <w:t>Policy Review: Deny Morlino, MT</w:t>
      </w:r>
    </w:p>
    <w:p w14:paraId="33496317" w14:textId="77777777" w:rsidR="006C71EB" w:rsidRPr="00970720" w:rsidRDefault="006C71EB" w:rsidP="006C71EB">
      <w:pPr>
        <w:tabs>
          <w:tab w:val="left" w:pos="1620"/>
        </w:tabs>
        <w:rPr>
          <w:b/>
        </w:rPr>
      </w:pPr>
      <w:r w:rsidRPr="00970720">
        <w:rPr>
          <w:b/>
        </w:rPr>
        <w:tab/>
        <w:t>Immunohematology Lead Technologist</w:t>
      </w:r>
    </w:p>
    <w:p w14:paraId="216B28F9" w14:textId="271CD0A1" w:rsidR="006C71EB" w:rsidRPr="00970720" w:rsidRDefault="006C71EB" w:rsidP="006C71EB">
      <w:pPr>
        <w:tabs>
          <w:tab w:val="left" w:pos="4320"/>
        </w:tabs>
        <w:rPr>
          <w:b/>
        </w:rPr>
      </w:pPr>
      <w:r w:rsidRPr="00970720">
        <w:rPr>
          <w:b/>
        </w:rPr>
        <w:t xml:space="preserve">Date: </w:t>
      </w:r>
      <w:r w:rsidR="00CB7245">
        <w:rPr>
          <w:b/>
        </w:rPr>
        <w:t>6</w:t>
      </w:r>
      <w:r w:rsidR="00970720">
        <w:rPr>
          <w:b/>
        </w:rPr>
        <w:t>/</w:t>
      </w:r>
      <w:r w:rsidR="00CB7245">
        <w:rPr>
          <w:b/>
        </w:rPr>
        <w:t>26</w:t>
      </w:r>
      <w:r w:rsidR="00970720">
        <w:rPr>
          <w:b/>
        </w:rPr>
        <w:t>/2024</w:t>
      </w:r>
    </w:p>
    <w:p w14:paraId="270F941A" w14:textId="77777777" w:rsidR="006C71EB" w:rsidRPr="00970720" w:rsidRDefault="006C71EB" w:rsidP="006C71EB">
      <w:pPr>
        <w:tabs>
          <w:tab w:val="left" w:pos="4320"/>
        </w:tabs>
        <w:rPr>
          <w:b/>
        </w:rPr>
      </w:pPr>
    </w:p>
    <w:p w14:paraId="6349125A" w14:textId="34306BAC" w:rsidR="00B04A9C" w:rsidRDefault="00B04A9C" w:rsidP="00B04A9C">
      <w:pPr>
        <w:tabs>
          <w:tab w:val="left" w:pos="4320"/>
        </w:tabs>
        <w:rPr>
          <w:b/>
        </w:rPr>
      </w:pPr>
      <w:r>
        <w:rPr>
          <w:b/>
        </w:rPr>
        <w:t xml:space="preserve">Policy Approval: </w:t>
      </w:r>
      <w:r w:rsidR="00E46F6D">
        <w:rPr>
          <w:b/>
        </w:rPr>
        <w:t xml:space="preserve">Dr. Patrick C </w:t>
      </w:r>
      <w:proofErr w:type="spellStart"/>
      <w:r w:rsidR="00E46F6D">
        <w:rPr>
          <w:b/>
        </w:rPr>
        <w:t>Feasel</w:t>
      </w:r>
      <w:proofErr w:type="spellEnd"/>
      <w:r w:rsidR="00E46F6D">
        <w:rPr>
          <w:b/>
        </w:rPr>
        <w:t>, MD</w:t>
      </w:r>
    </w:p>
    <w:p w14:paraId="055202B5" w14:textId="77777777" w:rsidR="00B04A9C" w:rsidRDefault="00B04A9C" w:rsidP="00B04A9C">
      <w:pPr>
        <w:tabs>
          <w:tab w:val="left" w:pos="1800"/>
        </w:tabs>
        <w:rPr>
          <w:b/>
        </w:rPr>
      </w:pPr>
      <w:r>
        <w:rPr>
          <w:b/>
        </w:rPr>
        <w:tab/>
        <w:t>Laboratory Medical Director</w:t>
      </w:r>
    </w:p>
    <w:p w14:paraId="1089069F" w14:textId="398A0E02" w:rsidR="00717A7D" w:rsidRPr="00C83301" w:rsidRDefault="00B04A9C" w:rsidP="006C71EB">
      <w:pPr>
        <w:tabs>
          <w:tab w:val="left" w:pos="4320"/>
        </w:tabs>
      </w:pPr>
      <w:r>
        <w:rPr>
          <w:b/>
        </w:rPr>
        <w:t xml:space="preserve">Date: </w:t>
      </w:r>
      <w:r w:rsidR="00E46F6D">
        <w:rPr>
          <w:b/>
        </w:rPr>
        <w:t>6/28/2024</w:t>
      </w:r>
    </w:p>
    <w:sectPr w:rsidR="00717A7D" w:rsidRPr="00C83301" w:rsidSect="005C1565">
      <w:headerReference w:type="default" r:id="rId9"/>
      <w:headerReference w:type="first" r:id="rId10"/>
      <w:pgSz w:w="12240" w:h="15840" w:code="1"/>
      <w:pgMar w:top="1008" w:right="1152" w:bottom="86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EB4AB" w14:textId="77777777" w:rsidR="00950FC9" w:rsidRDefault="00950FC9">
      <w:r>
        <w:separator/>
      </w:r>
    </w:p>
  </w:endnote>
  <w:endnote w:type="continuationSeparator" w:id="0">
    <w:p w14:paraId="0AD9C6F4" w14:textId="77777777" w:rsidR="00950FC9" w:rsidRDefault="0095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mago">
    <w:altName w:val="Imag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F511A" w14:textId="77777777" w:rsidR="00950FC9" w:rsidRDefault="00950FC9">
      <w:r>
        <w:separator/>
      </w:r>
    </w:p>
  </w:footnote>
  <w:footnote w:type="continuationSeparator" w:id="0">
    <w:p w14:paraId="65F9C3DC" w14:textId="77777777" w:rsidR="00950FC9" w:rsidRDefault="00950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3780"/>
    </w:tblGrid>
    <w:tr w:rsidR="00177208" w14:paraId="7876493E" w14:textId="77777777" w:rsidTr="005C04BB">
      <w:tc>
        <w:tcPr>
          <w:tcW w:w="6228" w:type="dxa"/>
          <w:vAlign w:val="center"/>
        </w:tcPr>
        <w:p w14:paraId="6D496ED0" w14:textId="77777777" w:rsidR="00C26A4D" w:rsidRPr="00864CD0" w:rsidRDefault="00177208" w:rsidP="00C26A4D">
          <w:pPr>
            <w:pStyle w:val="Header"/>
            <w:jc w:val="center"/>
            <w:rPr>
              <w:rFonts w:ascii="Arial" w:hAnsi="Arial" w:cs="Arial"/>
              <w:b/>
              <w:sz w:val="20"/>
              <w:szCs w:val="20"/>
            </w:rPr>
          </w:pPr>
          <w:r w:rsidRPr="005C04BB">
            <w:rPr>
              <w:rFonts w:ascii="Arial" w:hAnsi="Arial" w:cs="Arial"/>
              <w:b/>
              <w:color w:val="0000FF"/>
              <w:sz w:val="18"/>
              <w:szCs w:val="18"/>
            </w:rPr>
            <w:t>P</w:t>
          </w:r>
          <w:r w:rsidR="00AD0A10">
            <w:rPr>
              <w:rFonts w:ascii="Arial" w:hAnsi="Arial" w:cs="Arial"/>
              <w:b/>
              <w:color w:val="0000FF"/>
              <w:sz w:val="18"/>
              <w:szCs w:val="18"/>
            </w:rPr>
            <w:t>roc</w:t>
          </w:r>
          <w:r w:rsidR="00C26A4D">
            <w:rPr>
              <w:rFonts w:ascii="Arial" w:hAnsi="Arial" w:cs="Arial"/>
              <w:b/>
              <w:color w:val="0000FF"/>
              <w:sz w:val="18"/>
              <w:szCs w:val="18"/>
            </w:rPr>
            <w:t xml:space="preserve">edure:   </w:t>
          </w:r>
          <w:r w:rsidR="00B76C46">
            <w:rPr>
              <w:rFonts w:ascii="Arial" w:hAnsi="Arial" w:cs="Arial"/>
              <w:b/>
              <w:sz w:val="20"/>
              <w:szCs w:val="20"/>
            </w:rPr>
            <w:t>nvml.</w:t>
          </w:r>
          <w:r w:rsidR="004E7683">
            <w:rPr>
              <w:rFonts w:ascii="Arial" w:hAnsi="Arial" w:cs="Arial"/>
              <w:b/>
              <w:sz w:val="20"/>
              <w:szCs w:val="20"/>
            </w:rPr>
            <w:t>jtdmh.imm.218</w:t>
          </w:r>
        </w:p>
        <w:p w14:paraId="37B4BAA3" w14:textId="77777777" w:rsidR="00177208" w:rsidRPr="005C04BB" w:rsidRDefault="00177208" w:rsidP="005C04BB">
          <w:pPr>
            <w:pStyle w:val="Header"/>
            <w:jc w:val="center"/>
            <w:rPr>
              <w:rFonts w:ascii="Arial" w:hAnsi="Arial" w:cs="Arial"/>
              <w:b/>
              <w:color w:val="0000FF"/>
              <w:sz w:val="18"/>
              <w:szCs w:val="18"/>
            </w:rPr>
          </w:pPr>
          <w:r w:rsidRPr="005C04BB">
            <w:rPr>
              <w:rFonts w:ascii="Arial" w:hAnsi="Arial" w:cs="Arial"/>
              <w:b/>
              <w:color w:val="0000FF"/>
              <w:sz w:val="18"/>
              <w:szCs w:val="18"/>
            </w:rPr>
            <w:t xml:space="preserve"> </w:t>
          </w:r>
          <w:r w:rsidR="00C26A4D">
            <w:rPr>
              <w:rFonts w:ascii="Arial" w:hAnsi="Arial" w:cs="Arial"/>
              <w:b/>
              <w:color w:val="0000FF"/>
              <w:sz w:val="18"/>
              <w:szCs w:val="18"/>
            </w:rPr>
            <w:t xml:space="preserve"> Roche Liat </w:t>
          </w:r>
          <w:r w:rsidR="00B76C46">
            <w:rPr>
              <w:rFonts w:ascii="Arial" w:hAnsi="Arial" w:cs="Arial"/>
              <w:b/>
              <w:color w:val="0000FF"/>
              <w:sz w:val="18"/>
              <w:szCs w:val="18"/>
            </w:rPr>
            <w:t xml:space="preserve">Flu A/B </w:t>
          </w:r>
          <w:r w:rsidR="00980687">
            <w:rPr>
              <w:rFonts w:ascii="Arial" w:hAnsi="Arial" w:cs="Arial"/>
              <w:b/>
              <w:color w:val="0000FF"/>
              <w:sz w:val="18"/>
              <w:szCs w:val="18"/>
            </w:rPr>
            <w:t>COVID</w:t>
          </w:r>
        </w:p>
      </w:tc>
      <w:tc>
        <w:tcPr>
          <w:tcW w:w="3780" w:type="dxa"/>
        </w:tcPr>
        <w:p w14:paraId="0CB6C90C" w14:textId="77777777" w:rsidR="00177208" w:rsidRPr="00A62C4B" w:rsidRDefault="00177208" w:rsidP="005C1565">
          <w:pPr>
            <w:pStyle w:val="Header"/>
            <w:rPr>
              <w:rFonts w:ascii="Arial" w:hAnsi="Arial" w:cs="Arial"/>
              <w:b/>
              <w:sz w:val="18"/>
              <w:szCs w:val="18"/>
            </w:rPr>
          </w:pPr>
          <w:r w:rsidRPr="00A62C4B">
            <w:rPr>
              <w:rFonts w:ascii="Arial" w:hAnsi="Arial" w:cs="Arial"/>
              <w:b/>
              <w:sz w:val="18"/>
              <w:szCs w:val="18"/>
            </w:rPr>
            <w:t xml:space="preserve">Procedure Number: </w:t>
          </w:r>
        </w:p>
        <w:p w14:paraId="0DA53C23" w14:textId="37313B36" w:rsidR="00177208" w:rsidRPr="005C04BB" w:rsidRDefault="00177208" w:rsidP="005C1565">
          <w:pPr>
            <w:pStyle w:val="Header"/>
            <w:rPr>
              <w:rFonts w:ascii="Arial" w:hAnsi="Arial" w:cs="Arial"/>
              <w:b/>
              <w:color w:val="0000FF"/>
              <w:sz w:val="20"/>
              <w:szCs w:val="20"/>
            </w:rPr>
          </w:pPr>
          <w:r w:rsidRPr="005C04BB">
            <w:rPr>
              <w:rStyle w:val="PageNumber"/>
              <w:rFonts w:ascii="Arial" w:hAnsi="Arial" w:cs="Arial"/>
              <w:b/>
              <w:color w:val="0000FF"/>
              <w:sz w:val="20"/>
              <w:szCs w:val="20"/>
            </w:rPr>
            <w:t xml:space="preserve">Page </w:t>
          </w:r>
          <w:r w:rsidRPr="005C04BB">
            <w:rPr>
              <w:rStyle w:val="PageNumber"/>
              <w:rFonts w:ascii="Arial" w:hAnsi="Arial" w:cs="Arial"/>
              <w:b/>
              <w:color w:val="0000FF"/>
              <w:sz w:val="20"/>
              <w:szCs w:val="20"/>
            </w:rPr>
            <w:fldChar w:fldCharType="begin"/>
          </w:r>
          <w:r w:rsidRPr="005C04BB">
            <w:rPr>
              <w:rStyle w:val="PageNumber"/>
              <w:rFonts w:ascii="Arial" w:hAnsi="Arial" w:cs="Arial"/>
              <w:b/>
              <w:color w:val="0000FF"/>
              <w:sz w:val="20"/>
              <w:szCs w:val="20"/>
            </w:rPr>
            <w:instrText xml:space="preserve"> PAGE </w:instrText>
          </w:r>
          <w:r w:rsidRPr="005C04BB">
            <w:rPr>
              <w:rStyle w:val="PageNumber"/>
              <w:rFonts w:ascii="Arial" w:hAnsi="Arial" w:cs="Arial"/>
              <w:b/>
              <w:color w:val="0000FF"/>
              <w:sz w:val="20"/>
              <w:szCs w:val="20"/>
            </w:rPr>
            <w:fldChar w:fldCharType="separate"/>
          </w:r>
          <w:r w:rsidR="00717A7D">
            <w:rPr>
              <w:rStyle w:val="PageNumber"/>
              <w:rFonts w:ascii="Arial" w:hAnsi="Arial" w:cs="Arial"/>
              <w:b/>
              <w:noProof/>
              <w:color w:val="0000FF"/>
              <w:sz w:val="20"/>
              <w:szCs w:val="20"/>
            </w:rPr>
            <w:t>11</w:t>
          </w:r>
          <w:r w:rsidRPr="005C04BB">
            <w:rPr>
              <w:rStyle w:val="PageNumber"/>
              <w:rFonts w:ascii="Arial" w:hAnsi="Arial" w:cs="Arial"/>
              <w:b/>
              <w:color w:val="0000FF"/>
              <w:sz w:val="20"/>
              <w:szCs w:val="20"/>
            </w:rPr>
            <w:fldChar w:fldCharType="end"/>
          </w:r>
          <w:r w:rsidRPr="005C04BB">
            <w:rPr>
              <w:rStyle w:val="PageNumber"/>
              <w:rFonts w:ascii="Arial" w:hAnsi="Arial" w:cs="Arial"/>
              <w:b/>
              <w:color w:val="0000FF"/>
              <w:sz w:val="20"/>
              <w:szCs w:val="20"/>
            </w:rPr>
            <w:t xml:space="preserve"> of </w:t>
          </w:r>
          <w:r w:rsidRPr="005C04BB">
            <w:rPr>
              <w:rStyle w:val="PageNumber"/>
              <w:rFonts w:ascii="Arial" w:hAnsi="Arial" w:cs="Arial"/>
              <w:b/>
              <w:color w:val="0000FF"/>
              <w:sz w:val="20"/>
              <w:szCs w:val="20"/>
            </w:rPr>
            <w:fldChar w:fldCharType="begin"/>
          </w:r>
          <w:r w:rsidRPr="005C04BB">
            <w:rPr>
              <w:rStyle w:val="PageNumber"/>
              <w:rFonts w:ascii="Arial" w:hAnsi="Arial" w:cs="Arial"/>
              <w:b/>
              <w:color w:val="0000FF"/>
              <w:sz w:val="20"/>
              <w:szCs w:val="20"/>
            </w:rPr>
            <w:instrText xml:space="preserve"> NUMPAGES </w:instrText>
          </w:r>
          <w:r w:rsidRPr="005C04BB">
            <w:rPr>
              <w:rStyle w:val="PageNumber"/>
              <w:rFonts w:ascii="Arial" w:hAnsi="Arial" w:cs="Arial"/>
              <w:b/>
              <w:color w:val="0000FF"/>
              <w:sz w:val="20"/>
              <w:szCs w:val="20"/>
            </w:rPr>
            <w:fldChar w:fldCharType="separate"/>
          </w:r>
          <w:r w:rsidR="00717A7D">
            <w:rPr>
              <w:rStyle w:val="PageNumber"/>
              <w:rFonts w:ascii="Arial" w:hAnsi="Arial" w:cs="Arial"/>
              <w:b/>
              <w:noProof/>
              <w:color w:val="0000FF"/>
              <w:sz w:val="20"/>
              <w:szCs w:val="20"/>
            </w:rPr>
            <w:t>11</w:t>
          </w:r>
          <w:r w:rsidRPr="005C04BB">
            <w:rPr>
              <w:rStyle w:val="PageNumber"/>
              <w:rFonts w:ascii="Arial" w:hAnsi="Arial" w:cs="Arial"/>
              <w:b/>
              <w:color w:val="0000FF"/>
              <w:sz w:val="20"/>
              <w:szCs w:val="20"/>
            </w:rPr>
            <w:fldChar w:fldCharType="end"/>
          </w:r>
          <w:r w:rsidRPr="005C04BB">
            <w:rPr>
              <w:rFonts w:ascii="Arial" w:hAnsi="Arial" w:cs="Arial"/>
              <w:b/>
              <w:sz w:val="20"/>
              <w:szCs w:val="20"/>
            </w:rPr>
            <w:t xml:space="preserve"> </w:t>
          </w:r>
        </w:p>
      </w:tc>
    </w:tr>
  </w:tbl>
  <w:p w14:paraId="5B08B5D1" w14:textId="77777777" w:rsidR="00177208" w:rsidRPr="004A733D" w:rsidRDefault="00177208">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800"/>
      <w:gridCol w:w="3564"/>
    </w:tblGrid>
    <w:tr w:rsidR="00177208" w:rsidRPr="00864CD0" w14:paraId="3A12A621" w14:textId="77777777" w:rsidTr="00A62C4B">
      <w:tc>
        <w:tcPr>
          <w:tcW w:w="4788" w:type="dxa"/>
        </w:tcPr>
        <w:p w14:paraId="22CE0F45" w14:textId="77777777" w:rsidR="00177208" w:rsidRPr="002F5E97" w:rsidRDefault="00177208" w:rsidP="00307865">
          <w:pPr>
            <w:pStyle w:val="Header"/>
            <w:jc w:val="center"/>
            <w:rPr>
              <w:rFonts w:ascii="Arial" w:hAnsi="Arial" w:cs="Arial"/>
              <w:b/>
              <w:sz w:val="28"/>
              <w:szCs w:val="28"/>
            </w:rPr>
          </w:pPr>
          <w:r w:rsidRPr="002F5E97">
            <w:rPr>
              <w:rFonts w:ascii="Arial" w:hAnsi="Arial" w:cs="Arial"/>
              <w:b/>
              <w:sz w:val="28"/>
              <w:szCs w:val="28"/>
            </w:rPr>
            <w:t>New Vision Medical Laboratories</w:t>
          </w:r>
        </w:p>
        <w:p w14:paraId="322F5830" w14:textId="77777777" w:rsidR="00177208" w:rsidRDefault="004E7683" w:rsidP="00307865">
          <w:pPr>
            <w:pStyle w:val="Header"/>
            <w:jc w:val="center"/>
            <w:rPr>
              <w:rFonts w:ascii="Arial" w:hAnsi="Arial" w:cs="Arial"/>
              <w:b/>
            </w:rPr>
          </w:pPr>
          <w:r>
            <w:rPr>
              <w:rFonts w:ascii="Arial" w:hAnsi="Arial" w:cs="Arial"/>
              <w:b/>
            </w:rPr>
            <w:t>Joint Township District Memorial Hosp</w:t>
          </w:r>
        </w:p>
        <w:p w14:paraId="0880A552" w14:textId="77777777" w:rsidR="00177208" w:rsidRPr="002F5E97" w:rsidRDefault="004E7683" w:rsidP="00307865">
          <w:pPr>
            <w:pStyle w:val="Header"/>
            <w:jc w:val="center"/>
            <w:rPr>
              <w:rFonts w:ascii="Arial" w:hAnsi="Arial" w:cs="Arial"/>
              <w:b/>
              <w:sz w:val="20"/>
              <w:szCs w:val="20"/>
            </w:rPr>
          </w:pPr>
          <w:r>
            <w:rPr>
              <w:rFonts w:ascii="Arial" w:hAnsi="Arial" w:cs="Arial"/>
              <w:b/>
              <w:sz w:val="20"/>
              <w:szCs w:val="20"/>
            </w:rPr>
            <w:t xml:space="preserve">St. </w:t>
          </w:r>
          <w:proofErr w:type="spellStart"/>
          <w:r>
            <w:rPr>
              <w:rFonts w:ascii="Arial" w:hAnsi="Arial" w:cs="Arial"/>
              <w:b/>
              <w:sz w:val="20"/>
              <w:szCs w:val="20"/>
            </w:rPr>
            <w:t>Marys</w:t>
          </w:r>
          <w:proofErr w:type="spellEnd"/>
          <w:r>
            <w:rPr>
              <w:rFonts w:ascii="Arial" w:hAnsi="Arial" w:cs="Arial"/>
              <w:b/>
              <w:sz w:val="20"/>
              <w:szCs w:val="20"/>
            </w:rPr>
            <w:t>, Ohio</w:t>
          </w:r>
        </w:p>
        <w:p w14:paraId="37F74E5B" w14:textId="77777777" w:rsidR="00177208" w:rsidRPr="00A62C4B" w:rsidRDefault="00177208" w:rsidP="00307865">
          <w:pPr>
            <w:pStyle w:val="Header"/>
            <w:jc w:val="center"/>
            <w:rPr>
              <w:rFonts w:ascii="Arial" w:hAnsi="Arial" w:cs="Arial"/>
              <w:b/>
              <w:color w:val="0000FF"/>
              <w:sz w:val="20"/>
              <w:szCs w:val="20"/>
            </w:rPr>
          </w:pPr>
          <w:r w:rsidRPr="002F5E97">
            <w:rPr>
              <w:rFonts w:ascii="Arial" w:hAnsi="Arial" w:cs="Arial"/>
              <w:b/>
              <w:color w:val="0000FF"/>
              <w:sz w:val="20"/>
              <w:szCs w:val="20"/>
            </w:rPr>
            <w:t>Technical Procedure</w:t>
          </w:r>
        </w:p>
      </w:tc>
      <w:tc>
        <w:tcPr>
          <w:tcW w:w="1800" w:type="dxa"/>
          <w:vAlign w:val="center"/>
        </w:tcPr>
        <w:p w14:paraId="5023141B" w14:textId="77777777" w:rsidR="00177208" w:rsidRPr="00A62C4B" w:rsidRDefault="00783C7D" w:rsidP="00A62C4B">
          <w:pPr>
            <w:pStyle w:val="Header"/>
            <w:jc w:val="center"/>
            <w:rPr>
              <w:rFonts w:ascii="Arial" w:hAnsi="Arial" w:cs="Arial"/>
              <w:b/>
            </w:rPr>
          </w:pPr>
          <w:r w:rsidRPr="00A62C4B">
            <w:rPr>
              <w:rFonts w:ascii="Arial" w:hAnsi="Arial" w:cs="Arial"/>
              <w:b/>
              <w:noProof/>
            </w:rPr>
            <w:drawing>
              <wp:inline distT="0" distB="0" distL="0" distR="0" wp14:anchorId="1455F1A0" wp14:editId="07777777">
                <wp:extent cx="97155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523875"/>
                        </a:xfrm>
                        <a:prstGeom prst="rect">
                          <a:avLst/>
                        </a:prstGeom>
                        <a:noFill/>
                        <a:ln>
                          <a:noFill/>
                        </a:ln>
                      </pic:spPr>
                    </pic:pic>
                  </a:graphicData>
                </a:graphic>
              </wp:inline>
            </w:drawing>
          </w:r>
        </w:p>
      </w:tc>
      <w:tc>
        <w:tcPr>
          <w:tcW w:w="3564" w:type="dxa"/>
        </w:tcPr>
        <w:p w14:paraId="1F3B1409" w14:textId="77777777" w:rsidR="00177208" w:rsidRPr="00864CD0" w:rsidRDefault="00177208" w:rsidP="00A62C4B">
          <w:pPr>
            <w:pStyle w:val="Header"/>
            <w:jc w:val="center"/>
            <w:rPr>
              <w:rFonts w:ascii="Arial" w:hAnsi="Arial" w:cs="Arial"/>
              <w:b/>
              <w:sz w:val="18"/>
              <w:szCs w:val="18"/>
            </w:rPr>
          </w:pPr>
        </w:p>
        <w:p w14:paraId="048B69F4" w14:textId="77777777" w:rsidR="00177208" w:rsidRPr="00864CD0" w:rsidRDefault="00177208" w:rsidP="00A62C4B">
          <w:pPr>
            <w:pStyle w:val="Header"/>
            <w:jc w:val="center"/>
            <w:rPr>
              <w:rFonts w:ascii="Arial" w:hAnsi="Arial" w:cs="Arial"/>
              <w:b/>
              <w:sz w:val="20"/>
              <w:szCs w:val="20"/>
            </w:rPr>
          </w:pPr>
          <w:r w:rsidRPr="00864CD0">
            <w:rPr>
              <w:rFonts w:ascii="Arial" w:hAnsi="Arial" w:cs="Arial"/>
              <w:b/>
              <w:sz w:val="20"/>
              <w:szCs w:val="20"/>
            </w:rPr>
            <w:t>Procedure Number:</w:t>
          </w:r>
        </w:p>
        <w:p w14:paraId="34A802D3" w14:textId="77777777" w:rsidR="00177208" w:rsidRPr="00864CD0" w:rsidRDefault="00EB7375" w:rsidP="00A62C4B">
          <w:pPr>
            <w:pStyle w:val="Header"/>
            <w:jc w:val="center"/>
            <w:rPr>
              <w:rFonts w:ascii="Arial" w:hAnsi="Arial" w:cs="Arial"/>
              <w:b/>
              <w:sz w:val="20"/>
              <w:szCs w:val="20"/>
            </w:rPr>
          </w:pPr>
          <w:r>
            <w:rPr>
              <w:rFonts w:ascii="Arial" w:hAnsi="Arial" w:cs="Arial"/>
              <w:b/>
              <w:sz w:val="20"/>
              <w:szCs w:val="20"/>
            </w:rPr>
            <w:t>nvml.</w:t>
          </w:r>
          <w:r w:rsidR="004E7683">
            <w:rPr>
              <w:rFonts w:ascii="Arial" w:hAnsi="Arial" w:cs="Arial"/>
              <w:b/>
              <w:sz w:val="20"/>
              <w:szCs w:val="20"/>
            </w:rPr>
            <w:t>jtdmh.imm.218</w:t>
          </w:r>
        </w:p>
        <w:p w14:paraId="20F2FA70" w14:textId="77777777" w:rsidR="00177208" w:rsidRPr="00864CD0" w:rsidRDefault="00EB7375" w:rsidP="00864CD0">
          <w:pPr>
            <w:jc w:val="center"/>
            <w:rPr>
              <w:rFonts w:ascii="Arial" w:hAnsi="Arial" w:cs="Arial"/>
              <w:b/>
            </w:rPr>
          </w:pPr>
          <w:r>
            <w:rPr>
              <w:rFonts w:ascii="Arial" w:hAnsi="Arial" w:cs="Arial"/>
              <w:b/>
            </w:rPr>
            <w:t>Liat Flu</w:t>
          </w:r>
          <w:r w:rsidR="00980687">
            <w:rPr>
              <w:rFonts w:ascii="Arial" w:hAnsi="Arial" w:cs="Arial"/>
              <w:b/>
            </w:rPr>
            <w:t>/COVID</w:t>
          </w:r>
        </w:p>
        <w:p w14:paraId="32609A36" w14:textId="104AE9A2" w:rsidR="00177208" w:rsidRPr="00864CD0" w:rsidRDefault="00177208" w:rsidP="004E7683">
          <w:pPr>
            <w:jc w:val="center"/>
            <w:rPr>
              <w:rFonts w:ascii="Arial" w:hAnsi="Arial" w:cs="Arial"/>
              <w:sz w:val="16"/>
              <w:szCs w:val="16"/>
            </w:rPr>
          </w:pPr>
          <w:r w:rsidRPr="00864CD0">
            <w:rPr>
              <w:rFonts w:ascii="Arial" w:hAnsi="Arial" w:cs="Arial"/>
              <w:b/>
              <w:sz w:val="16"/>
              <w:szCs w:val="16"/>
            </w:rPr>
            <w:t>Procedure</w:t>
          </w:r>
          <w:r w:rsidR="00565E30">
            <w:rPr>
              <w:rFonts w:ascii="Arial" w:hAnsi="Arial" w:cs="Arial"/>
              <w:sz w:val="16"/>
              <w:szCs w:val="16"/>
            </w:rPr>
            <w:t xml:space="preserve"> Initiated: </w:t>
          </w:r>
          <w:r w:rsidR="004E7683">
            <w:rPr>
              <w:rFonts w:ascii="Arial" w:hAnsi="Arial" w:cs="Arial"/>
              <w:sz w:val="16"/>
              <w:szCs w:val="16"/>
            </w:rPr>
            <w:t>11-</w:t>
          </w:r>
          <w:r w:rsidR="008966D3">
            <w:rPr>
              <w:rFonts w:ascii="Arial" w:hAnsi="Arial" w:cs="Arial"/>
              <w:sz w:val="16"/>
              <w:szCs w:val="16"/>
            </w:rPr>
            <w:t>18-20</w:t>
          </w:r>
        </w:p>
      </w:tc>
    </w:tr>
  </w:tbl>
  <w:p w14:paraId="562C75D1" w14:textId="77777777" w:rsidR="00177208" w:rsidRPr="004A733D" w:rsidRDefault="00177208" w:rsidP="005C1565">
    <w:pPr>
      <w:pStyle w:val="Header"/>
      <w:rPr>
        <w:sz w:val="12"/>
        <w:szCs w:val="12"/>
      </w:rPr>
    </w:pPr>
  </w:p>
  <w:p w14:paraId="664355AD" w14:textId="77777777" w:rsidR="00177208" w:rsidRDefault="00177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61A9"/>
    <w:multiLevelType w:val="hybridMultilevel"/>
    <w:tmpl w:val="A4F6FFF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23EEA"/>
    <w:multiLevelType w:val="hybridMultilevel"/>
    <w:tmpl w:val="F16EC01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8338F"/>
    <w:multiLevelType w:val="hybridMultilevel"/>
    <w:tmpl w:val="0ABC2778"/>
    <w:lvl w:ilvl="0" w:tplc="ABCEA0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50D29"/>
    <w:multiLevelType w:val="hybridMultilevel"/>
    <w:tmpl w:val="BD18C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520CF"/>
    <w:multiLevelType w:val="hybridMultilevel"/>
    <w:tmpl w:val="4D4E0BC4"/>
    <w:lvl w:ilvl="0" w:tplc="EB6E8B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A0D37"/>
    <w:multiLevelType w:val="hybridMultilevel"/>
    <w:tmpl w:val="42AA053E"/>
    <w:lvl w:ilvl="0" w:tplc="DA06C1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B76DE5"/>
    <w:multiLevelType w:val="hybridMultilevel"/>
    <w:tmpl w:val="D9029EA0"/>
    <w:lvl w:ilvl="0" w:tplc="A600C122">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A7BA9"/>
    <w:multiLevelType w:val="hybridMultilevel"/>
    <w:tmpl w:val="B3C4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96922"/>
    <w:multiLevelType w:val="hybridMultilevel"/>
    <w:tmpl w:val="ADD8C46C"/>
    <w:lvl w:ilvl="0" w:tplc="F41C79B6">
      <w:start w:val="1"/>
      <w:numFmt w:val="lowerRoman"/>
      <w:lvlText w:val="%1."/>
      <w:lvlJc w:val="left"/>
      <w:pPr>
        <w:ind w:left="1368" w:hanging="72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15:restartNumberingAfterBreak="0">
    <w:nsid w:val="357E509C"/>
    <w:multiLevelType w:val="hybridMultilevel"/>
    <w:tmpl w:val="492A2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B1839"/>
    <w:multiLevelType w:val="hybridMultilevel"/>
    <w:tmpl w:val="3C1EC05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7D4C65"/>
    <w:multiLevelType w:val="hybridMultilevel"/>
    <w:tmpl w:val="3C18D9FA"/>
    <w:lvl w:ilvl="0" w:tplc="6EC600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1F0BCC"/>
    <w:multiLevelType w:val="hybridMultilevel"/>
    <w:tmpl w:val="4ECEBBFA"/>
    <w:lvl w:ilvl="0" w:tplc="827AF874">
      <w:start w:val="2"/>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3" w15:restartNumberingAfterBreak="0">
    <w:nsid w:val="56280FCA"/>
    <w:multiLevelType w:val="hybridMultilevel"/>
    <w:tmpl w:val="E76A64F4"/>
    <w:lvl w:ilvl="0" w:tplc="550C3140">
      <w:start w:val="5"/>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4" w15:restartNumberingAfterBreak="0">
    <w:nsid w:val="570A6343"/>
    <w:multiLevelType w:val="hybridMultilevel"/>
    <w:tmpl w:val="98B0216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113B68"/>
    <w:multiLevelType w:val="hybridMultilevel"/>
    <w:tmpl w:val="6A7A262C"/>
    <w:lvl w:ilvl="0" w:tplc="7CAEA36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5E164878"/>
    <w:multiLevelType w:val="hybridMultilevel"/>
    <w:tmpl w:val="D0AC0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55CED"/>
    <w:multiLevelType w:val="hybridMultilevel"/>
    <w:tmpl w:val="4EFA2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DA50F83"/>
    <w:multiLevelType w:val="hybridMultilevel"/>
    <w:tmpl w:val="BE8C96CA"/>
    <w:lvl w:ilvl="0" w:tplc="AE58D15E">
      <w:start w:val="1"/>
      <w:numFmt w:val="lowerRoman"/>
      <w:lvlText w:val="%1."/>
      <w:lvlJc w:val="left"/>
      <w:pPr>
        <w:ind w:left="3528" w:hanging="720"/>
      </w:pPr>
      <w:rPr>
        <w:rFonts w:hint="default"/>
      </w:rPr>
    </w:lvl>
    <w:lvl w:ilvl="1" w:tplc="04090019" w:tentative="1">
      <w:start w:val="1"/>
      <w:numFmt w:val="lowerLetter"/>
      <w:lvlText w:val="%2."/>
      <w:lvlJc w:val="left"/>
      <w:pPr>
        <w:ind w:left="3888" w:hanging="360"/>
      </w:pPr>
    </w:lvl>
    <w:lvl w:ilvl="2" w:tplc="0409001B" w:tentative="1">
      <w:start w:val="1"/>
      <w:numFmt w:val="lowerRoman"/>
      <w:lvlText w:val="%3."/>
      <w:lvlJc w:val="right"/>
      <w:pPr>
        <w:ind w:left="4608" w:hanging="180"/>
      </w:pPr>
    </w:lvl>
    <w:lvl w:ilvl="3" w:tplc="0409000F" w:tentative="1">
      <w:start w:val="1"/>
      <w:numFmt w:val="decimal"/>
      <w:lvlText w:val="%4."/>
      <w:lvlJc w:val="left"/>
      <w:pPr>
        <w:ind w:left="5328" w:hanging="360"/>
      </w:pPr>
    </w:lvl>
    <w:lvl w:ilvl="4" w:tplc="04090019" w:tentative="1">
      <w:start w:val="1"/>
      <w:numFmt w:val="lowerLetter"/>
      <w:lvlText w:val="%5."/>
      <w:lvlJc w:val="left"/>
      <w:pPr>
        <w:ind w:left="6048" w:hanging="360"/>
      </w:pPr>
    </w:lvl>
    <w:lvl w:ilvl="5" w:tplc="0409001B" w:tentative="1">
      <w:start w:val="1"/>
      <w:numFmt w:val="lowerRoman"/>
      <w:lvlText w:val="%6."/>
      <w:lvlJc w:val="right"/>
      <w:pPr>
        <w:ind w:left="6768" w:hanging="180"/>
      </w:pPr>
    </w:lvl>
    <w:lvl w:ilvl="6" w:tplc="0409000F" w:tentative="1">
      <w:start w:val="1"/>
      <w:numFmt w:val="decimal"/>
      <w:lvlText w:val="%7."/>
      <w:lvlJc w:val="left"/>
      <w:pPr>
        <w:ind w:left="7488" w:hanging="360"/>
      </w:pPr>
    </w:lvl>
    <w:lvl w:ilvl="7" w:tplc="04090019" w:tentative="1">
      <w:start w:val="1"/>
      <w:numFmt w:val="lowerLetter"/>
      <w:lvlText w:val="%8."/>
      <w:lvlJc w:val="left"/>
      <w:pPr>
        <w:ind w:left="8208" w:hanging="360"/>
      </w:pPr>
    </w:lvl>
    <w:lvl w:ilvl="8" w:tplc="0409001B" w:tentative="1">
      <w:start w:val="1"/>
      <w:numFmt w:val="lowerRoman"/>
      <w:lvlText w:val="%9."/>
      <w:lvlJc w:val="right"/>
      <w:pPr>
        <w:ind w:left="8928" w:hanging="180"/>
      </w:pPr>
    </w:lvl>
  </w:abstractNum>
  <w:abstractNum w:abstractNumId="19" w15:restartNumberingAfterBreak="0">
    <w:nsid w:val="6F252492"/>
    <w:multiLevelType w:val="hybridMultilevel"/>
    <w:tmpl w:val="2AF4370E"/>
    <w:lvl w:ilvl="0" w:tplc="F7C4A16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0" w15:restartNumberingAfterBreak="0">
    <w:nsid w:val="6FFB3D50"/>
    <w:multiLevelType w:val="hybridMultilevel"/>
    <w:tmpl w:val="B0B23444"/>
    <w:lvl w:ilvl="0" w:tplc="4E301294">
      <w:start w:val="1"/>
      <w:numFmt w:val="upperLetter"/>
      <w:lvlText w:val="%1."/>
      <w:lvlJc w:val="left"/>
      <w:pPr>
        <w:ind w:left="648" w:hanging="360"/>
      </w:pPr>
      <w:rPr>
        <w:rFonts w:hint="default"/>
      </w:rPr>
    </w:lvl>
    <w:lvl w:ilvl="1" w:tplc="04090019">
      <w:start w:val="1"/>
      <w:numFmt w:val="lowerLetter"/>
      <w:lvlText w:val="%2."/>
      <w:lvlJc w:val="left"/>
      <w:pPr>
        <w:ind w:left="1368" w:hanging="360"/>
      </w:pPr>
    </w:lvl>
    <w:lvl w:ilvl="2" w:tplc="872C05D6">
      <w:start w:val="1"/>
      <w:numFmt w:val="upperLetter"/>
      <w:lvlText w:val="%3."/>
      <w:lvlJc w:val="right"/>
      <w:pPr>
        <w:ind w:left="2088" w:hanging="180"/>
      </w:pPr>
      <w:rPr>
        <w:rFonts w:ascii="Times New Roman" w:eastAsia="Times New Roman" w:hAnsi="Times New Roman" w:cs="Times New Roman"/>
      </w:r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70831CD2"/>
    <w:multiLevelType w:val="hybridMultilevel"/>
    <w:tmpl w:val="F510F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B3E72"/>
    <w:multiLevelType w:val="hybridMultilevel"/>
    <w:tmpl w:val="A44EE812"/>
    <w:lvl w:ilvl="0" w:tplc="A4387742">
      <w:start w:val="6"/>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750228DA"/>
    <w:multiLevelType w:val="hybridMultilevel"/>
    <w:tmpl w:val="EC32D98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DC0C84"/>
    <w:multiLevelType w:val="hybridMultilevel"/>
    <w:tmpl w:val="A1E4108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527608"/>
    <w:multiLevelType w:val="hybridMultilevel"/>
    <w:tmpl w:val="6400BE56"/>
    <w:lvl w:ilvl="0" w:tplc="827AF874">
      <w:start w:val="2"/>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21"/>
  </w:num>
  <w:num w:numId="2">
    <w:abstractNumId w:val="16"/>
  </w:num>
  <w:num w:numId="3">
    <w:abstractNumId w:val="20"/>
  </w:num>
  <w:num w:numId="4">
    <w:abstractNumId w:val="5"/>
  </w:num>
  <w:num w:numId="5">
    <w:abstractNumId w:val="10"/>
  </w:num>
  <w:num w:numId="6">
    <w:abstractNumId w:val="11"/>
  </w:num>
  <w:num w:numId="7">
    <w:abstractNumId w:val="9"/>
  </w:num>
  <w:num w:numId="8">
    <w:abstractNumId w:val="3"/>
  </w:num>
  <w:num w:numId="9">
    <w:abstractNumId w:val="6"/>
  </w:num>
  <w:num w:numId="10">
    <w:abstractNumId w:val="15"/>
  </w:num>
  <w:num w:numId="11">
    <w:abstractNumId w:val="8"/>
  </w:num>
  <w:num w:numId="12">
    <w:abstractNumId w:val="4"/>
  </w:num>
  <w:num w:numId="13">
    <w:abstractNumId w:val="7"/>
  </w:num>
  <w:num w:numId="14">
    <w:abstractNumId w:val="2"/>
  </w:num>
  <w:num w:numId="15">
    <w:abstractNumId w:val="17"/>
  </w:num>
  <w:num w:numId="16">
    <w:abstractNumId w:val="1"/>
  </w:num>
  <w:num w:numId="17">
    <w:abstractNumId w:val="13"/>
  </w:num>
  <w:num w:numId="18">
    <w:abstractNumId w:val="19"/>
  </w:num>
  <w:num w:numId="19">
    <w:abstractNumId w:val="18"/>
  </w:num>
  <w:num w:numId="20">
    <w:abstractNumId w:val="23"/>
  </w:num>
  <w:num w:numId="21">
    <w:abstractNumId w:val="25"/>
  </w:num>
  <w:num w:numId="22">
    <w:abstractNumId w:val="0"/>
  </w:num>
  <w:num w:numId="23">
    <w:abstractNumId w:val="12"/>
  </w:num>
  <w:num w:numId="24">
    <w:abstractNumId w:val="22"/>
  </w:num>
  <w:num w:numId="25">
    <w:abstractNumId w:val="24"/>
  </w:num>
  <w:num w:numId="2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951"/>
    <w:rsid w:val="00000D91"/>
    <w:rsid w:val="00027697"/>
    <w:rsid w:val="000374C6"/>
    <w:rsid w:val="00045DA6"/>
    <w:rsid w:val="0008521D"/>
    <w:rsid w:val="000A476D"/>
    <w:rsid w:val="000B425C"/>
    <w:rsid w:val="000B6A90"/>
    <w:rsid w:val="000E219D"/>
    <w:rsid w:val="00105C25"/>
    <w:rsid w:val="001130E9"/>
    <w:rsid w:val="00136302"/>
    <w:rsid w:val="00151BD0"/>
    <w:rsid w:val="00176CF6"/>
    <w:rsid w:val="00177208"/>
    <w:rsid w:val="00182A28"/>
    <w:rsid w:val="001973E4"/>
    <w:rsid w:val="001B4606"/>
    <w:rsid w:val="001C659B"/>
    <w:rsid w:val="00204015"/>
    <w:rsid w:val="002141B9"/>
    <w:rsid w:val="00217056"/>
    <w:rsid w:val="0024549C"/>
    <w:rsid w:val="0026221F"/>
    <w:rsid w:val="002647E1"/>
    <w:rsid w:val="00270399"/>
    <w:rsid w:val="00272D67"/>
    <w:rsid w:val="00281397"/>
    <w:rsid w:val="0028265D"/>
    <w:rsid w:val="002922A4"/>
    <w:rsid w:val="002978A5"/>
    <w:rsid w:val="002A149C"/>
    <w:rsid w:val="002B2A9E"/>
    <w:rsid w:val="002B64B7"/>
    <w:rsid w:val="002C1DDA"/>
    <w:rsid w:val="002D665E"/>
    <w:rsid w:val="002E69FD"/>
    <w:rsid w:val="0030076D"/>
    <w:rsid w:val="00303CA0"/>
    <w:rsid w:val="00307865"/>
    <w:rsid w:val="00307FAF"/>
    <w:rsid w:val="00315EB7"/>
    <w:rsid w:val="00332951"/>
    <w:rsid w:val="00335CDE"/>
    <w:rsid w:val="00363771"/>
    <w:rsid w:val="00363FAA"/>
    <w:rsid w:val="00367484"/>
    <w:rsid w:val="00390E9F"/>
    <w:rsid w:val="0039152D"/>
    <w:rsid w:val="0039413F"/>
    <w:rsid w:val="003B39EF"/>
    <w:rsid w:val="003E7509"/>
    <w:rsid w:val="003F00F6"/>
    <w:rsid w:val="003F1C7C"/>
    <w:rsid w:val="00403789"/>
    <w:rsid w:val="00416C90"/>
    <w:rsid w:val="0045098D"/>
    <w:rsid w:val="00452E37"/>
    <w:rsid w:val="00455E44"/>
    <w:rsid w:val="00464F9A"/>
    <w:rsid w:val="00474C8D"/>
    <w:rsid w:val="0047589C"/>
    <w:rsid w:val="00492CBE"/>
    <w:rsid w:val="004A10B5"/>
    <w:rsid w:val="004A2ECC"/>
    <w:rsid w:val="004A733D"/>
    <w:rsid w:val="004E7683"/>
    <w:rsid w:val="005108FB"/>
    <w:rsid w:val="005316ED"/>
    <w:rsid w:val="005431C6"/>
    <w:rsid w:val="00565E30"/>
    <w:rsid w:val="00577DFA"/>
    <w:rsid w:val="00584146"/>
    <w:rsid w:val="00592B10"/>
    <w:rsid w:val="00596B9E"/>
    <w:rsid w:val="005A23EA"/>
    <w:rsid w:val="005C04BB"/>
    <w:rsid w:val="005C1565"/>
    <w:rsid w:val="005C55E2"/>
    <w:rsid w:val="005F6028"/>
    <w:rsid w:val="00617B6D"/>
    <w:rsid w:val="00620FED"/>
    <w:rsid w:val="00626DAC"/>
    <w:rsid w:val="00633EC5"/>
    <w:rsid w:val="00650921"/>
    <w:rsid w:val="00681BAC"/>
    <w:rsid w:val="00682101"/>
    <w:rsid w:val="006A7D53"/>
    <w:rsid w:val="006C6F94"/>
    <w:rsid w:val="006C71EB"/>
    <w:rsid w:val="006D31ED"/>
    <w:rsid w:val="006E7821"/>
    <w:rsid w:val="00701B04"/>
    <w:rsid w:val="00702C53"/>
    <w:rsid w:val="00711CC1"/>
    <w:rsid w:val="007147DF"/>
    <w:rsid w:val="00717A7D"/>
    <w:rsid w:val="00725EEC"/>
    <w:rsid w:val="00753CD0"/>
    <w:rsid w:val="00760384"/>
    <w:rsid w:val="007615A9"/>
    <w:rsid w:val="00766A88"/>
    <w:rsid w:val="00783C7D"/>
    <w:rsid w:val="00790AE6"/>
    <w:rsid w:val="00793757"/>
    <w:rsid w:val="00795D7B"/>
    <w:rsid w:val="007A7AE3"/>
    <w:rsid w:val="007C1497"/>
    <w:rsid w:val="007C7BBC"/>
    <w:rsid w:val="007D1298"/>
    <w:rsid w:val="007D5119"/>
    <w:rsid w:val="00800706"/>
    <w:rsid w:val="00805D6C"/>
    <w:rsid w:val="00816600"/>
    <w:rsid w:val="00861C56"/>
    <w:rsid w:val="008633C5"/>
    <w:rsid w:val="00864CD0"/>
    <w:rsid w:val="00870457"/>
    <w:rsid w:val="00876488"/>
    <w:rsid w:val="00885217"/>
    <w:rsid w:val="008966D3"/>
    <w:rsid w:val="008A157B"/>
    <w:rsid w:val="008B305F"/>
    <w:rsid w:val="008C1ECC"/>
    <w:rsid w:val="008C5B80"/>
    <w:rsid w:val="008E1F42"/>
    <w:rsid w:val="008E6779"/>
    <w:rsid w:val="00950FC9"/>
    <w:rsid w:val="009624C3"/>
    <w:rsid w:val="00970720"/>
    <w:rsid w:val="00980687"/>
    <w:rsid w:val="0099484E"/>
    <w:rsid w:val="0099723F"/>
    <w:rsid w:val="009A6837"/>
    <w:rsid w:val="009D22AB"/>
    <w:rsid w:val="009D7456"/>
    <w:rsid w:val="00A03851"/>
    <w:rsid w:val="00A07018"/>
    <w:rsid w:val="00A51F89"/>
    <w:rsid w:val="00A62C4B"/>
    <w:rsid w:val="00A64FBF"/>
    <w:rsid w:val="00A65941"/>
    <w:rsid w:val="00A84E12"/>
    <w:rsid w:val="00A87551"/>
    <w:rsid w:val="00A95713"/>
    <w:rsid w:val="00AA0070"/>
    <w:rsid w:val="00AA260E"/>
    <w:rsid w:val="00AB0693"/>
    <w:rsid w:val="00AB55DD"/>
    <w:rsid w:val="00AC7691"/>
    <w:rsid w:val="00AD0A10"/>
    <w:rsid w:val="00AD5D0D"/>
    <w:rsid w:val="00AE1FD7"/>
    <w:rsid w:val="00B037B3"/>
    <w:rsid w:val="00B04A9C"/>
    <w:rsid w:val="00B10737"/>
    <w:rsid w:val="00B174D9"/>
    <w:rsid w:val="00B40928"/>
    <w:rsid w:val="00B44884"/>
    <w:rsid w:val="00B51170"/>
    <w:rsid w:val="00B76C46"/>
    <w:rsid w:val="00B82C21"/>
    <w:rsid w:val="00B82F2B"/>
    <w:rsid w:val="00C26A4D"/>
    <w:rsid w:val="00C34475"/>
    <w:rsid w:val="00C40BF8"/>
    <w:rsid w:val="00C45277"/>
    <w:rsid w:val="00C51FC5"/>
    <w:rsid w:val="00C67A28"/>
    <w:rsid w:val="00C820EA"/>
    <w:rsid w:val="00C83301"/>
    <w:rsid w:val="00C8598A"/>
    <w:rsid w:val="00C85EBD"/>
    <w:rsid w:val="00CB7245"/>
    <w:rsid w:val="00CC4B43"/>
    <w:rsid w:val="00CC6375"/>
    <w:rsid w:val="00CD31AF"/>
    <w:rsid w:val="00CE25F9"/>
    <w:rsid w:val="00CE3EE1"/>
    <w:rsid w:val="00CE4E39"/>
    <w:rsid w:val="00CF67CD"/>
    <w:rsid w:val="00D04555"/>
    <w:rsid w:val="00D14C48"/>
    <w:rsid w:val="00D229FC"/>
    <w:rsid w:val="00D34907"/>
    <w:rsid w:val="00D50408"/>
    <w:rsid w:val="00D50F54"/>
    <w:rsid w:val="00D51C81"/>
    <w:rsid w:val="00D953F7"/>
    <w:rsid w:val="00DC6F33"/>
    <w:rsid w:val="00E26DA0"/>
    <w:rsid w:val="00E33B8F"/>
    <w:rsid w:val="00E46F6D"/>
    <w:rsid w:val="00E53BAC"/>
    <w:rsid w:val="00E87BE0"/>
    <w:rsid w:val="00EB6922"/>
    <w:rsid w:val="00EB7375"/>
    <w:rsid w:val="00EE12E8"/>
    <w:rsid w:val="00F5524C"/>
    <w:rsid w:val="00F644C7"/>
    <w:rsid w:val="00F67884"/>
    <w:rsid w:val="00F841B9"/>
    <w:rsid w:val="00F92BCA"/>
    <w:rsid w:val="00FB2B94"/>
    <w:rsid w:val="00FB2F4D"/>
    <w:rsid w:val="00FB4572"/>
    <w:rsid w:val="00FE56FE"/>
    <w:rsid w:val="00FE7EDB"/>
    <w:rsid w:val="06CD56B4"/>
    <w:rsid w:val="6ACD92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F77A2"/>
  <w15:chartTrackingRefBased/>
  <w15:docId w15:val="{197A50DE-F316-4329-B846-C0C45699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C85EBD"/>
    <w:pPr>
      <w:keepNext/>
      <w:widowControl w:val="0"/>
      <w:ind w:left="720"/>
      <w:outlineLvl w:val="0"/>
    </w:pPr>
    <w:rPr>
      <w:b/>
      <w:snapToGrid w:val="0"/>
      <w:sz w:val="26"/>
      <w:szCs w:val="20"/>
    </w:rPr>
  </w:style>
  <w:style w:type="paragraph" w:styleId="Heading2">
    <w:name w:val="heading 2"/>
    <w:basedOn w:val="Normal"/>
    <w:next w:val="Normal"/>
    <w:link w:val="Heading2Char"/>
    <w:semiHidden/>
    <w:unhideWhenUsed/>
    <w:qFormat/>
    <w:rsid w:val="0087045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73E4"/>
    <w:pPr>
      <w:tabs>
        <w:tab w:val="center" w:pos="4320"/>
        <w:tab w:val="right" w:pos="8640"/>
      </w:tabs>
    </w:pPr>
  </w:style>
  <w:style w:type="paragraph" w:styleId="Footer">
    <w:name w:val="footer"/>
    <w:basedOn w:val="Normal"/>
    <w:rsid w:val="001973E4"/>
    <w:pPr>
      <w:tabs>
        <w:tab w:val="center" w:pos="4320"/>
        <w:tab w:val="right" w:pos="8640"/>
      </w:tabs>
    </w:pPr>
  </w:style>
  <w:style w:type="table" w:styleId="TableGrid">
    <w:name w:val="Table Grid"/>
    <w:basedOn w:val="TableNormal"/>
    <w:rsid w:val="00197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1565"/>
  </w:style>
  <w:style w:type="character" w:customStyle="1" w:styleId="Heading2Char">
    <w:name w:val="Heading 2 Char"/>
    <w:link w:val="Heading2"/>
    <w:semiHidden/>
    <w:rsid w:val="00870457"/>
    <w:rPr>
      <w:rFonts w:ascii="Cambria" w:eastAsia="Times New Roman" w:hAnsi="Cambria" w:cs="Times New Roman"/>
      <w:b/>
      <w:bCs/>
      <w:i/>
      <w:iCs/>
      <w:sz w:val="28"/>
      <w:szCs w:val="28"/>
    </w:rPr>
  </w:style>
  <w:style w:type="paragraph" w:styleId="NormalWeb">
    <w:name w:val="Normal (Web)"/>
    <w:basedOn w:val="Normal"/>
    <w:uiPriority w:val="99"/>
    <w:unhideWhenUsed/>
    <w:rsid w:val="00565E30"/>
    <w:pPr>
      <w:spacing w:before="100" w:beforeAutospacing="1" w:after="100" w:afterAutospacing="1"/>
    </w:pPr>
  </w:style>
  <w:style w:type="paragraph" w:styleId="ListParagraph">
    <w:name w:val="List Paragraph"/>
    <w:basedOn w:val="Normal"/>
    <w:uiPriority w:val="34"/>
    <w:qFormat/>
    <w:rsid w:val="00AB0693"/>
    <w:pPr>
      <w:ind w:left="720"/>
      <w:contextualSpacing/>
    </w:pPr>
  </w:style>
  <w:style w:type="character" w:styleId="Hyperlink">
    <w:name w:val="Hyperlink"/>
    <w:basedOn w:val="DefaultParagraphFont"/>
    <w:rsid w:val="008966D3"/>
    <w:rPr>
      <w:color w:val="0563C1" w:themeColor="hyperlink"/>
      <w:u w:val="single"/>
    </w:rPr>
  </w:style>
  <w:style w:type="paragraph" w:styleId="BalloonText">
    <w:name w:val="Balloon Text"/>
    <w:basedOn w:val="Normal"/>
    <w:link w:val="BalloonTextChar"/>
    <w:rsid w:val="008966D3"/>
    <w:rPr>
      <w:rFonts w:ascii="Segoe UI" w:hAnsi="Segoe UI" w:cs="Segoe UI"/>
      <w:sz w:val="18"/>
      <w:szCs w:val="18"/>
    </w:rPr>
  </w:style>
  <w:style w:type="character" w:customStyle="1" w:styleId="BalloonTextChar">
    <w:name w:val="Balloon Text Char"/>
    <w:basedOn w:val="DefaultParagraphFont"/>
    <w:link w:val="BalloonText"/>
    <w:rsid w:val="008966D3"/>
    <w:rPr>
      <w:rFonts w:ascii="Segoe UI" w:hAnsi="Segoe UI" w:cs="Segoe UI"/>
      <w:sz w:val="18"/>
      <w:szCs w:val="18"/>
      <w:lang w:eastAsia="en-US"/>
    </w:rPr>
  </w:style>
  <w:style w:type="paragraph" w:customStyle="1" w:styleId="Default">
    <w:name w:val="Default"/>
    <w:rsid w:val="00B82F2B"/>
    <w:pPr>
      <w:autoSpaceDE w:val="0"/>
      <w:autoSpaceDN w:val="0"/>
      <w:adjustRightInd w:val="0"/>
    </w:pPr>
    <w:rPr>
      <w:rFonts w:ascii="Imago" w:hAnsi="Imago" w:cs="Imag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1014">
      <w:bodyDiv w:val="1"/>
      <w:marLeft w:val="0"/>
      <w:marRight w:val="0"/>
      <w:marTop w:val="0"/>
      <w:marBottom w:val="0"/>
      <w:divBdr>
        <w:top w:val="none" w:sz="0" w:space="0" w:color="auto"/>
        <w:left w:val="none" w:sz="0" w:space="0" w:color="auto"/>
        <w:bottom w:val="none" w:sz="0" w:space="0" w:color="auto"/>
        <w:right w:val="none" w:sz="0" w:space="0" w:color="auto"/>
      </w:divBdr>
    </w:div>
    <w:div w:id="26755597">
      <w:bodyDiv w:val="1"/>
      <w:marLeft w:val="0"/>
      <w:marRight w:val="0"/>
      <w:marTop w:val="0"/>
      <w:marBottom w:val="0"/>
      <w:divBdr>
        <w:top w:val="none" w:sz="0" w:space="0" w:color="auto"/>
        <w:left w:val="none" w:sz="0" w:space="0" w:color="auto"/>
        <w:bottom w:val="none" w:sz="0" w:space="0" w:color="auto"/>
        <w:right w:val="none" w:sz="0" w:space="0" w:color="auto"/>
      </w:divBdr>
    </w:div>
    <w:div w:id="28652934">
      <w:bodyDiv w:val="1"/>
      <w:marLeft w:val="0"/>
      <w:marRight w:val="0"/>
      <w:marTop w:val="0"/>
      <w:marBottom w:val="0"/>
      <w:divBdr>
        <w:top w:val="none" w:sz="0" w:space="0" w:color="auto"/>
        <w:left w:val="none" w:sz="0" w:space="0" w:color="auto"/>
        <w:bottom w:val="none" w:sz="0" w:space="0" w:color="auto"/>
        <w:right w:val="none" w:sz="0" w:space="0" w:color="auto"/>
      </w:divBdr>
    </w:div>
    <w:div w:id="29234902">
      <w:bodyDiv w:val="1"/>
      <w:marLeft w:val="0"/>
      <w:marRight w:val="0"/>
      <w:marTop w:val="0"/>
      <w:marBottom w:val="0"/>
      <w:divBdr>
        <w:top w:val="none" w:sz="0" w:space="0" w:color="auto"/>
        <w:left w:val="none" w:sz="0" w:space="0" w:color="auto"/>
        <w:bottom w:val="none" w:sz="0" w:space="0" w:color="auto"/>
        <w:right w:val="none" w:sz="0" w:space="0" w:color="auto"/>
      </w:divBdr>
    </w:div>
    <w:div w:id="150366219">
      <w:bodyDiv w:val="1"/>
      <w:marLeft w:val="0"/>
      <w:marRight w:val="0"/>
      <w:marTop w:val="0"/>
      <w:marBottom w:val="0"/>
      <w:divBdr>
        <w:top w:val="none" w:sz="0" w:space="0" w:color="auto"/>
        <w:left w:val="none" w:sz="0" w:space="0" w:color="auto"/>
        <w:bottom w:val="none" w:sz="0" w:space="0" w:color="auto"/>
        <w:right w:val="none" w:sz="0" w:space="0" w:color="auto"/>
      </w:divBdr>
    </w:div>
    <w:div w:id="225264958">
      <w:bodyDiv w:val="1"/>
      <w:marLeft w:val="0"/>
      <w:marRight w:val="0"/>
      <w:marTop w:val="0"/>
      <w:marBottom w:val="0"/>
      <w:divBdr>
        <w:top w:val="none" w:sz="0" w:space="0" w:color="auto"/>
        <w:left w:val="none" w:sz="0" w:space="0" w:color="auto"/>
        <w:bottom w:val="none" w:sz="0" w:space="0" w:color="auto"/>
        <w:right w:val="none" w:sz="0" w:space="0" w:color="auto"/>
      </w:divBdr>
    </w:div>
    <w:div w:id="229313877">
      <w:bodyDiv w:val="1"/>
      <w:marLeft w:val="0"/>
      <w:marRight w:val="0"/>
      <w:marTop w:val="0"/>
      <w:marBottom w:val="0"/>
      <w:divBdr>
        <w:top w:val="none" w:sz="0" w:space="0" w:color="auto"/>
        <w:left w:val="none" w:sz="0" w:space="0" w:color="auto"/>
        <w:bottom w:val="none" w:sz="0" w:space="0" w:color="auto"/>
        <w:right w:val="none" w:sz="0" w:space="0" w:color="auto"/>
      </w:divBdr>
    </w:div>
    <w:div w:id="253250700">
      <w:bodyDiv w:val="1"/>
      <w:marLeft w:val="0"/>
      <w:marRight w:val="0"/>
      <w:marTop w:val="0"/>
      <w:marBottom w:val="0"/>
      <w:divBdr>
        <w:top w:val="none" w:sz="0" w:space="0" w:color="auto"/>
        <w:left w:val="none" w:sz="0" w:space="0" w:color="auto"/>
        <w:bottom w:val="none" w:sz="0" w:space="0" w:color="auto"/>
        <w:right w:val="none" w:sz="0" w:space="0" w:color="auto"/>
      </w:divBdr>
    </w:div>
    <w:div w:id="271132402">
      <w:bodyDiv w:val="1"/>
      <w:marLeft w:val="0"/>
      <w:marRight w:val="0"/>
      <w:marTop w:val="0"/>
      <w:marBottom w:val="0"/>
      <w:divBdr>
        <w:top w:val="none" w:sz="0" w:space="0" w:color="auto"/>
        <w:left w:val="none" w:sz="0" w:space="0" w:color="auto"/>
        <w:bottom w:val="none" w:sz="0" w:space="0" w:color="auto"/>
        <w:right w:val="none" w:sz="0" w:space="0" w:color="auto"/>
      </w:divBdr>
    </w:div>
    <w:div w:id="360908698">
      <w:bodyDiv w:val="1"/>
      <w:marLeft w:val="0"/>
      <w:marRight w:val="0"/>
      <w:marTop w:val="0"/>
      <w:marBottom w:val="0"/>
      <w:divBdr>
        <w:top w:val="none" w:sz="0" w:space="0" w:color="auto"/>
        <w:left w:val="none" w:sz="0" w:space="0" w:color="auto"/>
        <w:bottom w:val="none" w:sz="0" w:space="0" w:color="auto"/>
        <w:right w:val="none" w:sz="0" w:space="0" w:color="auto"/>
      </w:divBdr>
    </w:div>
    <w:div w:id="514854731">
      <w:bodyDiv w:val="1"/>
      <w:marLeft w:val="0"/>
      <w:marRight w:val="0"/>
      <w:marTop w:val="0"/>
      <w:marBottom w:val="0"/>
      <w:divBdr>
        <w:top w:val="none" w:sz="0" w:space="0" w:color="auto"/>
        <w:left w:val="none" w:sz="0" w:space="0" w:color="auto"/>
        <w:bottom w:val="none" w:sz="0" w:space="0" w:color="auto"/>
        <w:right w:val="none" w:sz="0" w:space="0" w:color="auto"/>
      </w:divBdr>
    </w:div>
    <w:div w:id="558440121">
      <w:bodyDiv w:val="1"/>
      <w:marLeft w:val="0"/>
      <w:marRight w:val="0"/>
      <w:marTop w:val="0"/>
      <w:marBottom w:val="0"/>
      <w:divBdr>
        <w:top w:val="none" w:sz="0" w:space="0" w:color="auto"/>
        <w:left w:val="none" w:sz="0" w:space="0" w:color="auto"/>
        <w:bottom w:val="none" w:sz="0" w:space="0" w:color="auto"/>
        <w:right w:val="none" w:sz="0" w:space="0" w:color="auto"/>
      </w:divBdr>
    </w:div>
    <w:div w:id="580873823">
      <w:bodyDiv w:val="1"/>
      <w:marLeft w:val="0"/>
      <w:marRight w:val="0"/>
      <w:marTop w:val="0"/>
      <w:marBottom w:val="0"/>
      <w:divBdr>
        <w:top w:val="none" w:sz="0" w:space="0" w:color="auto"/>
        <w:left w:val="none" w:sz="0" w:space="0" w:color="auto"/>
        <w:bottom w:val="none" w:sz="0" w:space="0" w:color="auto"/>
        <w:right w:val="none" w:sz="0" w:space="0" w:color="auto"/>
      </w:divBdr>
    </w:div>
    <w:div w:id="583029721">
      <w:bodyDiv w:val="1"/>
      <w:marLeft w:val="0"/>
      <w:marRight w:val="0"/>
      <w:marTop w:val="0"/>
      <w:marBottom w:val="0"/>
      <w:divBdr>
        <w:top w:val="none" w:sz="0" w:space="0" w:color="auto"/>
        <w:left w:val="none" w:sz="0" w:space="0" w:color="auto"/>
        <w:bottom w:val="none" w:sz="0" w:space="0" w:color="auto"/>
        <w:right w:val="none" w:sz="0" w:space="0" w:color="auto"/>
      </w:divBdr>
    </w:div>
    <w:div w:id="604075082">
      <w:bodyDiv w:val="1"/>
      <w:marLeft w:val="0"/>
      <w:marRight w:val="0"/>
      <w:marTop w:val="0"/>
      <w:marBottom w:val="0"/>
      <w:divBdr>
        <w:top w:val="none" w:sz="0" w:space="0" w:color="auto"/>
        <w:left w:val="none" w:sz="0" w:space="0" w:color="auto"/>
        <w:bottom w:val="none" w:sz="0" w:space="0" w:color="auto"/>
        <w:right w:val="none" w:sz="0" w:space="0" w:color="auto"/>
      </w:divBdr>
    </w:div>
    <w:div w:id="617301547">
      <w:bodyDiv w:val="1"/>
      <w:marLeft w:val="0"/>
      <w:marRight w:val="0"/>
      <w:marTop w:val="0"/>
      <w:marBottom w:val="0"/>
      <w:divBdr>
        <w:top w:val="none" w:sz="0" w:space="0" w:color="auto"/>
        <w:left w:val="none" w:sz="0" w:space="0" w:color="auto"/>
        <w:bottom w:val="none" w:sz="0" w:space="0" w:color="auto"/>
        <w:right w:val="none" w:sz="0" w:space="0" w:color="auto"/>
      </w:divBdr>
    </w:div>
    <w:div w:id="627929151">
      <w:bodyDiv w:val="1"/>
      <w:marLeft w:val="0"/>
      <w:marRight w:val="0"/>
      <w:marTop w:val="0"/>
      <w:marBottom w:val="0"/>
      <w:divBdr>
        <w:top w:val="none" w:sz="0" w:space="0" w:color="auto"/>
        <w:left w:val="none" w:sz="0" w:space="0" w:color="auto"/>
        <w:bottom w:val="none" w:sz="0" w:space="0" w:color="auto"/>
        <w:right w:val="none" w:sz="0" w:space="0" w:color="auto"/>
      </w:divBdr>
    </w:div>
    <w:div w:id="701828697">
      <w:bodyDiv w:val="1"/>
      <w:marLeft w:val="0"/>
      <w:marRight w:val="0"/>
      <w:marTop w:val="0"/>
      <w:marBottom w:val="0"/>
      <w:divBdr>
        <w:top w:val="none" w:sz="0" w:space="0" w:color="auto"/>
        <w:left w:val="none" w:sz="0" w:space="0" w:color="auto"/>
        <w:bottom w:val="none" w:sz="0" w:space="0" w:color="auto"/>
        <w:right w:val="none" w:sz="0" w:space="0" w:color="auto"/>
      </w:divBdr>
    </w:div>
    <w:div w:id="731807151">
      <w:bodyDiv w:val="1"/>
      <w:marLeft w:val="0"/>
      <w:marRight w:val="0"/>
      <w:marTop w:val="0"/>
      <w:marBottom w:val="0"/>
      <w:divBdr>
        <w:top w:val="none" w:sz="0" w:space="0" w:color="auto"/>
        <w:left w:val="none" w:sz="0" w:space="0" w:color="auto"/>
        <w:bottom w:val="none" w:sz="0" w:space="0" w:color="auto"/>
        <w:right w:val="none" w:sz="0" w:space="0" w:color="auto"/>
      </w:divBdr>
    </w:div>
    <w:div w:id="740980979">
      <w:bodyDiv w:val="1"/>
      <w:marLeft w:val="0"/>
      <w:marRight w:val="0"/>
      <w:marTop w:val="0"/>
      <w:marBottom w:val="0"/>
      <w:divBdr>
        <w:top w:val="none" w:sz="0" w:space="0" w:color="auto"/>
        <w:left w:val="none" w:sz="0" w:space="0" w:color="auto"/>
        <w:bottom w:val="none" w:sz="0" w:space="0" w:color="auto"/>
        <w:right w:val="none" w:sz="0" w:space="0" w:color="auto"/>
      </w:divBdr>
    </w:div>
    <w:div w:id="746683715">
      <w:bodyDiv w:val="1"/>
      <w:marLeft w:val="0"/>
      <w:marRight w:val="0"/>
      <w:marTop w:val="0"/>
      <w:marBottom w:val="0"/>
      <w:divBdr>
        <w:top w:val="none" w:sz="0" w:space="0" w:color="auto"/>
        <w:left w:val="none" w:sz="0" w:space="0" w:color="auto"/>
        <w:bottom w:val="none" w:sz="0" w:space="0" w:color="auto"/>
        <w:right w:val="none" w:sz="0" w:space="0" w:color="auto"/>
      </w:divBdr>
    </w:div>
    <w:div w:id="788626802">
      <w:bodyDiv w:val="1"/>
      <w:marLeft w:val="0"/>
      <w:marRight w:val="0"/>
      <w:marTop w:val="0"/>
      <w:marBottom w:val="0"/>
      <w:divBdr>
        <w:top w:val="none" w:sz="0" w:space="0" w:color="auto"/>
        <w:left w:val="none" w:sz="0" w:space="0" w:color="auto"/>
        <w:bottom w:val="none" w:sz="0" w:space="0" w:color="auto"/>
        <w:right w:val="none" w:sz="0" w:space="0" w:color="auto"/>
      </w:divBdr>
    </w:div>
    <w:div w:id="799566763">
      <w:bodyDiv w:val="1"/>
      <w:marLeft w:val="0"/>
      <w:marRight w:val="0"/>
      <w:marTop w:val="0"/>
      <w:marBottom w:val="0"/>
      <w:divBdr>
        <w:top w:val="none" w:sz="0" w:space="0" w:color="auto"/>
        <w:left w:val="none" w:sz="0" w:space="0" w:color="auto"/>
        <w:bottom w:val="none" w:sz="0" w:space="0" w:color="auto"/>
        <w:right w:val="none" w:sz="0" w:space="0" w:color="auto"/>
      </w:divBdr>
    </w:div>
    <w:div w:id="841433020">
      <w:bodyDiv w:val="1"/>
      <w:marLeft w:val="0"/>
      <w:marRight w:val="0"/>
      <w:marTop w:val="0"/>
      <w:marBottom w:val="0"/>
      <w:divBdr>
        <w:top w:val="none" w:sz="0" w:space="0" w:color="auto"/>
        <w:left w:val="none" w:sz="0" w:space="0" w:color="auto"/>
        <w:bottom w:val="none" w:sz="0" w:space="0" w:color="auto"/>
        <w:right w:val="none" w:sz="0" w:space="0" w:color="auto"/>
      </w:divBdr>
    </w:div>
    <w:div w:id="875194739">
      <w:bodyDiv w:val="1"/>
      <w:marLeft w:val="0"/>
      <w:marRight w:val="0"/>
      <w:marTop w:val="0"/>
      <w:marBottom w:val="0"/>
      <w:divBdr>
        <w:top w:val="none" w:sz="0" w:space="0" w:color="auto"/>
        <w:left w:val="none" w:sz="0" w:space="0" w:color="auto"/>
        <w:bottom w:val="none" w:sz="0" w:space="0" w:color="auto"/>
        <w:right w:val="none" w:sz="0" w:space="0" w:color="auto"/>
      </w:divBdr>
    </w:div>
    <w:div w:id="905578788">
      <w:bodyDiv w:val="1"/>
      <w:marLeft w:val="0"/>
      <w:marRight w:val="0"/>
      <w:marTop w:val="0"/>
      <w:marBottom w:val="0"/>
      <w:divBdr>
        <w:top w:val="none" w:sz="0" w:space="0" w:color="auto"/>
        <w:left w:val="none" w:sz="0" w:space="0" w:color="auto"/>
        <w:bottom w:val="none" w:sz="0" w:space="0" w:color="auto"/>
        <w:right w:val="none" w:sz="0" w:space="0" w:color="auto"/>
      </w:divBdr>
    </w:div>
    <w:div w:id="934048715">
      <w:bodyDiv w:val="1"/>
      <w:marLeft w:val="0"/>
      <w:marRight w:val="0"/>
      <w:marTop w:val="0"/>
      <w:marBottom w:val="0"/>
      <w:divBdr>
        <w:top w:val="none" w:sz="0" w:space="0" w:color="auto"/>
        <w:left w:val="none" w:sz="0" w:space="0" w:color="auto"/>
        <w:bottom w:val="none" w:sz="0" w:space="0" w:color="auto"/>
        <w:right w:val="none" w:sz="0" w:space="0" w:color="auto"/>
      </w:divBdr>
    </w:div>
    <w:div w:id="947858015">
      <w:bodyDiv w:val="1"/>
      <w:marLeft w:val="0"/>
      <w:marRight w:val="0"/>
      <w:marTop w:val="0"/>
      <w:marBottom w:val="0"/>
      <w:divBdr>
        <w:top w:val="none" w:sz="0" w:space="0" w:color="auto"/>
        <w:left w:val="none" w:sz="0" w:space="0" w:color="auto"/>
        <w:bottom w:val="none" w:sz="0" w:space="0" w:color="auto"/>
        <w:right w:val="none" w:sz="0" w:space="0" w:color="auto"/>
      </w:divBdr>
    </w:div>
    <w:div w:id="987972400">
      <w:bodyDiv w:val="1"/>
      <w:marLeft w:val="0"/>
      <w:marRight w:val="0"/>
      <w:marTop w:val="0"/>
      <w:marBottom w:val="0"/>
      <w:divBdr>
        <w:top w:val="none" w:sz="0" w:space="0" w:color="auto"/>
        <w:left w:val="none" w:sz="0" w:space="0" w:color="auto"/>
        <w:bottom w:val="none" w:sz="0" w:space="0" w:color="auto"/>
        <w:right w:val="none" w:sz="0" w:space="0" w:color="auto"/>
      </w:divBdr>
    </w:div>
    <w:div w:id="997461945">
      <w:bodyDiv w:val="1"/>
      <w:marLeft w:val="0"/>
      <w:marRight w:val="0"/>
      <w:marTop w:val="0"/>
      <w:marBottom w:val="0"/>
      <w:divBdr>
        <w:top w:val="none" w:sz="0" w:space="0" w:color="auto"/>
        <w:left w:val="none" w:sz="0" w:space="0" w:color="auto"/>
        <w:bottom w:val="none" w:sz="0" w:space="0" w:color="auto"/>
        <w:right w:val="none" w:sz="0" w:space="0" w:color="auto"/>
      </w:divBdr>
    </w:div>
    <w:div w:id="1063332204">
      <w:bodyDiv w:val="1"/>
      <w:marLeft w:val="0"/>
      <w:marRight w:val="0"/>
      <w:marTop w:val="0"/>
      <w:marBottom w:val="0"/>
      <w:divBdr>
        <w:top w:val="none" w:sz="0" w:space="0" w:color="auto"/>
        <w:left w:val="none" w:sz="0" w:space="0" w:color="auto"/>
        <w:bottom w:val="none" w:sz="0" w:space="0" w:color="auto"/>
        <w:right w:val="none" w:sz="0" w:space="0" w:color="auto"/>
      </w:divBdr>
    </w:div>
    <w:div w:id="1078746755">
      <w:bodyDiv w:val="1"/>
      <w:marLeft w:val="0"/>
      <w:marRight w:val="0"/>
      <w:marTop w:val="0"/>
      <w:marBottom w:val="0"/>
      <w:divBdr>
        <w:top w:val="none" w:sz="0" w:space="0" w:color="auto"/>
        <w:left w:val="none" w:sz="0" w:space="0" w:color="auto"/>
        <w:bottom w:val="none" w:sz="0" w:space="0" w:color="auto"/>
        <w:right w:val="none" w:sz="0" w:space="0" w:color="auto"/>
      </w:divBdr>
    </w:div>
    <w:div w:id="1131895942">
      <w:bodyDiv w:val="1"/>
      <w:marLeft w:val="0"/>
      <w:marRight w:val="0"/>
      <w:marTop w:val="0"/>
      <w:marBottom w:val="0"/>
      <w:divBdr>
        <w:top w:val="none" w:sz="0" w:space="0" w:color="auto"/>
        <w:left w:val="none" w:sz="0" w:space="0" w:color="auto"/>
        <w:bottom w:val="none" w:sz="0" w:space="0" w:color="auto"/>
        <w:right w:val="none" w:sz="0" w:space="0" w:color="auto"/>
      </w:divBdr>
    </w:div>
    <w:div w:id="1207329831">
      <w:bodyDiv w:val="1"/>
      <w:marLeft w:val="0"/>
      <w:marRight w:val="0"/>
      <w:marTop w:val="0"/>
      <w:marBottom w:val="0"/>
      <w:divBdr>
        <w:top w:val="none" w:sz="0" w:space="0" w:color="auto"/>
        <w:left w:val="none" w:sz="0" w:space="0" w:color="auto"/>
        <w:bottom w:val="none" w:sz="0" w:space="0" w:color="auto"/>
        <w:right w:val="none" w:sz="0" w:space="0" w:color="auto"/>
      </w:divBdr>
    </w:div>
    <w:div w:id="1216891618">
      <w:bodyDiv w:val="1"/>
      <w:marLeft w:val="0"/>
      <w:marRight w:val="0"/>
      <w:marTop w:val="0"/>
      <w:marBottom w:val="0"/>
      <w:divBdr>
        <w:top w:val="none" w:sz="0" w:space="0" w:color="auto"/>
        <w:left w:val="none" w:sz="0" w:space="0" w:color="auto"/>
        <w:bottom w:val="none" w:sz="0" w:space="0" w:color="auto"/>
        <w:right w:val="none" w:sz="0" w:space="0" w:color="auto"/>
      </w:divBdr>
    </w:div>
    <w:div w:id="1235092592">
      <w:bodyDiv w:val="1"/>
      <w:marLeft w:val="0"/>
      <w:marRight w:val="0"/>
      <w:marTop w:val="0"/>
      <w:marBottom w:val="0"/>
      <w:divBdr>
        <w:top w:val="none" w:sz="0" w:space="0" w:color="auto"/>
        <w:left w:val="none" w:sz="0" w:space="0" w:color="auto"/>
        <w:bottom w:val="none" w:sz="0" w:space="0" w:color="auto"/>
        <w:right w:val="none" w:sz="0" w:space="0" w:color="auto"/>
      </w:divBdr>
    </w:div>
    <w:div w:id="1256403181">
      <w:bodyDiv w:val="1"/>
      <w:marLeft w:val="0"/>
      <w:marRight w:val="0"/>
      <w:marTop w:val="0"/>
      <w:marBottom w:val="0"/>
      <w:divBdr>
        <w:top w:val="none" w:sz="0" w:space="0" w:color="auto"/>
        <w:left w:val="none" w:sz="0" w:space="0" w:color="auto"/>
        <w:bottom w:val="none" w:sz="0" w:space="0" w:color="auto"/>
        <w:right w:val="none" w:sz="0" w:space="0" w:color="auto"/>
      </w:divBdr>
    </w:div>
    <w:div w:id="1265572430">
      <w:bodyDiv w:val="1"/>
      <w:marLeft w:val="0"/>
      <w:marRight w:val="0"/>
      <w:marTop w:val="0"/>
      <w:marBottom w:val="0"/>
      <w:divBdr>
        <w:top w:val="none" w:sz="0" w:space="0" w:color="auto"/>
        <w:left w:val="none" w:sz="0" w:space="0" w:color="auto"/>
        <w:bottom w:val="none" w:sz="0" w:space="0" w:color="auto"/>
        <w:right w:val="none" w:sz="0" w:space="0" w:color="auto"/>
      </w:divBdr>
    </w:div>
    <w:div w:id="1277328511">
      <w:bodyDiv w:val="1"/>
      <w:marLeft w:val="0"/>
      <w:marRight w:val="0"/>
      <w:marTop w:val="0"/>
      <w:marBottom w:val="0"/>
      <w:divBdr>
        <w:top w:val="none" w:sz="0" w:space="0" w:color="auto"/>
        <w:left w:val="none" w:sz="0" w:space="0" w:color="auto"/>
        <w:bottom w:val="none" w:sz="0" w:space="0" w:color="auto"/>
        <w:right w:val="none" w:sz="0" w:space="0" w:color="auto"/>
      </w:divBdr>
    </w:div>
    <w:div w:id="1324115721">
      <w:bodyDiv w:val="1"/>
      <w:marLeft w:val="0"/>
      <w:marRight w:val="0"/>
      <w:marTop w:val="0"/>
      <w:marBottom w:val="0"/>
      <w:divBdr>
        <w:top w:val="none" w:sz="0" w:space="0" w:color="auto"/>
        <w:left w:val="none" w:sz="0" w:space="0" w:color="auto"/>
        <w:bottom w:val="none" w:sz="0" w:space="0" w:color="auto"/>
        <w:right w:val="none" w:sz="0" w:space="0" w:color="auto"/>
      </w:divBdr>
    </w:div>
    <w:div w:id="1330405531">
      <w:bodyDiv w:val="1"/>
      <w:marLeft w:val="0"/>
      <w:marRight w:val="0"/>
      <w:marTop w:val="0"/>
      <w:marBottom w:val="0"/>
      <w:divBdr>
        <w:top w:val="none" w:sz="0" w:space="0" w:color="auto"/>
        <w:left w:val="none" w:sz="0" w:space="0" w:color="auto"/>
        <w:bottom w:val="none" w:sz="0" w:space="0" w:color="auto"/>
        <w:right w:val="none" w:sz="0" w:space="0" w:color="auto"/>
      </w:divBdr>
    </w:div>
    <w:div w:id="1391028445">
      <w:bodyDiv w:val="1"/>
      <w:marLeft w:val="0"/>
      <w:marRight w:val="0"/>
      <w:marTop w:val="0"/>
      <w:marBottom w:val="0"/>
      <w:divBdr>
        <w:top w:val="none" w:sz="0" w:space="0" w:color="auto"/>
        <w:left w:val="none" w:sz="0" w:space="0" w:color="auto"/>
        <w:bottom w:val="none" w:sz="0" w:space="0" w:color="auto"/>
        <w:right w:val="none" w:sz="0" w:space="0" w:color="auto"/>
      </w:divBdr>
    </w:div>
    <w:div w:id="1421172597">
      <w:bodyDiv w:val="1"/>
      <w:marLeft w:val="0"/>
      <w:marRight w:val="0"/>
      <w:marTop w:val="0"/>
      <w:marBottom w:val="0"/>
      <w:divBdr>
        <w:top w:val="none" w:sz="0" w:space="0" w:color="auto"/>
        <w:left w:val="none" w:sz="0" w:space="0" w:color="auto"/>
        <w:bottom w:val="none" w:sz="0" w:space="0" w:color="auto"/>
        <w:right w:val="none" w:sz="0" w:space="0" w:color="auto"/>
      </w:divBdr>
    </w:div>
    <w:div w:id="1424229326">
      <w:bodyDiv w:val="1"/>
      <w:marLeft w:val="0"/>
      <w:marRight w:val="0"/>
      <w:marTop w:val="0"/>
      <w:marBottom w:val="0"/>
      <w:divBdr>
        <w:top w:val="none" w:sz="0" w:space="0" w:color="auto"/>
        <w:left w:val="none" w:sz="0" w:space="0" w:color="auto"/>
        <w:bottom w:val="none" w:sz="0" w:space="0" w:color="auto"/>
        <w:right w:val="none" w:sz="0" w:space="0" w:color="auto"/>
      </w:divBdr>
    </w:div>
    <w:div w:id="1475679855">
      <w:bodyDiv w:val="1"/>
      <w:marLeft w:val="0"/>
      <w:marRight w:val="0"/>
      <w:marTop w:val="0"/>
      <w:marBottom w:val="0"/>
      <w:divBdr>
        <w:top w:val="none" w:sz="0" w:space="0" w:color="auto"/>
        <w:left w:val="none" w:sz="0" w:space="0" w:color="auto"/>
        <w:bottom w:val="none" w:sz="0" w:space="0" w:color="auto"/>
        <w:right w:val="none" w:sz="0" w:space="0" w:color="auto"/>
      </w:divBdr>
    </w:div>
    <w:div w:id="1539124381">
      <w:bodyDiv w:val="1"/>
      <w:marLeft w:val="0"/>
      <w:marRight w:val="0"/>
      <w:marTop w:val="0"/>
      <w:marBottom w:val="0"/>
      <w:divBdr>
        <w:top w:val="none" w:sz="0" w:space="0" w:color="auto"/>
        <w:left w:val="none" w:sz="0" w:space="0" w:color="auto"/>
        <w:bottom w:val="none" w:sz="0" w:space="0" w:color="auto"/>
        <w:right w:val="none" w:sz="0" w:space="0" w:color="auto"/>
      </w:divBdr>
    </w:div>
    <w:div w:id="1546717724">
      <w:bodyDiv w:val="1"/>
      <w:marLeft w:val="0"/>
      <w:marRight w:val="0"/>
      <w:marTop w:val="0"/>
      <w:marBottom w:val="0"/>
      <w:divBdr>
        <w:top w:val="none" w:sz="0" w:space="0" w:color="auto"/>
        <w:left w:val="none" w:sz="0" w:space="0" w:color="auto"/>
        <w:bottom w:val="none" w:sz="0" w:space="0" w:color="auto"/>
        <w:right w:val="none" w:sz="0" w:space="0" w:color="auto"/>
      </w:divBdr>
    </w:div>
    <w:div w:id="1552232224">
      <w:bodyDiv w:val="1"/>
      <w:marLeft w:val="0"/>
      <w:marRight w:val="0"/>
      <w:marTop w:val="0"/>
      <w:marBottom w:val="0"/>
      <w:divBdr>
        <w:top w:val="none" w:sz="0" w:space="0" w:color="auto"/>
        <w:left w:val="none" w:sz="0" w:space="0" w:color="auto"/>
        <w:bottom w:val="none" w:sz="0" w:space="0" w:color="auto"/>
        <w:right w:val="none" w:sz="0" w:space="0" w:color="auto"/>
      </w:divBdr>
    </w:div>
    <w:div w:id="1611738063">
      <w:bodyDiv w:val="1"/>
      <w:marLeft w:val="0"/>
      <w:marRight w:val="0"/>
      <w:marTop w:val="0"/>
      <w:marBottom w:val="0"/>
      <w:divBdr>
        <w:top w:val="none" w:sz="0" w:space="0" w:color="auto"/>
        <w:left w:val="none" w:sz="0" w:space="0" w:color="auto"/>
        <w:bottom w:val="none" w:sz="0" w:space="0" w:color="auto"/>
        <w:right w:val="none" w:sz="0" w:space="0" w:color="auto"/>
      </w:divBdr>
    </w:div>
    <w:div w:id="1699505809">
      <w:bodyDiv w:val="1"/>
      <w:marLeft w:val="0"/>
      <w:marRight w:val="0"/>
      <w:marTop w:val="0"/>
      <w:marBottom w:val="0"/>
      <w:divBdr>
        <w:top w:val="none" w:sz="0" w:space="0" w:color="auto"/>
        <w:left w:val="none" w:sz="0" w:space="0" w:color="auto"/>
        <w:bottom w:val="none" w:sz="0" w:space="0" w:color="auto"/>
        <w:right w:val="none" w:sz="0" w:space="0" w:color="auto"/>
      </w:divBdr>
    </w:div>
    <w:div w:id="1730229928">
      <w:bodyDiv w:val="1"/>
      <w:marLeft w:val="0"/>
      <w:marRight w:val="0"/>
      <w:marTop w:val="0"/>
      <w:marBottom w:val="0"/>
      <w:divBdr>
        <w:top w:val="none" w:sz="0" w:space="0" w:color="auto"/>
        <w:left w:val="none" w:sz="0" w:space="0" w:color="auto"/>
        <w:bottom w:val="none" w:sz="0" w:space="0" w:color="auto"/>
        <w:right w:val="none" w:sz="0" w:space="0" w:color="auto"/>
      </w:divBdr>
    </w:div>
    <w:div w:id="1730837268">
      <w:bodyDiv w:val="1"/>
      <w:marLeft w:val="0"/>
      <w:marRight w:val="0"/>
      <w:marTop w:val="0"/>
      <w:marBottom w:val="0"/>
      <w:divBdr>
        <w:top w:val="none" w:sz="0" w:space="0" w:color="auto"/>
        <w:left w:val="none" w:sz="0" w:space="0" w:color="auto"/>
        <w:bottom w:val="none" w:sz="0" w:space="0" w:color="auto"/>
        <w:right w:val="none" w:sz="0" w:space="0" w:color="auto"/>
      </w:divBdr>
    </w:div>
    <w:div w:id="1833642541">
      <w:bodyDiv w:val="1"/>
      <w:marLeft w:val="0"/>
      <w:marRight w:val="0"/>
      <w:marTop w:val="0"/>
      <w:marBottom w:val="0"/>
      <w:divBdr>
        <w:top w:val="none" w:sz="0" w:space="0" w:color="auto"/>
        <w:left w:val="none" w:sz="0" w:space="0" w:color="auto"/>
        <w:bottom w:val="none" w:sz="0" w:space="0" w:color="auto"/>
        <w:right w:val="none" w:sz="0" w:space="0" w:color="auto"/>
      </w:divBdr>
    </w:div>
    <w:div w:id="1856268178">
      <w:bodyDiv w:val="1"/>
      <w:marLeft w:val="0"/>
      <w:marRight w:val="0"/>
      <w:marTop w:val="0"/>
      <w:marBottom w:val="0"/>
      <w:divBdr>
        <w:top w:val="none" w:sz="0" w:space="0" w:color="auto"/>
        <w:left w:val="none" w:sz="0" w:space="0" w:color="auto"/>
        <w:bottom w:val="none" w:sz="0" w:space="0" w:color="auto"/>
        <w:right w:val="none" w:sz="0" w:space="0" w:color="auto"/>
      </w:divBdr>
    </w:div>
    <w:div w:id="1861626979">
      <w:bodyDiv w:val="1"/>
      <w:marLeft w:val="0"/>
      <w:marRight w:val="0"/>
      <w:marTop w:val="0"/>
      <w:marBottom w:val="0"/>
      <w:divBdr>
        <w:top w:val="none" w:sz="0" w:space="0" w:color="auto"/>
        <w:left w:val="none" w:sz="0" w:space="0" w:color="auto"/>
        <w:bottom w:val="none" w:sz="0" w:space="0" w:color="auto"/>
        <w:right w:val="none" w:sz="0" w:space="0" w:color="auto"/>
      </w:divBdr>
    </w:div>
    <w:div w:id="1865973645">
      <w:bodyDiv w:val="1"/>
      <w:marLeft w:val="0"/>
      <w:marRight w:val="0"/>
      <w:marTop w:val="0"/>
      <w:marBottom w:val="0"/>
      <w:divBdr>
        <w:top w:val="none" w:sz="0" w:space="0" w:color="auto"/>
        <w:left w:val="none" w:sz="0" w:space="0" w:color="auto"/>
        <w:bottom w:val="none" w:sz="0" w:space="0" w:color="auto"/>
        <w:right w:val="none" w:sz="0" w:space="0" w:color="auto"/>
      </w:divBdr>
    </w:div>
    <w:div w:id="1876041092">
      <w:bodyDiv w:val="1"/>
      <w:marLeft w:val="0"/>
      <w:marRight w:val="0"/>
      <w:marTop w:val="0"/>
      <w:marBottom w:val="0"/>
      <w:divBdr>
        <w:top w:val="none" w:sz="0" w:space="0" w:color="auto"/>
        <w:left w:val="none" w:sz="0" w:space="0" w:color="auto"/>
        <w:bottom w:val="none" w:sz="0" w:space="0" w:color="auto"/>
        <w:right w:val="none" w:sz="0" w:space="0" w:color="auto"/>
      </w:divBdr>
    </w:div>
    <w:div w:id="1878086496">
      <w:bodyDiv w:val="1"/>
      <w:marLeft w:val="0"/>
      <w:marRight w:val="0"/>
      <w:marTop w:val="0"/>
      <w:marBottom w:val="0"/>
      <w:divBdr>
        <w:top w:val="none" w:sz="0" w:space="0" w:color="auto"/>
        <w:left w:val="none" w:sz="0" w:space="0" w:color="auto"/>
        <w:bottom w:val="none" w:sz="0" w:space="0" w:color="auto"/>
        <w:right w:val="none" w:sz="0" w:space="0" w:color="auto"/>
      </w:divBdr>
    </w:div>
    <w:div w:id="1948199853">
      <w:bodyDiv w:val="1"/>
      <w:marLeft w:val="0"/>
      <w:marRight w:val="0"/>
      <w:marTop w:val="0"/>
      <w:marBottom w:val="0"/>
      <w:divBdr>
        <w:top w:val="none" w:sz="0" w:space="0" w:color="auto"/>
        <w:left w:val="none" w:sz="0" w:space="0" w:color="auto"/>
        <w:bottom w:val="none" w:sz="0" w:space="0" w:color="auto"/>
        <w:right w:val="none" w:sz="0" w:space="0" w:color="auto"/>
      </w:divBdr>
    </w:div>
    <w:div w:id="1976180650">
      <w:bodyDiv w:val="1"/>
      <w:marLeft w:val="0"/>
      <w:marRight w:val="0"/>
      <w:marTop w:val="0"/>
      <w:marBottom w:val="0"/>
      <w:divBdr>
        <w:top w:val="none" w:sz="0" w:space="0" w:color="auto"/>
        <w:left w:val="none" w:sz="0" w:space="0" w:color="auto"/>
        <w:bottom w:val="none" w:sz="0" w:space="0" w:color="auto"/>
        <w:right w:val="none" w:sz="0" w:space="0" w:color="auto"/>
      </w:divBdr>
    </w:div>
    <w:div w:id="1977946787">
      <w:bodyDiv w:val="1"/>
      <w:marLeft w:val="0"/>
      <w:marRight w:val="0"/>
      <w:marTop w:val="0"/>
      <w:marBottom w:val="0"/>
      <w:divBdr>
        <w:top w:val="none" w:sz="0" w:space="0" w:color="auto"/>
        <w:left w:val="none" w:sz="0" w:space="0" w:color="auto"/>
        <w:bottom w:val="none" w:sz="0" w:space="0" w:color="auto"/>
        <w:right w:val="none" w:sz="0" w:space="0" w:color="auto"/>
      </w:divBdr>
    </w:div>
    <w:div w:id="1989625545">
      <w:bodyDiv w:val="1"/>
      <w:marLeft w:val="0"/>
      <w:marRight w:val="0"/>
      <w:marTop w:val="0"/>
      <w:marBottom w:val="0"/>
      <w:divBdr>
        <w:top w:val="none" w:sz="0" w:space="0" w:color="auto"/>
        <w:left w:val="none" w:sz="0" w:space="0" w:color="auto"/>
        <w:bottom w:val="none" w:sz="0" w:space="0" w:color="auto"/>
        <w:right w:val="none" w:sz="0" w:space="0" w:color="auto"/>
      </w:divBdr>
    </w:div>
    <w:div w:id="2006006912">
      <w:bodyDiv w:val="1"/>
      <w:marLeft w:val="0"/>
      <w:marRight w:val="0"/>
      <w:marTop w:val="0"/>
      <w:marBottom w:val="0"/>
      <w:divBdr>
        <w:top w:val="none" w:sz="0" w:space="0" w:color="auto"/>
        <w:left w:val="none" w:sz="0" w:space="0" w:color="auto"/>
        <w:bottom w:val="none" w:sz="0" w:space="0" w:color="auto"/>
        <w:right w:val="none" w:sz="0" w:space="0" w:color="auto"/>
      </w:divBdr>
    </w:div>
    <w:div w:id="2034069226">
      <w:bodyDiv w:val="1"/>
      <w:marLeft w:val="0"/>
      <w:marRight w:val="0"/>
      <w:marTop w:val="0"/>
      <w:marBottom w:val="0"/>
      <w:divBdr>
        <w:top w:val="none" w:sz="0" w:space="0" w:color="auto"/>
        <w:left w:val="none" w:sz="0" w:space="0" w:color="auto"/>
        <w:bottom w:val="none" w:sz="0" w:space="0" w:color="auto"/>
        <w:right w:val="none" w:sz="0" w:space="0" w:color="auto"/>
      </w:divBdr>
    </w:div>
    <w:div w:id="208629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9FC72-D610-4648-9125-3AEECAE80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3930</Words>
  <Characters>20512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Procedure Initiated:</vt:lpstr>
    </vt:vector>
  </TitlesOfParts>
  <Company>SRMC</Company>
  <LinksUpToDate>false</LinksUpToDate>
  <CharactersWithSpaces>24394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Initiated:</dc:title>
  <dc:subject/>
  <dc:creator>HORSTMAN, CYNTHIA S</dc:creator>
  <cp:keywords/>
  <dc:description/>
  <cp:lastModifiedBy>Morlino, Denis</cp:lastModifiedBy>
  <cp:revision>3</cp:revision>
  <cp:lastPrinted>2021-01-07T15:22:00Z</cp:lastPrinted>
  <dcterms:created xsi:type="dcterms:W3CDTF">2024-07-01T15:39:00Z</dcterms:created>
  <dcterms:modified xsi:type="dcterms:W3CDTF">2024-07-01T15:39:00Z</dcterms:modified>
</cp:coreProperties>
</file>