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A983C" w14:textId="77777777" w:rsidR="001A13A6" w:rsidRPr="0083574E" w:rsidRDefault="001A13A6" w:rsidP="001A13A6">
      <w:pPr>
        <w:pStyle w:val="Heading1"/>
        <w:rPr>
          <w:rFonts w:ascii="Times New Roman" w:hAnsi="Times New Roman" w:cs="Times New Roman"/>
          <w:bCs w:val="0"/>
          <w:sz w:val="24"/>
          <w:szCs w:val="24"/>
        </w:rPr>
      </w:pPr>
      <w:r w:rsidRPr="0083574E">
        <w:rPr>
          <w:rFonts w:ascii="Times New Roman" w:hAnsi="Times New Roman" w:cs="Times New Roman"/>
          <w:sz w:val="24"/>
          <w:szCs w:val="24"/>
        </w:rPr>
        <w:t xml:space="preserve">SUBJECT: </w:t>
      </w:r>
      <w:r>
        <w:rPr>
          <w:rFonts w:ascii="Times New Roman" w:hAnsi="Times New Roman" w:cs="Times New Roman"/>
          <w:sz w:val="24"/>
          <w:szCs w:val="24"/>
        </w:rPr>
        <w:t xml:space="preserve"> Collection of Respiratory Specimens with Special Attention to COVID-19</w:t>
      </w:r>
    </w:p>
    <w:p w14:paraId="19DF1449" w14:textId="77777777" w:rsidR="001A13A6" w:rsidRPr="0083574E" w:rsidRDefault="001A13A6" w:rsidP="001A13A6">
      <w:pPr>
        <w:rPr>
          <w:rFonts w:eastAsia="MS Mincho"/>
          <w:b/>
        </w:rPr>
      </w:pPr>
    </w:p>
    <w:p w14:paraId="1E19E9DF" w14:textId="77777777" w:rsidR="001A13A6" w:rsidRDefault="001A13A6" w:rsidP="001A13A6">
      <w:pPr>
        <w:pStyle w:val="ListParagraph"/>
        <w:numPr>
          <w:ilvl w:val="0"/>
          <w:numId w:val="11"/>
        </w:numPr>
        <w:rPr>
          <w:b/>
          <w:bCs/>
          <w:sz w:val="22"/>
          <w:szCs w:val="22"/>
          <w:u w:val="single"/>
        </w:rPr>
      </w:pPr>
      <w:r w:rsidRPr="00FF4450">
        <w:rPr>
          <w:b/>
          <w:bCs/>
          <w:sz w:val="22"/>
          <w:szCs w:val="22"/>
          <w:u w:val="single"/>
        </w:rPr>
        <w:t>Scope:</w:t>
      </w:r>
    </w:p>
    <w:p w14:paraId="632DD013" w14:textId="77777777" w:rsidR="00C1075D" w:rsidRPr="00FF4450" w:rsidRDefault="00C1075D" w:rsidP="00C1075D">
      <w:pPr>
        <w:pStyle w:val="ListParagraph"/>
        <w:ind w:left="360"/>
        <w:rPr>
          <w:b/>
          <w:bCs/>
          <w:sz w:val="22"/>
          <w:szCs w:val="22"/>
          <w:u w:val="single"/>
        </w:rPr>
      </w:pPr>
    </w:p>
    <w:p w14:paraId="6F944E5A" w14:textId="77777777" w:rsidR="001A13A6" w:rsidRDefault="001A13A6" w:rsidP="001A13A6">
      <w:pPr>
        <w:pStyle w:val="ListParagraph"/>
        <w:numPr>
          <w:ilvl w:val="1"/>
          <w:numId w:val="11"/>
        </w:numPr>
        <w:rPr>
          <w:bCs/>
          <w:sz w:val="22"/>
          <w:szCs w:val="22"/>
        </w:rPr>
      </w:pPr>
      <w:r w:rsidRPr="00FF4450">
        <w:rPr>
          <w:bCs/>
          <w:sz w:val="22"/>
          <w:szCs w:val="22"/>
        </w:rPr>
        <w:t>In March 2020, the World Health Organization on Wednesday declared the rapidly spreading coronavirus outbreak a pandemic, acknowledging what has seemed clear for some time — the virus will likely spread to all countries on the globe.</w:t>
      </w:r>
    </w:p>
    <w:p w14:paraId="278ED0A7" w14:textId="77777777" w:rsidR="00C1075D" w:rsidRPr="00FF4450" w:rsidRDefault="00C1075D" w:rsidP="00C1075D">
      <w:pPr>
        <w:pStyle w:val="ListParagraph"/>
        <w:ind w:left="1080"/>
        <w:rPr>
          <w:bCs/>
          <w:sz w:val="22"/>
          <w:szCs w:val="22"/>
        </w:rPr>
      </w:pPr>
    </w:p>
    <w:p w14:paraId="2CE7572F" w14:textId="77777777" w:rsidR="00C1075D" w:rsidRDefault="001A13A6" w:rsidP="001A13A6">
      <w:pPr>
        <w:pStyle w:val="BodyTextIndent3"/>
        <w:numPr>
          <w:ilvl w:val="0"/>
          <w:numId w:val="9"/>
        </w:numPr>
        <w:spacing w:after="0"/>
        <w:rPr>
          <w:b/>
          <w:bCs/>
          <w:sz w:val="22"/>
          <w:szCs w:val="22"/>
          <w:u w:val="single"/>
        </w:rPr>
      </w:pPr>
      <w:r w:rsidRPr="00FF4450">
        <w:rPr>
          <w:b/>
          <w:bCs/>
          <w:sz w:val="22"/>
          <w:szCs w:val="22"/>
          <w:u w:val="single"/>
        </w:rPr>
        <w:t>Purpose</w:t>
      </w:r>
      <w:r w:rsidR="00C1075D">
        <w:rPr>
          <w:b/>
          <w:bCs/>
          <w:sz w:val="22"/>
          <w:szCs w:val="22"/>
          <w:u w:val="single"/>
        </w:rPr>
        <w:t>:</w:t>
      </w:r>
    </w:p>
    <w:p w14:paraId="4208689C" w14:textId="77777777" w:rsidR="001A13A6" w:rsidRDefault="001A13A6" w:rsidP="00C1075D">
      <w:pPr>
        <w:pStyle w:val="BodyTextIndent3"/>
        <w:spacing w:after="0"/>
        <w:rPr>
          <w:b/>
          <w:bCs/>
          <w:sz w:val="22"/>
          <w:szCs w:val="22"/>
          <w:u w:val="single"/>
        </w:rPr>
      </w:pPr>
      <w:r w:rsidRPr="00FF4450">
        <w:rPr>
          <w:b/>
          <w:bCs/>
          <w:sz w:val="22"/>
          <w:szCs w:val="22"/>
          <w:u w:val="single"/>
        </w:rPr>
        <w:t xml:space="preserve">  </w:t>
      </w:r>
    </w:p>
    <w:p w14:paraId="57A20DE6" w14:textId="77777777" w:rsidR="001A13A6" w:rsidRPr="00FF4450" w:rsidRDefault="001A13A6" w:rsidP="001A13A6">
      <w:pPr>
        <w:pStyle w:val="BodyTextIndent3"/>
        <w:numPr>
          <w:ilvl w:val="1"/>
          <w:numId w:val="9"/>
        </w:numPr>
        <w:spacing w:after="0"/>
        <w:rPr>
          <w:b/>
          <w:bCs/>
          <w:sz w:val="22"/>
          <w:szCs w:val="22"/>
          <w:u w:val="single"/>
        </w:rPr>
      </w:pPr>
      <w:r w:rsidRPr="00FF4450">
        <w:rPr>
          <w:sz w:val="22"/>
          <w:szCs w:val="22"/>
        </w:rPr>
        <w:t>. To Provide guidelines for Collecting, Handling, and Testing Clinical Specimens for COVID-19</w:t>
      </w:r>
    </w:p>
    <w:p w14:paraId="7EFC199A" w14:textId="77777777" w:rsidR="001A13A6" w:rsidRPr="00FF4450" w:rsidRDefault="001A13A6" w:rsidP="001A13A6">
      <w:pPr>
        <w:pStyle w:val="BodyTextIndent3"/>
        <w:spacing w:after="0"/>
        <w:ind w:left="1080"/>
        <w:rPr>
          <w:b/>
          <w:bCs/>
          <w:sz w:val="22"/>
          <w:szCs w:val="22"/>
          <w:u w:val="single"/>
        </w:rPr>
      </w:pPr>
    </w:p>
    <w:p w14:paraId="286F1C1D" w14:textId="77777777" w:rsidR="001A13A6" w:rsidRDefault="001A13A6" w:rsidP="001A13A6">
      <w:pPr>
        <w:pStyle w:val="ListParagraph"/>
        <w:numPr>
          <w:ilvl w:val="0"/>
          <w:numId w:val="9"/>
        </w:numPr>
        <w:autoSpaceDE w:val="0"/>
        <w:autoSpaceDN w:val="0"/>
        <w:adjustRightInd w:val="0"/>
        <w:rPr>
          <w:b/>
          <w:bCs/>
          <w:sz w:val="22"/>
          <w:szCs w:val="22"/>
          <w:u w:val="single"/>
        </w:rPr>
      </w:pPr>
      <w:r w:rsidRPr="00FF4450">
        <w:rPr>
          <w:b/>
          <w:bCs/>
          <w:sz w:val="22"/>
          <w:szCs w:val="22"/>
          <w:u w:val="single"/>
        </w:rPr>
        <w:t>Procedure</w:t>
      </w:r>
      <w:r w:rsidRPr="00FF4450">
        <w:rPr>
          <w:b/>
          <w:bCs/>
          <w:sz w:val="22"/>
          <w:szCs w:val="22"/>
        </w:rPr>
        <w:t>:</w:t>
      </w:r>
      <w:r w:rsidRPr="00FF4450">
        <w:rPr>
          <w:b/>
          <w:bCs/>
          <w:sz w:val="22"/>
          <w:szCs w:val="22"/>
          <w:u w:val="single"/>
        </w:rPr>
        <w:t xml:space="preserve">  </w:t>
      </w:r>
    </w:p>
    <w:p w14:paraId="49963F0E" w14:textId="77777777" w:rsidR="00C1075D" w:rsidRDefault="00C1075D" w:rsidP="00C1075D">
      <w:pPr>
        <w:pStyle w:val="ListParagraph"/>
        <w:autoSpaceDE w:val="0"/>
        <w:autoSpaceDN w:val="0"/>
        <w:adjustRightInd w:val="0"/>
        <w:ind w:left="360"/>
        <w:rPr>
          <w:b/>
          <w:bCs/>
          <w:sz w:val="22"/>
          <w:szCs w:val="22"/>
          <w:u w:val="single"/>
        </w:rPr>
      </w:pPr>
    </w:p>
    <w:p w14:paraId="23FDD09B" w14:textId="77777777" w:rsidR="001A13A6" w:rsidRPr="00FF4450" w:rsidRDefault="001A13A6" w:rsidP="001A13A6">
      <w:pPr>
        <w:pStyle w:val="ListParagraph"/>
        <w:numPr>
          <w:ilvl w:val="1"/>
          <w:numId w:val="9"/>
        </w:numPr>
        <w:autoSpaceDE w:val="0"/>
        <w:autoSpaceDN w:val="0"/>
        <w:adjustRightInd w:val="0"/>
        <w:rPr>
          <w:bCs/>
          <w:sz w:val="22"/>
          <w:szCs w:val="22"/>
        </w:rPr>
      </w:pPr>
      <w:r w:rsidRPr="00FF4450">
        <w:rPr>
          <w:bCs/>
          <w:sz w:val="22"/>
          <w:szCs w:val="22"/>
        </w:rPr>
        <w:t>For initial diagnostic testing for SARS-CoV-2, CDC recommends collecting and testing an upper respiratory specimen. The following are acceptable specimens:</w:t>
      </w:r>
    </w:p>
    <w:p w14:paraId="5B389FF3" w14:textId="77777777" w:rsidR="001A13A6" w:rsidRPr="00FF4450" w:rsidRDefault="001A13A6" w:rsidP="001A13A6">
      <w:pPr>
        <w:pStyle w:val="ListParagraph"/>
        <w:numPr>
          <w:ilvl w:val="2"/>
          <w:numId w:val="9"/>
        </w:numPr>
        <w:autoSpaceDE w:val="0"/>
        <w:autoSpaceDN w:val="0"/>
        <w:adjustRightInd w:val="0"/>
        <w:rPr>
          <w:bCs/>
          <w:sz w:val="22"/>
          <w:szCs w:val="22"/>
        </w:rPr>
      </w:pPr>
      <w:r w:rsidRPr="00FF4450">
        <w:rPr>
          <w:bCs/>
          <w:sz w:val="22"/>
          <w:szCs w:val="22"/>
        </w:rPr>
        <w:t>A nasopharyngeal (NP) specimen collected by a healthcare provider; or</w:t>
      </w:r>
    </w:p>
    <w:p w14:paraId="265D1EB8" w14:textId="77777777" w:rsidR="001A13A6" w:rsidRPr="00FF4450" w:rsidRDefault="001A13A6" w:rsidP="001A13A6">
      <w:pPr>
        <w:pStyle w:val="ListParagraph"/>
        <w:numPr>
          <w:ilvl w:val="2"/>
          <w:numId w:val="9"/>
        </w:numPr>
        <w:autoSpaceDE w:val="0"/>
        <w:autoSpaceDN w:val="0"/>
        <w:adjustRightInd w:val="0"/>
        <w:rPr>
          <w:bCs/>
          <w:sz w:val="22"/>
          <w:szCs w:val="22"/>
        </w:rPr>
      </w:pPr>
      <w:r w:rsidRPr="00FF4450">
        <w:rPr>
          <w:bCs/>
          <w:sz w:val="22"/>
          <w:szCs w:val="22"/>
        </w:rPr>
        <w:t>An oropharyngeal (OP) specimen collected by a healthcare provider; or</w:t>
      </w:r>
    </w:p>
    <w:p w14:paraId="5D7052D5" w14:textId="77777777" w:rsidR="001A13A6" w:rsidRPr="00FF4450" w:rsidRDefault="001A13A6" w:rsidP="001A13A6">
      <w:pPr>
        <w:pStyle w:val="ListParagraph"/>
        <w:numPr>
          <w:ilvl w:val="2"/>
          <w:numId w:val="9"/>
        </w:numPr>
        <w:autoSpaceDE w:val="0"/>
        <w:autoSpaceDN w:val="0"/>
        <w:adjustRightInd w:val="0"/>
        <w:rPr>
          <w:bCs/>
          <w:sz w:val="22"/>
          <w:szCs w:val="22"/>
        </w:rPr>
      </w:pPr>
      <w:r w:rsidRPr="00FF4450">
        <w:rPr>
          <w:bCs/>
          <w:sz w:val="22"/>
          <w:szCs w:val="22"/>
        </w:rPr>
        <w:t>A nasal mid-turbinate swab collected by a healthcare provider or by a supervised onsite self-collection (using a flocked tapered swab); or</w:t>
      </w:r>
    </w:p>
    <w:p w14:paraId="392694FD" w14:textId="77777777" w:rsidR="001A13A6" w:rsidRPr="00FF4450" w:rsidRDefault="001A13A6" w:rsidP="001A13A6">
      <w:pPr>
        <w:pStyle w:val="ListParagraph"/>
        <w:numPr>
          <w:ilvl w:val="2"/>
          <w:numId w:val="9"/>
        </w:numPr>
        <w:autoSpaceDE w:val="0"/>
        <w:autoSpaceDN w:val="0"/>
        <w:adjustRightInd w:val="0"/>
        <w:rPr>
          <w:bCs/>
          <w:sz w:val="22"/>
          <w:szCs w:val="22"/>
        </w:rPr>
      </w:pPr>
      <w:r w:rsidRPr="00FF4450">
        <w:rPr>
          <w:bCs/>
          <w:sz w:val="22"/>
          <w:szCs w:val="22"/>
        </w:rPr>
        <w:t>An anterior nares (nasal swab) specimen collected by a healthcare provider or by home or supervised onsite self-collection (using a flocked or spun polyester swab); or</w:t>
      </w:r>
    </w:p>
    <w:p w14:paraId="182E7F0F" w14:textId="77777777" w:rsidR="001A13A6" w:rsidRDefault="001A13A6" w:rsidP="001A13A6">
      <w:pPr>
        <w:pStyle w:val="ListParagraph"/>
        <w:numPr>
          <w:ilvl w:val="2"/>
          <w:numId w:val="9"/>
        </w:numPr>
        <w:autoSpaceDE w:val="0"/>
        <w:autoSpaceDN w:val="0"/>
        <w:adjustRightInd w:val="0"/>
        <w:rPr>
          <w:bCs/>
          <w:sz w:val="22"/>
          <w:szCs w:val="22"/>
        </w:rPr>
      </w:pPr>
      <w:r w:rsidRPr="00FF4450">
        <w:rPr>
          <w:bCs/>
          <w:sz w:val="22"/>
          <w:szCs w:val="22"/>
        </w:rPr>
        <w:t>Nasopharyngeal wash/aspirate or nasal wash/aspirate (NW) specimen collected by a healthcare provider.</w:t>
      </w:r>
    </w:p>
    <w:p w14:paraId="4ACD316C" w14:textId="77777777" w:rsidR="00C1075D" w:rsidRDefault="00C1075D" w:rsidP="00C1075D">
      <w:pPr>
        <w:pStyle w:val="ListParagraph"/>
        <w:autoSpaceDE w:val="0"/>
        <w:autoSpaceDN w:val="0"/>
        <w:adjustRightInd w:val="0"/>
        <w:ind w:left="2160"/>
        <w:rPr>
          <w:bCs/>
          <w:sz w:val="22"/>
          <w:szCs w:val="22"/>
        </w:rPr>
      </w:pPr>
    </w:p>
    <w:p w14:paraId="3CEDE74F" w14:textId="77777777" w:rsidR="001A13A6" w:rsidRPr="00FF4450" w:rsidRDefault="001A13A6" w:rsidP="001A13A6">
      <w:pPr>
        <w:pStyle w:val="ListParagraph"/>
        <w:numPr>
          <w:ilvl w:val="1"/>
          <w:numId w:val="9"/>
        </w:numPr>
        <w:autoSpaceDE w:val="0"/>
        <w:autoSpaceDN w:val="0"/>
        <w:adjustRightInd w:val="0"/>
        <w:rPr>
          <w:b/>
          <w:bCs/>
          <w:sz w:val="22"/>
          <w:szCs w:val="22"/>
        </w:rPr>
      </w:pPr>
      <w:r w:rsidRPr="00FF4450">
        <w:rPr>
          <w:b/>
          <w:bCs/>
          <w:sz w:val="22"/>
          <w:szCs w:val="22"/>
        </w:rPr>
        <w:t xml:space="preserve"> </w:t>
      </w:r>
      <w:r>
        <w:rPr>
          <w:b/>
          <w:bCs/>
          <w:sz w:val="22"/>
          <w:szCs w:val="22"/>
        </w:rPr>
        <w:t xml:space="preserve"> Source Types and Collection Procedures</w:t>
      </w:r>
    </w:p>
    <w:p w14:paraId="0DCF8AD5" w14:textId="77777777" w:rsidR="001A13A6" w:rsidRPr="00F25C0A" w:rsidRDefault="001A13A6" w:rsidP="001A13A6">
      <w:pPr>
        <w:pStyle w:val="ListParagraph"/>
        <w:numPr>
          <w:ilvl w:val="2"/>
          <w:numId w:val="9"/>
        </w:numPr>
        <w:autoSpaceDE w:val="0"/>
        <w:autoSpaceDN w:val="0"/>
        <w:adjustRightInd w:val="0"/>
        <w:rPr>
          <w:b/>
          <w:bCs/>
          <w:sz w:val="22"/>
          <w:szCs w:val="22"/>
        </w:rPr>
      </w:pPr>
      <w:r w:rsidRPr="00F25C0A">
        <w:rPr>
          <w:b/>
          <w:bCs/>
          <w:sz w:val="22"/>
          <w:szCs w:val="22"/>
        </w:rPr>
        <w:t>Nasopharyngeal swab</w:t>
      </w:r>
      <w:r w:rsidR="00D34A31">
        <w:rPr>
          <w:b/>
          <w:bCs/>
          <w:sz w:val="22"/>
          <w:szCs w:val="22"/>
        </w:rPr>
        <w:t xml:space="preserve"> (NP)</w:t>
      </w:r>
      <w:r w:rsidRPr="00F25C0A">
        <w:rPr>
          <w:b/>
          <w:bCs/>
          <w:sz w:val="22"/>
          <w:szCs w:val="22"/>
        </w:rPr>
        <w:t>/Oropharyngeal (Throat) swab</w:t>
      </w:r>
      <w:r w:rsidR="00D34A31">
        <w:rPr>
          <w:b/>
          <w:bCs/>
          <w:sz w:val="22"/>
          <w:szCs w:val="22"/>
        </w:rPr>
        <w:t xml:space="preserve"> (OP)</w:t>
      </w:r>
    </w:p>
    <w:p w14:paraId="6E0DCBA4" w14:textId="77777777" w:rsidR="001A13A6" w:rsidRPr="00F25C0A" w:rsidRDefault="001A13A6" w:rsidP="001A13A6">
      <w:pPr>
        <w:pStyle w:val="ListParagraph"/>
        <w:numPr>
          <w:ilvl w:val="3"/>
          <w:numId w:val="9"/>
        </w:numPr>
        <w:autoSpaceDE w:val="0"/>
        <w:autoSpaceDN w:val="0"/>
        <w:adjustRightInd w:val="0"/>
        <w:rPr>
          <w:bCs/>
          <w:sz w:val="22"/>
          <w:szCs w:val="22"/>
        </w:rPr>
      </w:pPr>
      <w:r w:rsidRPr="00FF4450">
        <w:rPr>
          <w:bCs/>
          <w:sz w:val="22"/>
          <w:szCs w:val="22"/>
        </w:rPr>
        <w:t xml:space="preserve">Use only synthetic fiber swabs with plastic or wire shafts. Do not use calcium alginate swabs or swabs with wooden shafts, as they may contain substances that inactivate some viruses and inhibit PCR testing. </w:t>
      </w:r>
    </w:p>
    <w:p w14:paraId="224A509C" w14:textId="77777777" w:rsidR="001A13A6" w:rsidRPr="00F25C0A" w:rsidRDefault="001A13A6" w:rsidP="001A13A6">
      <w:pPr>
        <w:pStyle w:val="ListParagraph"/>
        <w:numPr>
          <w:ilvl w:val="4"/>
          <w:numId w:val="9"/>
        </w:numPr>
        <w:autoSpaceDE w:val="0"/>
        <w:autoSpaceDN w:val="0"/>
        <w:adjustRightInd w:val="0"/>
        <w:rPr>
          <w:bCs/>
          <w:sz w:val="22"/>
          <w:szCs w:val="22"/>
        </w:rPr>
      </w:pPr>
      <w:r w:rsidRPr="00F25C0A">
        <w:rPr>
          <w:b/>
          <w:bCs/>
          <w:sz w:val="22"/>
          <w:szCs w:val="22"/>
          <w:u w:val="single"/>
        </w:rPr>
        <w:t>NP swab</w:t>
      </w:r>
      <w:r w:rsidRPr="00FF4450">
        <w:rPr>
          <w:bCs/>
          <w:sz w:val="22"/>
          <w:szCs w:val="22"/>
        </w:rPr>
        <w:t xml:space="preserve">: Insert </w:t>
      </w:r>
      <w:proofErr w:type="spellStart"/>
      <w:r w:rsidRPr="00FF4450">
        <w:rPr>
          <w:bCs/>
          <w:sz w:val="22"/>
          <w:szCs w:val="22"/>
        </w:rPr>
        <w:t>minitip</w:t>
      </w:r>
      <w:proofErr w:type="spellEnd"/>
      <w:r w:rsidRPr="00FF4450">
        <w:rPr>
          <w:bCs/>
          <w:sz w:val="22"/>
          <w:szCs w:val="22"/>
        </w:rPr>
        <w:t xml:space="preserve"> swab with a flexible shaft (wire or plastic) through the nostril parallel to the palate (not upwards) until resistance is encountered or the distance is equivalent to that from the ear to the nostril of the patient, indicating contact with the nasopharynx. Swab should reach depth equal to distance from nostrils to outer opening of the ear. Gently rub and roll the swab. Leave swab in place for several seconds to absorb secretions. Slowly remove swab while rotating it. Specimens can be collected from both sides using the same swab, but it is not necessary to collect specimens from both sides if the </w:t>
      </w:r>
      <w:proofErr w:type="spellStart"/>
      <w:r w:rsidRPr="00FF4450">
        <w:rPr>
          <w:bCs/>
          <w:sz w:val="22"/>
          <w:szCs w:val="22"/>
        </w:rPr>
        <w:t>minitip</w:t>
      </w:r>
      <w:proofErr w:type="spellEnd"/>
      <w:r w:rsidRPr="00FF4450">
        <w:rPr>
          <w:bCs/>
          <w:sz w:val="22"/>
          <w:szCs w:val="22"/>
        </w:rPr>
        <w:t xml:space="preserve"> is saturated with fluid from the first collection. If a deviated septum or blockage create difficulty in obtaining the specimen from one nostril, use the</w:t>
      </w:r>
      <w:r>
        <w:rPr>
          <w:bCs/>
          <w:sz w:val="22"/>
          <w:szCs w:val="22"/>
        </w:rPr>
        <w:t xml:space="preserve"> same swab to obtain the </w:t>
      </w:r>
      <w:proofErr w:type="spellStart"/>
      <w:r>
        <w:rPr>
          <w:bCs/>
          <w:sz w:val="22"/>
          <w:szCs w:val="22"/>
        </w:rPr>
        <w:t>specim</w:t>
      </w:r>
      <w:r w:rsidRPr="00FF4450">
        <w:rPr>
          <w:bCs/>
          <w:sz w:val="22"/>
          <w:szCs w:val="22"/>
        </w:rPr>
        <w:t>n</w:t>
      </w:r>
      <w:proofErr w:type="spellEnd"/>
      <w:r w:rsidRPr="00FF4450">
        <w:rPr>
          <w:bCs/>
          <w:sz w:val="22"/>
          <w:szCs w:val="22"/>
        </w:rPr>
        <w:t xml:space="preserve"> from the other nostril.</w:t>
      </w:r>
    </w:p>
    <w:p w14:paraId="1803383B" w14:textId="77777777" w:rsidR="001A13A6" w:rsidRDefault="001A13A6" w:rsidP="001A13A6">
      <w:pPr>
        <w:pStyle w:val="ListParagraph"/>
        <w:numPr>
          <w:ilvl w:val="4"/>
          <w:numId w:val="9"/>
        </w:numPr>
        <w:autoSpaceDE w:val="0"/>
        <w:autoSpaceDN w:val="0"/>
        <w:adjustRightInd w:val="0"/>
        <w:rPr>
          <w:bCs/>
          <w:sz w:val="22"/>
          <w:szCs w:val="22"/>
        </w:rPr>
      </w:pPr>
      <w:r w:rsidRPr="00F25C0A">
        <w:rPr>
          <w:b/>
          <w:bCs/>
          <w:sz w:val="22"/>
          <w:szCs w:val="22"/>
          <w:u w:val="single"/>
        </w:rPr>
        <w:t xml:space="preserve">OP </w:t>
      </w:r>
      <w:proofErr w:type="gramStart"/>
      <w:r w:rsidRPr="00F25C0A">
        <w:rPr>
          <w:b/>
          <w:bCs/>
          <w:sz w:val="22"/>
          <w:szCs w:val="22"/>
          <w:u w:val="single"/>
        </w:rPr>
        <w:t>swab</w:t>
      </w:r>
      <w:r>
        <w:rPr>
          <w:bCs/>
          <w:sz w:val="22"/>
          <w:szCs w:val="22"/>
          <w:u w:val="single"/>
        </w:rPr>
        <w:t xml:space="preserve"> </w:t>
      </w:r>
      <w:r>
        <w:rPr>
          <w:bCs/>
          <w:sz w:val="22"/>
          <w:szCs w:val="22"/>
        </w:rPr>
        <w:t>:</w:t>
      </w:r>
      <w:proofErr w:type="gramEnd"/>
      <w:r w:rsidRPr="00F25C0A">
        <w:rPr>
          <w:bCs/>
          <w:sz w:val="22"/>
          <w:szCs w:val="22"/>
        </w:rPr>
        <w:t xml:space="preserve"> Insert swab into the posterior pharynx and tonsillar areas.  Rub swab over both tonsillar pillars and posterior oropharynx and avoid touching the tongue, teeth, and gums.</w:t>
      </w:r>
    </w:p>
    <w:p w14:paraId="4E90F4D1" w14:textId="77777777" w:rsidR="00C1075D" w:rsidRDefault="00C1075D" w:rsidP="00C1075D">
      <w:pPr>
        <w:pStyle w:val="ListParagraph"/>
        <w:autoSpaceDE w:val="0"/>
        <w:autoSpaceDN w:val="0"/>
        <w:adjustRightInd w:val="0"/>
        <w:ind w:left="3420"/>
        <w:rPr>
          <w:b/>
          <w:bCs/>
          <w:sz w:val="22"/>
          <w:szCs w:val="22"/>
          <w:u w:val="single"/>
        </w:rPr>
      </w:pPr>
    </w:p>
    <w:p w14:paraId="2A0CD769" w14:textId="77777777" w:rsidR="00C1075D" w:rsidRDefault="00C1075D" w:rsidP="00C1075D">
      <w:pPr>
        <w:pStyle w:val="ListParagraph"/>
        <w:autoSpaceDE w:val="0"/>
        <w:autoSpaceDN w:val="0"/>
        <w:adjustRightInd w:val="0"/>
        <w:ind w:left="3420"/>
        <w:rPr>
          <w:bCs/>
          <w:sz w:val="22"/>
          <w:szCs w:val="22"/>
        </w:rPr>
      </w:pPr>
    </w:p>
    <w:p w14:paraId="49B096AF" w14:textId="77777777" w:rsidR="00C1075D" w:rsidRPr="00F25C0A" w:rsidRDefault="00C1075D" w:rsidP="00C1075D">
      <w:pPr>
        <w:pStyle w:val="ListParagraph"/>
        <w:autoSpaceDE w:val="0"/>
        <w:autoSpaceDN w:val="0"/>
        <w:adjustRightInd w:val="0"/>
        <w:ind w:left="3420"/>
        <w:rPr>
          <w:bCs/>
          <w:sz w:val="22"/>
          <w:szCs w:val="22"/>
        </w:rPr>
      </w:pPr>
    </w:p>
    <w:p w14:paraId="1691929D" w14:textId="77777777" w:rsidR="001A13A6" w:rsidRPr="00F25C0A" w:rsidRDefault="001A13A6" w:rsidP="001A13A6">
      <w:pPr>
        <w:pStyle w:val="ListParagraph"/>
        <w:numPr>
          <w:ilvl w:val="2"/>
          <w:numId w:val="9"/>
        </w:numPr>
        <w:autoSpaceDE w:val="0"/>
        <w:autoSpaceDN w:val="0"/>
        <w:adjustRightInd w:val="0"/>
        <w:rPr>
          <w:b/>
          <w:bCs/>
          <w:sz w:val="22"/>
          <w:szCs w:val="22"/>
        </w:rPr>
      </w:pPr>
      <w:r w:rsidRPr="00F25C0A">
        <w:rPr>
          <w:b/>
          <w:bCs/>
          <w:sz w:val="22"/>
          <w:szCs w:val="22"/>
        </w:rPr>
        <w:lastRenderedPageBreak/>
        <w:t>Nasal mid-turbinate (NMT) swab, also called Deep Nasal Swab</w:t>
      </w:r>
    </w:p>
    <w:p w14:paraId="69B25F1C" w14:textId="77777777" w:rsidR="001A13A6" w:rsidRDefault="001A13A6" w:rsidP="001A13A6">
      <w:pPr>
        <w:pStyle w:val="ListParagraph"/>
        <w:numPr>
          <w:ilvl w:val="3"/>
          <w:numId w:val="9"/>
        </w:numPr>
        <w:autoSpaceDE w:val="0"/>
        <w:autoSpaceDN w:val="0"/>
        <w:adjustRightInd w:val="0"/>
        <w:rPr>
          <w:bCs/>
          <w:sz w:val="22"/>
          <w:szCs w:val="22"/>
        </w:rPr>
      </w:pPr>
      <w:r w:rsidRPr="00FF4450">
        <w:rPr>
          <w:bCs/>
          <w:sz w:val="22"/>
          <w:szCs w:val="22"/>
        </w:rPr>
        <w:t xml:space="preserve">Use a flocked tapered swab. Tilt patient’s head back 70 degrees. While gently rotating the swab, insert swab less than one inch (about 2 cm) into nostril (until resistance is met at </w:t>
      </w:r>
      <w:proofErr w:type="spellStart"/>
      <w:r w:rsidRPr="00FF4450">
        <w:rPr>
          <w:bCs/>
          <w:sz w:val="22"/>
          <w:szCs w:val="22"/>
        </w:rPr>
        <w:t>turbinates</w:t>
      </w:r>
      <w:proofErr w:type="spellEnd"/>
      <w:r w:rsidRPr="00FF4450">
        <w:rPr>
          <w:bCs/>
          <w:sz w:val="22"/>
          <w:szCs w:val="22"/>
        </w:rPr>
        <w:t>). Rotate the swab several times against nasal wall and repeat in other nostril using the same swab.</w:t>
      </w:r>
    </w:p>
    <w:p w14:paraId="7AF79959" w14:textId="77777777" w:rsidR="00C1075D" w:rsidRPr="00F25C0A" w:rsidRDefault="00C1075D" w:rsidP="00C1075D">
      <w:pPr>
        <w:pStyle w:val="ListParagraph"/>
        <w:autoSpaceDE w:val="0"/>
        <w:autoSpaceDN w:val="0"/>
        <w:adjustRightInd w:val="0"/>
        <w:ind w:left="2880"/>
        <w:rPr>
          <w:bCs/>
          <w:sz w:val="22"/>
          <w:szCs w:val="22"/>
        </w:rPr>
      </w:pPr>
    </w:p>
    <w:p w14:paraId="07C2E5EB" w14:textId="77777777" w:rsidR="001A13A6" w:rsidRPr="00F25C0A" w:rsidRDefault="001A13A6" w:rsidP="001A13A6">
      <w:pPr>
        <w:pStyle w:val="ListParagraph"/>
        <w:numPr>
          <w:ilvl w:val="2"/>
          <w:numId w:val="9"/>
        </w:numPr>
        <w:autoSpaceDE w:val="0"/>
        <w:autoSpaceDN w:val="0"/>
        <w:adjustRightInd w:val="0"/>
        <w:rPr>
          <w:b/>
          <w:bCs/>
          <w:sz w:val="22"/>
          <w:szCs w:val="22"/>
        </w:rPr>
      </w:pPr>
      <w:r w:rsidRPr="00F25C0A">
        <w:rPr>
          <w:b/>
          <w:bCs/>
          <w:sz w:val="22"/>
          <w:szCs w:val="22"/>
        </w:rPr>
        <w:t>Anterior nares specimen</w:t>
      </w:r>
    </w:p>
    <w:p w14:paraId="5AFB2224" w14:textId="77777777" w:rsidR="001A13A6" w:rsidRDefault="001A13A6" w:rsidP="001A13A6">
      <w:pPr>
        <w:pStyle w:val="ListParagraph"/>
        <w:numPr>
          <w:ilvl w:val="3"/>
          <w:numId w:val="9"/>
        </w:numPr>
        <w:autoSpaceDE w:val="0"/>
        <w:autoSpaceDN w:val="0"/>
        <w:adjustRightInd w:val="0"/>
        <w:rPr>
          <w:bCs/>
          <w:sz w:val="22"/>
          <w:szCs w:val="22"/>
        </w:rPr>
      </w:pPr>
      <w:r w:rsidRPr="00F25C0A">
        <w:rPr>
          <w:bCs/>
          <w:sz w:val="22"/>
          <w:szCs w:val="22"/>
        </w:rPr>
        <w:t>Using a flocked or spun polyester swab, insert the swab at least 1 cm (0.5 inch) inside the nostril (naris) and firmly sample the nasal membrane by rotating the swab and leaving in place for 10 to 15 seconds. Sample both nostrils with same swab.</w:t>
      </w:r>
    </w:p>
    <w:p w14:paraId="6F599AA3" w14:textId="77777777" w:rsidR="00C1075D" w:rsidRPr="00F25C0A" w:rsidRDefault="00C1075D" w:rsidP="00C1075D">
      <w:pPr>
        <w:pStyle w:val="ListParagraph"/>
        <w:autoSpaceDE w:val="0"/>
        <w:autoSpaceDN w:val="0"/>
        <w:adjustRightInd w:val="0"/>
        <w:ind w:left="2880"/>
        <w:rPr>
          <w:bCs/>
          <w:sz w:val="22"/>
          <w:szCs w:val="22"/>
        </w:rPr>
      </w:pPr>
    </w:p>
    <w:p w14:paraId="5B8E5E11" w14:textId="77777777" w:rsidR="001A13A6" w:rsidRPr="00F25C0A" w:rsidRDefault="001A13A6" w:rsidP="001A13A6">
      <w:pPr>
        <w:pStyle w:val="ListParagraph"/>
        <w:numPr>
          <w:ilvl w:val="2"/>
          <w:numId w:val="9"/>
        </w:numPr>
        <w:autoSpaceDE w:val="0"/>
        <w:autoSpaceDN w:val="0"/>
        <w:adjustRightInd w:val="0"/>
        <w:rPr>
          <w:bCs/>
          <w:sz w:val="22"/>
          <w:szCs w:val="22"/>
        </w:rPr>
      </w:pPr>
      <w:r w:rsidRPr="00F25C0A">
        <w:rPr>
          <w:b/>
          <w:bCs/>
          <w:sz w:val="22"/>
          <w:szCs w:val="22"/>
        </w:rPr>
        <w:t>Nasopharyngeal wash/aspirate or nasal wash/aspirate</w:t>
      </w:r>
    </w:p>
    <w:p w14:paraId="7FBB9FF1" w14:textId="77777777" w:rsidR="001A13A6" w:rsidRDefault="001A13A6" w:rsidP="001A13A6">
      <w:pPr>
        <w:pStyle w:val="ListParagraph"/>
        <w:numPr>
          <w:ilvl w:val="3"/>
          <w:numId w:val="9"/>
        </w:numPr>
        <w:autoSpaceDE w:val="0"/>
        <w:autoSpaceDN w:val="0"/>
        <w:adjustRightInd w:val="0"/>
        <w:rPr>
          <w:bCs/>
          <w:sz w:val="22"/>
          <w:szCs w:val="22"/>
        </w:rPr>
      </w:pPr>
      <w:r w:rsidRPr="00FF4450">
        <w:rPr>
          <w:bCs/>
          <w:sz w:val="22"/>
          <w:szCs w:val="22"/>
        </w:rPr>
        <w:t>Attach catheter to suction apparatus. Have the patient sit with head tilted slightly backward. Instill 1 mL-1.5 mL of non-bacteriostatic saline (pH 7.0) into one nostril. Insert the tubing into the nostril parallel to the palate (not upwards). Catheter should reach depth equal to distance from nostrils to outer opening of ear. Begin gentle suction/aspiration and remove catheter while rotating it gently. Place specimen in a sterile viral transport media tube.</w:t>
      </w:r>
    </w:p>
    <w:p w14:paraId="5BF3E4B9" w14:textId="77777777" w:rsidR="00C1075D" w:rsidRPr="00F25C0A" w:rsidRDefault="00C1075D" w:rsidP="00C1075D">
      <w:pPr>
        <w:pStyle w:val="ListParagraph"/>
        <w:autoSpaceDE w:val="0"/>
        <w:autoSpaceDN w:val="0"/>
        <w:adjustRightInd w:val="0"/>
        <w:ind w:left="2880"/>
        <w:rPr>
          <w:bCs/>
          <w:sz w:val="22"/>
          <w:szCs w:val="22"/>
        </w:rPr>
      </w:pPr>
    </w:p>
    <w:p w14:paraId="369A76EF" w14:textId="77777777" w:rsidR="001A13A6" w:rsidRPr="00F25C0A" w:rsidRDefault="001A13A6" w:rsidP="001A13A6">
      <w:pPr>
        <w:pStyle w:val="ListParagraph"/>
        <w:numPr>
          <w:ilvl w:val="2"/>
          <w:numId w:val="9"/>
        </w:numPr>
        <w:autoSpaceDE w:val="0"/>
        <w:autoSpaceDN w:val="0"/>
        <w:adjustRightInd w:val="0"/>
        <w:rPr>
          <w:b/>
          <w:bCs/>
          <w:sz w:val="22"/>
          <w:szCs w:val="22"/>
        </w:rPr>
      </w:pPr>
      <w:r w:rsidRPr="00F25C0A">
        <w:rPr>
          <w:b/>
          <w:bCs/>
          <w:sz w:val="22"/>
          <w:szCs w:val="22"/>
        </w:rPr>
        <w:t>B</w:t>
      </w:r>
      <w:r w:rsidR="00D34A31">
        <w:rPr>
          <w:b/>
          <w:bCs/>
          <w:sz w:val="22"/>
          <w:szCs w:val="22"/>
        </w:rPr>
        <w:t>ronchial/</w:t>
      </w:r>
      <w:r w:rsidRPr="00F25C0A">
        <w:rPr>
          <w:b/>
          <w:bCs/>
          <w:sz w:val="22"/>
          <w:szCs w:val="22"/>
        </w:rPr>
        <w:t>Lower respiratory tract</w:t>
      </w:r>
    </w:p>
    <w:p w14:paraId="5ED16D9D" w14:textId="77777777" w:rsidR="001A13A6" w:rsidRPr="00F25C0A" w:rsidRDefault="001A13A6" w:rsidP="001A13A6">
      <w:pPr>
        <w:pStyle w:val="ListParagraph"/>
        <w:numPr>
          <w:ilvl w:val="3"/>
          <w:numId w:val="9"/>
        </w:numPr>
        <w:autoSpaceDE w:val="0"/>
        <w:autoSpaceDN w:val="0"/>
        <w:adjustRightInd w:val="0"/>
        <w:rPr>
          <w:bCs/>
          <w:sz w:val="22"/>
          <w:szCs w:val="22"/>
        </w:rPr>
      </w:pPr>
      <w:r w:rsidRPr="00F25C0A">
        <w:rPr>
          <w:bCs/>
          <w:sz w:val="22"/>
          <w:szCs w:val="22"/>
        </w:rPr>
        <w:t>Bronchoalveolar lavage, tracheal aspirate, pleural fluid, lung biopsy</w:t>
      </w:r>
    </w:p>
    <w:p w14:paraId="2367021E" w14:textId="77777777" w:rsidR="001A13A6" w:rsidRPr="00F25C0A" w:rsidRDefault="001A13A6" w:rsidP="001A13A6">
      <w:pPr>
        <w:pStyle w:val="ListParagraph"/>
        <w:numPr>
          <w:ilvl w:val="4"/>
          <w:numId w:val="9"/>
        </w:numPr>
        <w:autoSpaceDE w:val="0"/>
        <w:autoSpaceDN w:val="0"/>
        <w:adjustRightInd w:val="0"/>
        <w:rPr>
          <w:bCs/>
          <w:sz w:val="22"/>
          <w:szCs w:val="22"/>
        </w:rPr>
      </w:pPr>
      <w:r w:rsidRPr="00F25C0A">
        <w:rPr>
          <w:bCs/>
          <w:sz w:val="22"/>
          <w:szCs w:val="22"/>
        </w:rPr>
        <w:t>Collect 2-3 mL into a sterile, leak-proof, screw-cap sputum collection cup or sterile dry container.</w:t>
      </w:r>
    </w:p>
    <w:p w14:paraId="41C909D2" w14:textId="77777777" w:rsidR="001A13A6" w:rsidRDefault="001A13A6" w:rsidP="001A13A6">
      <w:pPr>
        <w:pStyle w:val="ListParagraph"/>
        <w:numPr>
          <w:ilvl w:val="3"/>
          <w:numId w:val="9"/>
        </w:numPr>
        <w:autoSpaceDE w:val="0"/>
        <w:autoSpaceDN w:val="0"/>
        <w:adjustRightInd w:val="0"/>
        <w:rPr>
          <w:bCs/>
          <w:sz w:val="22"/>
          <w:szCs w:val="22"/>
        </w:rPr>
      </w:pPr>
      <w:r w:rsidRPr="00FF4450">
        <w:rPr>
          <w:bCs/>
          <w:sz w:val="22"/>
          <w:szCs w:val="22"/>
        </w:rPr>
        <w:t>Due to the increased technical skill and equipment needs, collection of specimens other than sputum from the lower respiratory tract may be limited to patients presenting with more severe disease, including people admitted to the hospital and/or fatal cases.</w:t>
      </w:r>
    </w:p>
    <w:p w14:paraId="588A9DB8" w14:textId="77777777" w:rsidR="00C1075D" w:rsidRPr="00F25C0A" w:rsidRDefault="00C1075D" w:rsidP="00C1075D">
      <w:pPr>
        <w:pStyle w:val="ListParagraph"/>
        <w:autoSpaceDE w:val="0"/>
        <w:autoSpaceDN w:val="0"/>
        <w:adjustRightInd w:val="0"/>
        <w:ind w:left="2880"/>
        <w:rPr>
          <w:bCs/>
          <w:sz w:val="22"/>
          <w:szCs w:val="22"/>
        </w:rPr>
      </w:pPr>
    </w:p>
    <w:p w14:paraId="58D19347" w14:textId="77777777" w:rsidR="001A13A6" w:rsidRPr="00F25C0A" w:rsidRDefault="001A13A6" w:rsidP="001A13A6">
      <w:pPr>
        <w:pStyle w:val="ListParagraph"/>
        <w:numPr>
          <w:ilvl w:val="2"/>
          <w:numId w:val="9"/>
        </w:numPr>
        <w:autoSpaceDE w:val="0"/>
        <w:autoSpaceDN w:val="0"/>
        <w:adjustRightInd w:val="0"/>
        <w:rPr>
          <w:b/>
          <w:bCs/>
          <w:sz w:val="22"/>
          <w:szCs w:val="22"/>
        </w:rPr>
      </w:pPr>
      <w:r w:rsidRPr="00F25C0A">
        <w:rPr>
          <w:b/>
          <w:bCs/>
          <w:sz w:val="22"/>
          <w:szCs w:val="22"/>
        </w:rPr>
        <w:t>Sputum</w:t>
      </w:r>
    </w:p>
    <w:p w14:paraId="7B0BF929" w14:textId="77777777" w:rsidR="001A13A6" w:rsidRDefault="001A13A6" w:rsidP="001A13A6">
      <w:pPr>
        <w:pStyle w:val="ListParagraph"/>
        <w:numPr>
          <w:ilvl w:val="3"/>
          <w:numId w:val="9"/>
        </w:numPr>
        <w:autoSpaceDE w:val="0"/>
        <w:autoSpaceDN w:val="0"/>
        <w:adjustRightInd w:val="0"/>
        <w:rPr>
          <w:bCs/>
          <w:sz w:val="22"/>
          <w:szCs w:val="22"/>
        </w:rPr>
      </w:pPr>
      <w:r w:rsidRPr="00FF4450">
        <w:rPr>
          <w:bCs/>
          <w:sz w:val="22"/>
          <w:szCs w:val="22"/>
        </w:rPr>
        <w:t>Educate the patient about the difference between sputum and oral secretions (saliva). Have the patient rinse the mouth with water and then expectorate deep cough sputum directly into a sterile, leak-proof, screw-cap collection cup or sterile dry container.</w:t>
      </w:r>
    </w:p>
    <w:p w14:paraId="15628917" w14:textId="77777777" w:rsidR="00C1075D" w:rsidRDefault="00C1075D" w:rsidP="00C1075D">
      <w:pPr>
        <w:pStyle w:val="ListParagraph"/>
        <w:autoSpaceDE w:val="0"/>
        <w:autoSpaceDN w:val="0"/>
        <w:adjustRightInd w:val="0"/>
        <w:ind w:left="2880"/>
        <w:rPr>
          <w:bCs/>
          <w:sz w:val="22"/>
          <w:szCs w:val="22"/>
        </w:rPr>
      </w:pPr>
    </w:p>
    <w:p w14:paraId="0032001D" w14:textId="77777777" w:rsidR="001A13A6" w:rsidRPr="00F25C0A" w:rsidRDefault="001A13A6" w:rsidP="001A13A6">
      <w:pPr>
        <w:pStyle w:val="ListParagraph"/>
        <w:numPr>
          <w:ilvl w:val="2"/>
          <w:numId w:val="9"/>
        </w:numPr>
        <w:autoSpaceDE w:val="0"/>
        <w:autoSpaceDN w:val="0"/>
        <w:adjustRightInd w:val="0"/>
        <w:rPr>
          <w:b/>
          <w:bCs/>
          <w:sz w:val="22"/>
          <w:szCs w:val="22"/>
        </w:rPr>
      </w:pPr>
      <w:r w:rsidRPr="00F25C0A">
        <w:rPr>
          <w:b/>
          <w:bCs/>
          <w:sz w:val="22"/>
          <w:szCs w:val="22"/>
        </w:rPr>
        <w:t>Saliva</w:t>
      </w:r>
    </w:p>
    <w:p w14:paraId="193B1A53" w14:textId="77777777" w:rsidR="001A13A6" w:rsidRDefault="001A13A6" w:rsidP="001A13A6">
      <w:pPr>
        <w:pStyle w:val="ListParagraph"/>
        <w:numPr>
          <w:ilvl w:val="3"/>
          <w:numId w:val="9"/>
        </w:numPr>
        <w:autoSpaceDE w:val="0"/>
        <w:autoSpaceDN w:val="0"/>
        <w:adjustRightInd w:val="0"/>
        <w:rPr>
          <w:bCs/>
          <w:sz w:val="22"/>
          <w:szCs w:val="22"/>
        </w:rPr>
      </w:pPr>
      <w:r>
        <w:rPr>
          <w:bCs/>
          <w:sz w:val="22"/>
          <w:szCs w:val="22"/>
        </w:rPr>
        <w:t>Use reference lab provided saliva collection kit and follow provided collection procedures</w:t>
      </w:r>
    </w:p>
    <w:p w14:paraId="0B6DA811" w14:textId="77777777" w:rsidR="001A13A6" w:rsidRDefault="001A13A6" w:rsidP="001A13A6">
      <w:pPr>
        <w:pStyle w:val="ListParagraph"/>
        <w:autoSpaceDE w:val="0"/>
        <w:autoSpaceDN w:val="0"/>
        <w:adjustRightInd w:val="0"/>
        <w:ind w:left="2880"/>
        <w:rPr>
          <w:bCs/>
          <w:sz w:val="22"/>
          <w:szCs w:val="22"/>
        </w:rPr>
      </w:pPr>
    </w:p>
    <w:p w14:paraId="08D541B8" w14:textId="77777777" w:rsidR="001A13A6" w:rsidRPr="00E15D2A" w:rsidRDefault="001A13A6" w:rsidP="001A13A6">
      <w:pPr>
        <w:pStyle w:val="ListParagraph"/>
        <w:numPr>
          <w:ilvl w:val="1"/>
          <w:numId w:val="9"/>
        </w:numPr>
        <w:autoSpaceDE w:val="0"/>
        <w:autoSpaceDN w:val="0"/>
        <w:adjustRightInd w:val="0"/>
        <w:rPr>
          <w:b/>
          <w:bCs/>
          <w:sz w:val="22"/>
          <w:szCs w:val="22"/>
          <w:highlight w:val="yellow"/>
        </w:rPr>
      </w:pPr>
      <w:r w:rsidRPr="00E15D2A">
        <w:rPr>
          <w:b/>
          <w:bCs/>
          <w:sz w:val="22"/>
          <w:szCs w:val="22"/>
          <w:highlight w:val="yellow"/>
        </w:rPr>
        <w:t>Personal Protective Equipment (PPE) Requirements</w:t>
      </w:r>
    </w:p>
    <w:p w14:paraId="7846D596" w14:textId="77777777" w:rsidR="001A13A6" w:rsidRPr="00E15D2A" w:rsidRDefault="001A13A6" w:rsidP="001A13A6">
      <w:pPr>
        <w:pStyle w:val="ListParagraph"/>
        <w:numPr>
          <w:ilvl w:val="2"/>
          <w:numId w:val="9"/>
        </w:numPr>
        <w:autoSpaceDE w:val="0"/>
        <w:autoSpaceDN w:val="0"/>
        <w:adjustRightInd w:val="0"/>
        <w:rPr>
          <w:bCs/>
          <w:sz w:val="22"/>
          <w:szCs w:val="22"/>
          <w:highlight w:val="yellow"/>
        </w:rPr>
      </w:pPr>
      <w:r w:rsidRPr="00E15D2A">
        <w:rPr>
          <w:bCs/>
          <w:sz w:val="22"/>
          <w:szCs w:val="22"/>
          <w:highlight w:val="yellow"/>
        </w:rPr>
        <w:t>When collecting specimens or within 6 feet of patients suspected to be infected with SARS-CoV-2, maintain proper infection control and use recommended personal protective equipment (PPE), which includes an N95 or higher-level respirator, eye protection, gloves, and a gown, when collecting specimens.</w:t>
      </w:r>
    </w:p>
    <w:p w14:paraId="507CD229" w14:textId="77777777" w:rsidR="001A13A6" w:rsidRPr="00E15D2A" w:rsidRDefault="001A13A6" w:rsidP="001A13A6">
      <w:pPr>
        <w:pStyle w:val="ListParagraph"/>
        <w:numPr>
          <w:ilvl w:val="2"/>
          <w:numId w:val="9"/>
        </w:numPr>
        <w:autoSpaceDE w:val="0"/>
        <w:autoSpaceDN w:val="0"/>
        <w:adjustRightInd w:val="0"/>
        <w:rPr>
          <w:bCs/>
          <w:sz w:val="22"/>
          <w:szCs w:val="22"/>
          <w:highlight w:val="yellow"/>
        </w:rPr>
      </w:pPr>
      <w:r w:rsidRPr="00E15D2A">
        <w:rPr>
          <w:bCs/>
          <w:sz w:val="22"/>
          <w:szCs w:val="22"/>
          <w:highlight w:val="yellow"/>
        </w:rPr>
        <w:t>For healthcare workers who are handling specimens, but are not directly involved in collection (e.g. self-collection) and not working within 6 feet of the patient, follow Standard Precautions. Healthcare personnel are recommended to wear a form of source control (facemask or cloth face covering) at all times while in the healthcare facility.</w:t>
      </w:r>
    </w:p>
    <w:p w14:paraId="5F9745E2" w14:textId="77777777" w:rsidR="00700504" w:rsidRPr="00E15D2A" w:rsidRDefault="001A13A6" w:rsidP="00700504">
      <w:pPr>
        <w:pStyle w:val="ListParagraph"/>
        <w:numPr>
          <w:ilvl w:val="2"/>
          <w:numId w:val="9"/>
        </w:numPr>
        <w:autoSpaceDE w:val="0"/>
        <w:autoSpaceDN w:val="0"/>
        <w:adjustRightInd w:val="0"/>
        <w:rPr>
          <w:bCs/>
          <w:sz w:val="22"/>
          <w:szCs w:val="22"/>
          <w:highlight w:val="yellow"/>
        </w:rPr>
      </w:pPr>
      <w:r w:rsidRPr="00E15D2A">
        <w:rPr>
          <w:bCs/>
          <w:sz w:val="22"/>
          <w:szCs w:val="22"/>
          <w:highlight w:val="yellow"/>
        </w:rPr>
        <w:t>PPE use can be minimized through patient self-collection while the healthcare provider maintains at least 6 feet of separation</w:t>
      </w:r>
    </w:p>
    <w:p w14:paraId="4960EAE2" w14:textId="77777777" w:rsidR="00700504" w:rsidRPr="00E15D2A" w:rsidRDefault="00700504" w:rsidP="00700504">
      <w:pPr>
        <w:pStyle w:val="ListParagraph"/>
        <w:numPr>
          <w:ilvl w:val="2"/>
          <w:numId w:val="9"/>
        </w:numPr>
        <w:autoSpaceDE w:val="0"/>
        <w:autoSpaceDN w:val="0"/>
        <w:adjustRightInd w:val="0"/>
        <w:rPr>
          <w:bCs/>
          <w:sz w:val="22"/>
          <w:szCs w:val="22"/>
          <w:highlight w:val="yellow"/>
        </w:rPr>
      </w:pPr>
      <w:r w:rsidRPr="00E15D2A">
        <w:rPr>
          <w:bCs/>
          <w:sz w:val="22"/>
          <w:szCs w:val="22"/>
          <w:highlight w:val="yellow"/>
        </w:rPr>
        <w:t>An Air Scrubber may be used in areas where ventilation is unavailable</w:t>
      </w:r>
      <w:r w:rsidR="00CF346B" w:rsidRPr="00E15D2A">
        <w:rPr>
          <w:bCs/>
          <w:sz w:val="22"/>
          <w:szCs w:val="22"/>
          <w:highlight w:val="yellow"/>
        </w:rPr>
        <w:t xml:space="preserve"> in closed spaces.  The door to the closed space must be closed while air scrubber is utilized.</w:t>
      </w:r>
    </w:p>
    <w:p w14:paraId="261FBCA4" w14:textId="77777777" w:rsidR="00CF346B" w:rsidRPr="00E15D2A" w:rsidRDefault="00CF346B" w:rsidP="00CF346B">
      <w:pPr>
        <w:pStyle w:val="ListParagraph"/>
        <w:numPr>
          <w:ilvl w:val="3"/>
          <w:numId w:val="9"/>
        </w:numPr>
        <w:autoSpaceDE w:val="0"/>
        <w:autoSpaceDN w:val="0"/>
        <w:adjustRightInd w:val="0"/>
        <w:rPr>
          <w:bCs/>
          <w:sz w:val="22"/>
          <w:szCs w:val="22"/>
          <w:highlight w:val="yellow"/>
        </w:rPr>
      </w:pPr>
      <w:r w:rsidRPr="00E15D2A">
        <w:rPr>
          <w:bCs/>
          <w:sz w:val="22"/>
          <w:szCs w:val="22"/>
          <w:highlight w:val="yellow"/>
        </w:rPr>
        <w:t>Turn on air scrubber prior to collection</w:t>
      </w:r>
    </w:p>
    <w:p w14:paraId="2A949F92" w14:textId="77777777" w:rsidR="00CF346B" w:rsidRPr="00E15D2A" w:rsidRDefault="00CF346B" w:rsidP="00CF346B">
      <w:pPr>
        <w:pStyle w:val="ListParagraph"/>
        <w:numPr>
          <w:ilvl w:val="3"/>
          <w:numId w:val="9"/>
        </w:numPr>
        <w:autoSpaceDE w:val="0"/>
        <w:autoSpaceDN w:val="0"/>
        <w:adjustRightInd w:val="0"/>
        <w:rPr>
          <w:bCs/>
          <w:sz w:val="22"/>
          <w:szCs w:val="22"/>
          <w:highlight w:val="yellow"/>
        </w:rPr>
      </w:pPr>
      <w:r w:rsidRPr="00E15D2A">
        <w:rPr>
          <w:bCs/>
          <w:sz w:val="22"/>
          <w:szCs w:val="22"/>
          <w:highlight w:val="yellow"/>
        </w:rPr>
        <w:lastRenderedPageBreak/>
        <w:t>After collection allow to run an additional 6 minutes in the OP draw rooms</w:t>
      </w:r>
    </w:p>
    <w:p w14:paraId="22BA5C2A" w14:textId="77777777" w:rsidR="00700504" w:rsidRPr="00E15D2A" w:rsidRDefault="00CF346B" w:rsidP="00CF346B">
      <w:pPr>
        <w:pStyle w:val="ListParagraph"/>
        <w:numPr>
          <w:ilvl w:val="3"/>
          <w:numId w:val="9"/>
        </w:numPr>
        <w:autoSpaceDE w:val="0"/>
        <w:autoSpaceDN w:val="0"/>
        <w:adjustRightInd w:val="0"/>
        <w:rPr>
          <w:bCs/>
          <w:sz w:val="22"/>
          <w:szCs w:val="22"/>
          <w:highlight w:val="yellow"/>
        </w:rPr>
      </w:pPr>
      <w:r w:rsidRPr="00E15D2A">
        <w:rPr>
          <w:bCs/>
          <w:sz w:val="22"/>
          <w:szCs w:val="22"/>
          <w:highlight w:val="yellow"/>
        </w:rPr>
        <w:t>Wipe down surfaces.</w:t>
      </w:r>
    </w:p>
    <w:p w14:paraId="626E6C9B" w14:textId="77777777" w:rsidR="00CF346B" w:rsidRPr="00E15D2A" w:rsidRDefault="00CF346B" w:rsidP="00CF346B">
      <w:pPr>
        <w:pStyle w:val="ListParagraph"/>
        <w:autoSpaceDE w:val="0"/>
        <w:autoSpaceDN w:val="0"/>
        <w:adjustRightInd w:val="0"/>
        <w:ind w:left="2880"/>
        <w:rPr>
          <w:bCs/>
          <w:sz w:val="22"/>
          <w:szCs w:val="22"/>
          <w:highlight w:val="yellow"/>
        </w:rPr>
      </w:pPr>
    </w:p>
    <w:p w14:paraId="41495CBC" w14:textId="77777777" w:rsidR="00700504" w:rsidRPr="00E15D2A" w:rsidRDefault="00700504" w:rsidP="00700504">
      <w:pPr>
        <w:pStyle w:val="ListParagraph"/>
        <w:autoSpaceDE w:val="0"/>
        <w:autoSpaceDN w:val="0"/>
        <w:adjustRightInd w:val="0"/>
        <w:ind w:left="2160"/>
        <w:rPr>
          <w:bCs/>
          <w:sz w:val="22"/>
          <w:szCs w:val="22"/>
          <w:highlight w:val="yellow"/>
        </w:rPr>
      </w:pPr>
    </w:p>
    <w:p w14:paraId="36777DC0" w14:textId="77777777" w:rsidR="00700504" w:rsidRPr="00E15D2A" w:rsidRDefault="00700504" w:rsidP="00700504">
      <w:pPr>
        <w:pStyle w:val="ListParagraph"/>
        <w:autoSpaceDE w:val="0"/>
        <w:autoSpaceDN w:val="0"/>
        <w:adjustRightInd w:val="0"/>
        <w:ind w:left="2160"/>
        <w:rPr>
          <w:bCs/>
          <w:highlight w:val="yellow"/>
        </w:rPr>
      </w:pPr>
      <w:r w:rsidRPr="00E15D2A">
        <w:rPr>
          <w:bCs/>
          <w:highlight w:val="yellow"/>
        </w:rPr>
        <w:t>Respiratory Specimen Collection PPE Requirements</w:t>
      </w:r>
    </w:p>
    <w:p w14:paraId="21200658" w14:textId="77777777" w:rsidR="00700504" w:rsidRPr="00E15D2A" w:rsidRDefault="00700504" w:rsidP="00700504">
      <w:pPr>
        <w:pStyle w:val="ListParagraph"/>
        <w:autoSpaceDE w:val="0"/>
        <w:autoSpaceDN w:val="0"/>
        <w:adjustRightInd w:val="0"/>
        <w:ind w:left="2160"/>
        <w:rPr>
          <w:bCs/>
          <w:sz w:val="22"/>
          <w:szCs w:val="22"/>
          <w:highlight w:val="yellow"/>
        </w:rPr>
      </w:pPr>
    </w:p>
    <w:tbl>
      <w:tblPr>
        <w:tblStyle w:val="TableGrid"/>
        <w:tblW w:w="0" w:type="auto"/>
        <w:tblInd w:w="535" w:type="dxa"/>
        <w:tblLook w:val="04A0" w:firstRow="1" w:lastRow="0" w:firstColumn="1" w:lastColumn="0" w:noHBand="0" w:noVBand="1"/>
      </w:tblPr>
      <w:tblGrid>
        <w:gridCol w:w="2250"/>
        <w:gridCol w:w="1216"/>
        <w:gridCol w:w="1455"/>
        <w:gridCol w:w="1448"/>
        <w:gridCol w:w="1573"/>
        <w:gridCol w:w="1449"/>
      </w:tblGrid>
      <w:tr w:rsidR="00700504" w:rsidRPr="00E15D2A" w14:paraId="2979D782" w14:textId="77777777" w:rsidTr="00700504">
        <w:tc>
          <w:tcPr>
            <w:tcW w:w="2250" w:type="dxa"/>
          </w:tcPr>
          <w:p w14:paraId="64A01E68"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Collection Type</w:t>
            </w:r>
          </w:p>
        </w:tc>
        <w:tc>
          <w:tcPr>
            <w:tcW w:w="1216" w:type="dxa"/>
          </w:tcPr>
          <w:p w14:paraId="6DBB5DB6"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Gloves</w:t>
            </w:r>
          </w:p>
        </w:tc>
        <w:tc>
          <w:tcPr>
            <w:tcW w:w="1455" w:type="dxa"/>
          </w:tcPr>
          <w:p w14:paraId="4806F877"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Mask – Surgical</w:t>
            </w:r>
          </w:p>
        </w:tc>
        <w:tc>
          <w:tcPr>
            <w:tcW w:w="1448" w:type="dxa"/>
          </w:tcPr>
          <w:p w14:paraId="4E76D60E"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N-95 or PAPR</w:t>
            </w:r>
          </w:p>
        </w:tc>
        <w:tc>
          <w:tcPr>
            <w:tcW w:w="1573" w:type="dxa"/>
          </w:tcPr>
          <w:p w14:paraId="3FFEB559"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Goggles/Shield</w:t>
            </w:r>
          </w:p>
        </w:tc>
        <w:tc>
          <w:tcPr>
            <w:tcW w:w="1449" w:type="dxa"/>
          </w:tcPr>
          <w:p w14:paraId="297FDE24"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Gown</w:t>
            </w:r>
          </w:p>
        </w:tc>
      </w:tr>
      <w:tr w:rsidR="00700504" w:rsidRPr="00E15D2A" w14:paraId="7B1E9ED5" w14:textId="77777777" w:rsidTr="00700504">
        <w:trPr>
          <w:trHeight w:val="440"/>
        </w:trPr>
        <w:tc>
          <w:tcPr>
            <w:tcW w:w="2250" w:type="dxa"/>
          </w:tcPr>
          <w:p w14:paraId="424D5431" w14:textId="77777777" w:rsidR="00700504" w:rsidRPr="00E15D2A" w:rsidRDefault="00700504" w:rsidP="00700504">
            <w:pPr>
              <w:pStyle w:val="ListParagraph"/>
              <w:autoSpaceDE w:val="0"/>
              <w:autoSpaceDN w:val="0"/>
              <w:adjustRightInd w:val="0"/>
              <w:ind w:left="0"/>
              <w:rPr>
                <w:bCs/>
                <w:sz w:val="22"/>
                <w:szCs w:val="22"/>
                <w:highlight w:val="yellow"/>
              </w:rPr>
            </w:pPr>
            <w:r w:rsidRPr="00E15D2A">
              <w:rPr>
                <w:bCs/>
                <w:sz w:val="22"/>
                <w:szCs w:val="22"/>
                <w:highlight w:val="yellow"/>
              </w:rPr>
              <w:t>Patient – Self Collect</w:t>
            </w:r>
          </w:p>
        </w:tc>
        <w:tc>
          <w:tcPr>
            <w:tcW w:w="1216" w:type="dxa"/>
          </w:tcPr>
          <w:p w14:paraId="2BA3BDF5"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x</w:t>
            </w:r>
          </w:p>
        </w:tc>
        <w:tc>
          <w:tcPr>
            <w:tcW w:w="1455" w:type="dxa"/>
          </w:tcPr>
          <w:p w14:paraId="43BB37E5" w14:textId="77777777" w:rsidR="00700504" w:rsidRPr="00E15D2A" w:rsidRDefault="00700504" w:rsidP="00700504">
            <w:pPr>
              <w:pStyle w:val="ListParagraph"/>
              <w:autoSpaceDE w:val="0"/>
              <w:autoSpaceDN w:val="0"/>
              <w:adjustRightInd w:val="0"/>
              <w:ind w:left="0"/>
              <w:jc w:val="center"/>
              <w:rPr>
                <w:bCs/>
                <w:sz w:val="22"/>
                <w:szCs w:val="22"/>
                <w:highlight w:val="yellow"/>
              </w:rPr>
            </w:pPr>
          </w:p>
        </w:tc>
        <w:tc>
          <w:tcPr>
            <w:tcW w:w="1448" w:type="dxa"/>
          </w:tcPr>
          <w:p w14:paraId="005C2882" w14:textId="77777777" w:rsidR="00700504" w:rsidRPr="00E15D2A" w:rsidRDefault="00700504" w:rsidP="00700504">
            <w:pPr>
              <w:pStyle w:val="ListParagraph"/>
              <w:autoSpaceDE w:val="0"/>
              <w:autoSpaceDN w:val="0"/>
              <w:adjustRightInd w:val="0"/>
              <w:ind w:left="0"/>
              <w:jc w:val="center"/>
              <w:rPr>
                <w:bCs/>
                <w:sz w:val="22"/>
                <w:szCs w:val="22"/>
                <w:highlight w:val="yellow"/>
              </w:rPr>
            </w:pPr>
          </w:p>
        </w:tc>
        <w:tc>
          <w:tcPr>
            <w:tcW w:w="1573" w:type="dxa"/>
          </w:tcPr>
          <w:p w14:paraId="6A8AAE4F" w14:textId="77777777" w:rsidR="00700504" w:rsidRPr="00E15D2A" w:rsidRDefault="00700504" w:rsidP="00700504">
            <w:pPr>
              <w:pStyle w:val="ListParagraph"/>
              <w:autoSpaceDE w:val="0"/>
              <w:autoSpaceDN w:val="0"/>
              <w:adjustRightInd w:val="0"/>
              <w:ind w:left="0"/>
              <w:jc w:val="center"/>
              <w:rPr>
                <w:bCs/>
                <w:sz w:val="22"/>
                <w:szCs w:val="22"/>
                <w:highlight w:val="yellow"/>
              </w:rPr>
            </w:pPr>
          </w:p>
        </w:tc>
        <w:tc>
          <w:tcPr>
            <w:tcW w:w="1449" w:type="dxa"/>
          </w:tcPr>
          <w:p w14:paraId="654DF78C" w14:textId="77777777" w:rsidR="00700504" w:rsidRPr="00E15D2A" w:rsidRDefault="00700504" w:rsidP="00700504">
            <w:pPr>
              <w:pStyle w:val="ListParagraph"/>
              <w:autoSpaceDE w:val="0"/>
              <w:autoSpaceDN w:val="0"/>
              <w:adjustRightInd w:val="0"/>
              <w:ind w:left="0"/>
              <w:jc w:val="center"/>
              <w:rPr>
                <w:bCs/>
                <w:sz w:val="22"/>
                <w:szCs w:val="22"/>
                <w:highlight w:val="yellow"/>
              </w:rPr>
            </w:pPr>
          </w:p>
        </w:tc>
      </w:tr>
      <w:tr w:rsidR="00700504" w:rsidRPr="00E15D2A" w14:paraId="20A8A68F" w14:textId="77777777" w:rsidTr="00700504">
        <w:tc>
          <w:tcPr>
            <w:tcW w:w="2250" w:type="dxa"/>
          </w:tcPr>
          <w:p w14:paraId="60C03D93" w14:textId="77777777" w:rsidR="00700504" w:rsidRPr="00E15D2A" w:rsidRDefault="00700504" w:rsidP="00700504">
            <w:pPr>
              <w:pStyle w:val="ListParagraph"/>
              <w:autoSpaceDE w:val="0"/>
              <w:autoSpaceDN w:val="0"/>
              <w:adjustRightInd w:val="0"/>
              <w:ind w:left="0"/>
              <w:rPr>
                <w:bCs/>
                <w:sz w:val="22"/>
                <w:szCs w:val="22"/>
                <w:highlight w:val="yellow"/>
              </w:rPr>
            </w:pPr>
            <w:r w:rsidRPr="00E15D2A">
              <w:rPr>
                <w:bCs/>
                <w:sz w:val="22"/>
                <w:szCs w:val="22"/>
                <w:highlight w:val="yellow"/>
              </w:rPr>
              <w:t>Non-Symptomatic – Staff Collect</w:t>
            </w:r>
          </w:p>
        </w:tc>
        <w:tc>
          <w:tcPr>
            <w:tcW w:w="1216" w:type="dxa"/>
          </w:tcPr>
          <w:p w14:paraId="4A071555"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x</w:t>
            </w:r>
          </w:p>
        </w:tc>
        <w:tc>
          <w:tcPr>
            <w:tcW w:w="1455" w:type="dxa"/>
          </w:tcPr>
          <w:p w14:paraId="0CCA2B0F"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x</w:t>
            </w:r>
          </w:p>
        </w:tc>
        <w:tc>
          <w:tcPr>
            <w:tcW w:w="1448" w:type="dxa"/>
          </w:tcPr>
          <w:p w14:paraId="42E2955F" w14:textId="77777777" w:rsidR="00700504" w:rsidRPr="00E15D2A" w:rsidRDefault="00700504" w:rsidP="00700504">
            <w:pPr>
              <w:pStyle w:val="ListParagraph"/>
              <w:autoSpaceDE w:val="0"/>
              <w:autoSpaceDN w:val="0"/>
              <w:adjustRightInd w:val="0"/>
              <w:ind w:left="0"/>
              <w:jc w:val="center"/>
              <w:rPr>
                <w:bCs/>
                <w:sz w:val="22"/>
                <w:szCs w:val="22"/>
                <w:highlight w:val="yellow"/>
              </w:rPr>
            </w:pPr>
          </w:p>
        </w:tc>
        <w:tc>
          <w:tcPr>
            <w:tcW w:w="1573" w:type="dxa"/>
          </w:tcPr>
          <w:p w14:paraId="09893CD3" w14:textId="77777777" w:rsidR="00700504" w:rsidRPr="00E15D2A" w:rsidRDefault="00700504" w:rsidP="00700504">
            <w:pPr>
              <w:pStyle w:val="ListParagraph"/>
              <w:autoSpaceDE w:val="0"/>
              <w:autoSpaceDN w:val="0"/>
              <w:adjustRightInd w:val="0"/>
              <w:ind w:left="0"/>
              <w:jc w:val="center"/>
              <w:rPr>
                <w:bCs/>
                <w:sz w:val="22"/>
                <w:szCs w:val="22"/>
                <w:highlight w:val="yellow"/>
              </w:rPr>
            </w:pPr>
          </w:p>
        </w:tc>
        <w:tc>
          <w:tcPr>
            <w:tcW w:w="1449" w:type="dxa"/>
          </w:tcPr>
          <w:p w14:paraId="70EF1FEC" w14:textId="77777777" w:rsidR="00700504" w:rsidRPr="00E15D2A" w:rsidRDefault="00700504" w:rsidP="00700504">
            <w:pPr>
              <w:pStyle w:val="ListParagraph"/>
              <w:autoSpaceDE w:val="0"/>
              <w:autoSpaceDN w:val="0"/>
              <w:adjustRightInd w:val="0"/>
              <w:ind w:left="0"/>
              <w:jc w:val="center"/>
              <w:rPr>
                <w:bCs/>
                <w:sz w:val="22"/>
                <w:szCs w:val="22"/>
                <w:highlight w:val="yellow"/>
              </w:rPr>
            </w:pPr>
          </w:p>
        </w:tc>
      </w:tr>
      <w:tr w:rsidR="00700504" w14:paraId="5E95E6B4" w14:textId="77777777" w:rsidTr="00700504">
        <w:tc>
          <w:tcPr>
            <w:tcW w:w="2250" w:type="dxa"/>
          </w:tcPr>
          <w:p w14:paraId="010A7F50" w14:textId="77777777" w:rsidR="00700504" w:rsidRPr="00E15D2A" w:rsidRDefault="00700504" w:rsidP="00700504">
            <w:pPr>
              <w:pStyle w:val="ListParagraph"/>
              <w:autoSpaceDE w:val="0"/>
              <w:autoSpaceDN w:val="0"/>
              <w:adjustRightInd w:val="0"/>
              <w:ind w:left="0"/>
              <w:rPr>
                <w:bCs/>
                <w:sz w:val="22"/>
                <w:szCs w:val="22"/>
                <w:highlight w:val="yellow"/>
              </w:rPr>
            </w:pPr>
            <w:r w:rsidRPr="00E15D2A">
              <w:rPr>
                <w:bCs/>
                <w:sz w:val="22"/>
                <w:szCs w:val="22"/>
                <w:highlight w:val="yellow"/>
              </w:rPr>
              <w:t>Symptomatic – Staff Collect</w:t>
            </w:r>
          </w:p>
        </w:tc>
        <w:tc>
          <w:tcPr>
            <w:tcW w:w="1216" w:type="dxa"/>
          </w:tcPr>
          <w:p w14:paraId="0AC2DEDB"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x</w:t>
            </w:r>
          </w:p>
        </w:tc>
        <w:tc>
          <w:tcPr>
            <w:tcW w:w="1455" w:type="dxa"/>
          </w:tcPr>
          <w:p w14:paraId="70EC3346" w14:textId="77777777" w:rsidR="00700504" w:rsidRPr="00E15D2A" w:rsidRDefault="00700504" w:rsidP="00700504">
            <w:pPr>
              <w:pStyle w:val="ListParagraph"/>
              <w:autoSpaceDE w:val="0"/>
              <w:autoSpaceDN w:val="0"/>
              <w:adjustRightInd w:val="0"/>
              <w:ind w:left="0"/>
              <w:jc w:val="center"/>
              <w:rPr>
                <w:bCs/>
                <w:sz w:val="22"/>
                <w:szCs w:val="22"/>
                <w:highlight w:val="yellow"/>
              </w:rPr>
            </w:pPr>
          </w:p>
        </w:tc>
        <w:tc>
          <w:tcPr>
            <w:tcW w:w="1448" w:type="dxa"/>
          </w:tcPr>
          <w:p w14:paraId="30780738"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x</w:t>
            </w:r>
          </w:p>
        </w:tc>
        <w:tc>
          <w:tcPr>
            <w:tcW w:w="1573" w:type="dxa"/>
          </w:tcPr>
          <w:p w14:paraId="07B9B81A" w14:textId="77777777" w:rsidR="00700504" w:rsidRPr="00E15D2A" w:rsidRDefault="00700504" w:rsidP="00700504">
            <w:pPr>
              <w:pStyle w:val="ListParagraph"/>
              <w:autoSpaceDE w:val="0"/>
              <w:autoSpaceDN w:val="0"/>
              <w:adjustRightInd w:val="0"/>
              <w:ind w:left="0"/>
              <w:jc w:val="center"/>
              <w:rPr>
                <w:bCs/>
                <w:sz w:val="22"/>
                <w:szCs w:val="22"/>
                <w:highlight w:val="yellow"/>
              </w:rPr>
            </w:pPr>
            <w:r w:rsidRPr="00E15D2A">
              <w:rPr>
                <w:bCs/>
                <w:sz w:val="22"/>
                <w:szCs w:val="22"/>
                <w:highlight w:val="yellow"/>
              </w:rPr>
              <w:t>x</w:t>
            </w:r>
          </w:p>
        </w:tc>
        <w:tc>
          <w:tcPr>
            <w:tcW w:w="1449" w:type="dxa"/>
          </w:tcPr>
          <w:p w14:paraId="7AD87F3B" w14:textId="77777777" w:rsidR="00700504" w:rsidRDefault="00700504" w:rsidP="00700504">
            <w:pPr>
              <w:pStyle w:val="ListParagraph"/>
              <w:autoSpaceDE w:val="0"/>
              <w:autoSpaceDN w:val="0"/>
              <w:adjustRightInd w:val="0"/>
              <w:ind w:left="0"/>
              <w:jc w:val="center"/>
              <w:rPr>
                <w:bCs/>
                <w:sz w:val="22"/>
                <w:szCs w:val="22"/>
              </w:rPr>
            </w:pPr>
            <w:r w:rsidRPr="00E15D2A">
              <w:rPr>
                <w:bCs/>
                <w:sz w:val="22"/>
                <w:szCs w:val="22"/>
                <w:highlight w:val="yellow"/>
              </w:rPr>
              <w:t>x</w:t>
            </w:r>
          </w:p>
        </w:tc>
      </w:tr>
    </w:tbl>
    <w:p w14:paraId="37C0735D" w14:textId="77777777" w:rsidR="00700504" w:rsidRPr="009E4467" w:rsidRDefault="00700504" w:rsidP="00700504">
      <w:pPr>
        <w:pStyle w:val="ListParagraph"/>
        <w:autoSpaceDE w:val="0"/>
        <w:autoSpaceDN w:val="0"/>
        <w:adjustRightInd w:val="0"/>
        <w:ind w:left="1080"/>
        <w:rPr>
          <w:bCs/>
          <w:sz w:val="22"/>
          <w:szCs w:val="22"/>
        </w:rPr>
      </w:pPr>
    </w:p>
    <w:p w14:paraId="6D1686CE" w14:textId="77777777" w:rsidR="00C1075D" w:rsidRDefault="00C1075D" w:rsidP="001A13A6">
      <w:pPr>
        <w:autoSpaceDE w:val="0"/>
        <w:autoSpaceDN w:val="0"/>
        <w:adjustRightInd w:val="0"/>
        <w:ind w:left="1440"/>
        <w:rPr>
          <w:bCs/>
          <w:sz w:val="22"/>
          <w:szCs w:val="22"/>
        </w:rPr>
      </w:pPr>
    </w:p>
    <w:p w14:paraId="143E8CBE" w14:textId="77777777" w:rsidR="00C1075D" w:rsidRPr="009E4467" w:rsidRDefault="00C1075D" w:rsidP="001A13A6">
      <w:pPr>
        <w:autoSpaceDE w:val="0"/>
        <w:autoSpaceDN w:val="0"/>
        <w:adjustRightInd w:val="0"/>
        <w:ind w:left="1440"/>
        <w:rPr>
          <w:bCs/>
          <w:sz w:val="22"/>
          <w:szCs w:val="22"/>
        </w:rPr>
      </w:pPr>
    </w:p>
    <w:p w14:paraId="3EAA0AE6" w14:textId="77777777" w:rsidR="001A13A6" w:rsidRPr="00E15D2A" w:rsidRDefault="001A13A6" w:rsidP="001A13A6">
      <w:pPr>
        <w:pStyle w:val="ListParagraph"/>
        <w:numPr>
          <w:ilvl w:val="1"/>
          <w:numId w:val="9"/>
        </w:numPr>
        <w:autoSpaceDE w:val="0"/>
        <w:autoSpaceDN w:val="0"/>
        <w:adjustRightInd w:val="0"/>
        <w:rPr>
          <w:b/>
          <w:bCs/>
          <w:sz w:val="22"/>
          <w:szCs w:val="22"/>
          <w:highlight w:val="yellow"/>
        </w:rPr>
      </w:pPr>
      <w:r w:rsidRPr="00E15D2A">
        <w:rPr>
          <w:b/>
          <w:bCs/>
          <w:sz w:val="22"/>
          <w:szCs w:val="22"/>
          <w:highlight w:val="yellow"/>
        </w:rPr>
        <w:t>Handling Sterile Swabs Properly for Upper Respiratory Sample Collection</w:t>
      </w:r>
    </w:p>
    <w:p w14:paraId="1C70E409" w14:textId="77777777" w:rsidR="001A13A6" w:rsidRPr="00E15D2A" w:rsidRDefault="001A13A6" w:rsidP="001A13A6">
      <w:pPr>
        <w:pStyle w:val="ListParagraph"/>
        <w:numPr>
          <w:ilvl w:val="2"/>
          <w:numId w:val="9"/>
        </w:numPr>
        <w:autoSpaceDE w:val="0"/>
        <w:autoSpaceDN w:val="0"/>
        <w:adjustRightInd w:val="0"/>
        <w:rPr>
          <w:bCs/>
          <w:sz w:val="22"/>
          <w:szCs w:val="22"/>
          <w:highlight w:val="yellow"/>
        </w:rPr>
      </w:pPr>
      <w:r w:rsidRPr="00E15D2A">
        <w:rPr>
          <w:bCs/>
          <w:sz w:val="22"/>
          <w:szCs w:val="22"/>
          <w:highlight w:val="yellow"/>
        </w:rPr>
        <w:t xml:space="preserve">Before engaging with patients and while wearing a clean set of protective gloves, distribute individual swabs from the bulk container into individual disposable plastic </w:t>
      </w:r>
    </w:p>
    <w:p w14:paraId="31E8F5E0" w14:textId="77777777" w:rsidR="001A13A6" w:rsidRPr="00E15D2A" w:rsidRDefault="001A13A6" w:rsidP="001A13A6">
      <w:pPr>
        <w:pStyle w:val="ListParagraph"/>
        <w:numPr>
          <w:ilvl w:val="2"/>
          <w:numId w:val="9"/>
        </w:numPr>
        <w:autoSpaceDE w:val="0"/>
        <w:autoSpaceDN w:val="0"/>
        <w:adjustRightInd w:val="0"/>
        <w:rPr>
          <w:bCs/>
          <w:sz w:val="22"/>
          <w:szCs w:val="22"/>
          <w:highlight w:val="yellow"/>
          <w:u w:val="single"/>
        </w:rPr>
      </w:pPr>
      <w:r w:rsidRPr="00E15D2A">
        <w:rPr>
          <w:bCs/>
          <w:sz w:val="22"/>
          <w:szCs w:val="22"/>
          <w:highlight w:val="yellow"/>
          <w:u w:val="single"/>
        </w:rPr>
        <w:t>When patients are self-collecting their swabs under clinical supervision:</w:t>
      </w:r>
    </w:p>
    <w:p w14:paraId="512D6C97" w14:textId="77777777" w:rsidR="001A13A6" w:rsidRPr="00E15D2A" w:rsidRDefault="001A13A6" w:rsidP="001A13A6">
      <w:pPr>
        <w:pStyle w:val="ListParagraph"/>
        <w:numPr>
          <w:ilvl w:val="3"/>
          <w:numId w:val="9"/>
        </w:numPr>
        <w:autoSpaceDE w:val="0"/>
        <w:autoSpaceDN w:val="0"/>
        <w:adjustRightInd w:val="0"/>
        <w:rPr>
          <w:bCs/>
          <w:sz w:val="22"/>
          <w:szCs w:val="22"/>
          <w:highlight w:val="yellow"/>
        </w:rPr>
      </w:pPr>
      <w:r w:rsidRPr="00E15D2A">
        <w:rPr>
          <w:bCs/>
          <w:sz w:val="22"/>
          <w:szCs w:val="22"/>
          <w:highlight w:val="yellow"/>
        </w:rPr>
        <w:t>Hand a swab to the patient only while wearing a clean set of protective gloves.</w:t>
      </w:r>
    </w:p>
    <w:p w14:paraId="56ABAB01" w14:textId="77777777" w:rsidR="001A13A6" w:rsidRPr="00E15D2A" w:rsidRDefault="001A13A6" w:rsidP="001A13A6">
      <w:pPr>
        <w:pStyle w:val="ListParagraph"/>
        <w:numPr>
          <w:ilvl w:val="3"/>
          <w:numId w:val="9"/>
        </w:numPr>
        <w:autoSpaceDE w:val="0"/>
        <w:autoSpaceDN w:val="0"/>
        <w:adjustRightInd w:val="0"/>
        <w:rPr>
          <w:bCs/>
          <w:sz w:val="22"/>
          <w:szCs w:val="22"/>
          <w:highlight w:val="yellow"/>
        </w:rPr>
      </w:pPr>
      <w:r w:rsidRPr="00E15D2A">
        <w:rPr>
          <w:bCs/>
          <w:sz w:val="22"/>
          <w:szCs w:val="22"/>
          <w:highlight w:val="yellow"/>
        </w:rPr>
        <w:t>The patient can then self-swab and place the swab in transport media or sterile transport device and seal.</w:t>
      </w:r>
    </w:p>
    <w:p w14:paraId="12CC3084" w14:textId="77777777" w:rsidR="001A13A6" w:rsidRPr="00E15D2A" w:rsidRDefault="001A13A6" w:rsidP="001A13A6">
      <w:pPr>
        <w:pStyle w:val="ListParagraph"/>
        <w:numPr>
          <w:ilvl w:val="3"/>
          <w:numId w:val="9"/>
        </w:numPr>
        <w:autoSpaceDE w:val="0"/>
        <w:autoSpaceDN w:val="0"/>
        <w:adjustRightInd w:val="0"/>
        <w:rPr>
          <w:bCs/>
          <w:sz w:val="22"/>
          <w:szCs w:val="22"/>
          <w:highlight w:val="yellow"/>
        </w:rPr>
      </w:pPr>
      <w:r w:rsidRPr="00E15D2A">
        <w:rPr>
          <w:bCs/>
          <w:sz w:val="22"/>
          <w:szCs w:val="22"/>
          <w:highlight w:val="yellow"/>
        </w:rPr>
        <w:t>If the patient needs assistance, you can help the patient place the swab into transport media or a transport device and seal it.</w:t>
      </w:r>
    </w:p>
    <w:p w14:paraId="3E6DE1B0" w14:textId="77777777" w:rsidR="00700504" w:rsidRDefault="00700504" w:rsidP="00700504">
      <w:pPr>
        <w:pStyle w:val="ListParagraph"/>
        <w:autoSpaceDE w:val="0"/>
        <w:autoSpaceDN w:val="0"/>
        <w:adjustRightInd w:val="0"/>
        <w:ind w:left="2880"/>
        <w:rPr>
          <w:bCs/>
          <w:sz w:val="22"/>
          <w:szCs w:val="22"/>
        </w:rPr>
      </w:pPr>
      <w:bookmarkStart w:id="0" w:name="_GoBack"/>
      <w:bookmarkEnd w:id="0"/>
    </w:p>
    <w:p w14:paraId="1877FD73" w14:textId="77777777" w:rsidR="00700504" w:rsidRPr="00700504" w:rsidRDefault="00700504" w:rsidP="00700504">
      <w:pPr>
        <w:autoSpaceDE w:val="0"/>
        <w:autoSpaceDN w:val="0"/>
        <w:adjustRightInd w:val="0"/>
        <w:rPr>
          <w:bCs/>
          <w:sz w:val="22"/>
          <w:szCs w:val="22"/>
        </w:rPr>
      </w:pPr>
    </w:p>
    <w:p w14:paraId="4E42D674" w14:textId="77777777" w:rsidR="00C1075D" w:rsidRDefault="00C1075D" w:rsidP="00C1075D">
      <w:pPr>
        <w:pStyle w:val="ListParagraph"/>
        <w:autoSpaceDE w:val="0"/>
        <w:autoSpaceDN w:val="0"/>
        <w:adjustRightInd w:val="0"/>
        <w:ind w:left="2880"/>
        <w:rPr>
          <w:bCs/>
          <w:sz w:val="22"/>
          <w:szCs w:val="22"/>
        </w:rPr>
      </w:pPr>
    </w:p>
    <w:p w14:paraId="752A0A63" w14:textId="77777777" w:rsidR="003B0D05" w:rsidRPr="00D34A31" w:rsidRDefault="003B0D05" w:rsidP="003B0D05">
      <w:pPr>
        <w:pStyle w:val="ListParagraph"/>
        <w:numPr>
          <w:ilvl w:val="0"/>
          <w:numId w:val="9"/>
        </w:numPr>
        <w:autoSpaceDE w:val="0"/>
        <w:autoSpaceDN w:val="0"/>
        <w:adjustRightInd w:val="0"/>
        <w:rPr>
          <w:b/>
          <w:bCs/>
          <w:sz w:val="22"/>
          <w:szCs w:val="22"/>
          <w:u w:val="single"/>
        </w:rPr>
      </w:pPr>
      <w:r w:rsidRPr="00D34A31">
        <w:rPr>
          <w:b/>
          <w:bCs/>
          <w:sz w:val="22"/>
          <w:szCs w:val="22"/>
          <w:u w:val="single"/>
        </w:rPr>
        <w:t>Sources</w:t>
      </w:r>
    </w:p>
    <w:p w14:paraId="68DD6788" w14:textId="77777777" w:rsidR="003B0D05" w:rsidRPr="003B0D05" w:rsidRDefault="003B0D05" w:rsidP="003B0D05">
      <w:pPr>
        <w:pStyle w:val="ListParagraph"/>
        <w:numPr>
          <w:ilvl w:val="1"/>
          <w:numId w:val="9"/>
        </w:numPr>
        <w:autoSpaceDE w:val="0"/>
        <w:autoSpaceDN w:val="0"/>
        <w:adjustRightInd w:val="0"/>
        <w:rPr>
          <w:bCs/>
          <w:i/>
          <w:sz w:val="22"/>
          <w:szCs w:val="22"/>
        </w:rPr>
      </w:pPr>
      <w:r w:rsidRPr="003B0D05">
        <w:rPr>
          <w:bCs/>
          <w:i/>
          <w:sz w:val="22"/>
          <w:szCs w:val="22"/>
        </w:rPr>
        <w:t xml:space="preserve">FDA FAQs on Diagnostic Testing for SARS-CoV-2 - </w:t>
      </w:r>
      <w:hyperlink r:id="rId7" w:history="1">
        <w:r w:rsidRPr="003B0D05">
          <w:rPr>
            <w:rStyle w:val="Hyperlink"/>
            <w:bCs/>
            <w:i/>
            <w:sz w:val="22"/>
            <w:szCs w:val="22"/>
            <w:u w:val="none"/>
          </w:rPr>
          <w:t>https://www.fda.gov/medical-devices/emergencysituations-medical-devices/faqs-diagnostic-testing-sars-cov-2</w:t>
        </w:r>
      </w:hyperlink>
    </w:p>
    <w:p w14:paraId="10D9B815" w14:textId="77777777" w:rsidR="003B0D05" w:rsidRPr="003B0D05" w:rsidRDefault="003B0D05" w:rsidP="003B0D05">
      <w:pPr>
        <w:pStyle w:val="ListParagraph"/>
        <w:numPr>
          <w:ilvl w:val="1"/>
          <w:numId w:val="9"/>
        </w:numPr>
        <w:autoSpaceDE w:val="0"/>
        <w:autoSpaceDN w:val="0"/>
        <w:adjustRightInd w:val="0"/>
        <w:rPr>
          <w:bCs/>
          <w:i/>
          <w:sz w:val="22"/>
          <w:szCs w:val="22"/>
        </w:rPr>
      </w:pPr>
      <w:r w:rsidRPr="003B0D05">
        <w:rPr>
          <w:bCs/>
          <w:i/>
          <w:sz w:val="22"/>
          <w:szCs w:val="22"/>
        </w:rPr>
        <w:t>CDC Laboratory Biosafety and COVID-19: Questions and Answers -https://www.cdc.gov/coronavirus/2019-ncov/lab/biosafety-faqs.html</w:t>
      </w:r>
    </w:p>
    <w:p w14:paraId="0B77B1C8" w14:textId="77777777" w:rsidR="003B0D05" w:rsidRPr="003B0D05" w:rsidRDefault="003B0D05" w:rsidP="003B0D05">
      <w:pPr>
        <w:pStyle w:val="ListParagraph"/>
        <w:numPr>
          <w:ilvl w:val="1"/>
          <w:numId w:val="9"/>
        </w:numPr>
        <w:autoSpaceDE w:val="0"/>
        <w:autoSpaceDN w:val="0"/>
        <w:adjustRightInd w:val="0"/>
        <w:rPr>
          <w:bCs/>
          <w:i/>
          <w:sz w:val="22"/>
          <w:szCs w:val="22"/>
        </w:rPr>
      </w:pPr>
      <w:r w:rsidRPr="003B0D05">
        <w:rPr>
          <w:bCs/>
          <w:i/>
          <w:sz w:val="22"/>
          <w:szCs w:val="22"/>
        </w:rPr>
        <w:t>CDC Interim Guidelines for Collecting, Handling, and Testing Clinical Specimens from Persons for Coronavirus Disease 2019 (COVID-19), updated as of April 29, 2020 -</w:t>
      </w:r>
    </w:p>
    <w:p w14:paraId="09EC0952" w14:textId="77777777" w:rsidR="003B0D05" w:rsidRPr="003B0D05" w:rsidRDefault="00E15D2A" w:rsidP="003B0D05">
      <w:pPr>
        <w:pStyle w:val="ListParagraph"/>
        <w:autoSpaceDE w:val="0"/>
        <w:autoSpaceDN w:val="0"/>
        <w:adjustRightInd w:val="0"/>
        <w:ind w:firstLine="360"/>
        <w:rPr>
          <w:bCs/>
          <w:i/>
          <w:sz w:val="22"/>
          <w:szCs w:val="22"/>
        </w:rPr>
      </w:pPr>
      <w:hyperlink r:id="rId8" w:history="1">
        <w:r w:rsidR="003B0D05" w:rsidRPr="003B0D05">
          <w:rPr>
            <w:rStyle w:val="Hyperlink"/>
            <w:bCs/>
            <w:i/>
            <w:sz w:val="22"/>
            <w:szCs w:val="22"/>
            <w:u w:val="none"/>
          </w:rPr>
          <w:t>https://www.cdc.gov/coronavirus/2019-ncov/lab/guidelines-clinical-specimens.html</w:t>
        </w:r>
      </w:hyperlink>
    </w:p>
    <w:p w14:paraId="3F2E4317" w14:textId="77777777" w:rsidR="003B0D05" w:rsidRDefault="003B0D05" w:rsidP="003B0D05">
      <w:pPr>
        <w:pStyle w:val="ListParagraph"/>
        <w:autoSpaceDE w:val="0"/>
        <w:autoSpaceDN w:val="0"/>
        <w:adjustRightInd w:val="0"/>
        <w:ind w:firstLine="360"/>
        <w:rPr>
          <w:b/>
          <w:bCs/>
          <w:sz w:val="22"/>
          <w:szCs w:val="22"/>
          <w:u w:val="single"/>
        </w:rPr>
      </w:pPr>
    </w:p>
    <w:p w14:paraId="6CD09AF3" w14:textId="77777777" w:rsidR="00134B54" w:rsidRDefault="00134B54" w:rsidP="003B0D05">
      <w:pPr>
        <w:pStyle w:val="ListParagraph"/>
        <w:autoSpaceDE w:val="0"/>
        <w:autoSpaceDN w:val="0"/>
        <w:adjustRightInd w:val="0"/>
        <w:ind w:firstLine="360"/>
        <w:rPr>
          <w:b/>
          <w:bCs/>
          <w:sz w:val="22"/>
          <w:szCs w:val="22"/>
          <w:u w:val="single"/>
        </w:rPr>
      </w:pPr>
    </w:p>
    <w:p w14:paraId="19D55510" w14:textId="77777777" w:rsidR="00134B54" w:rsidRDefault="00134B54" w:rsidP="003B0D05">
      <w:pPr>
        <w:pStyle w:val="ListParagraph"/>
        <w:autoSpaceDE w:val="0"/>
        <w:autoSpaceDN w:val="0"/>
        <w:adjustRightInd w:val="0"/>
        <w:ind w:firstLine="360"/>
        <w:rPr>
          <w:b/>
          <w:bCs/>
          <w:sz w:val="22"/>
          <w:szCs w:val="22"/>
          <w:u w:val="single"/>
        </w:rPr>
      </w:pPr>
    </w:p>
    <w:p w14:paraId="282D1929" w14:textId="069E6FDA" w:rsidR="00C1075D" w:rsidRDefault="00C1075D" w:rsidP="00C1075D">
      <w:pPr>
        <w:autoSpaceDE w:val="0"/>
        <w:autoSpaceDN w:val="0"/>
        <w:adjustRightInd w:val="0"/>
        <w:rPr>
          <w:bCs/>
          <w:sz w:val="22"/>
          <w:szCs w:val="22"/>
        </w:rPr>
      </w:pPr>
      <w:r w:rsidRPr="00C1075D">
        <w:rPr>
          <w:b/>
          <w:bCs/>
          <w:sz w:val="22"/>
          <w:szCs w:val="22"/>
        </w:rPr>
        <w:t>Policy Review:</w:t>
      </w:r>
      <w:r w:rsidRPr="00C1075D">
        <w:rPr>
          <w:bCs/>
          <w:sz w:val="22"/>
          <w:szCs w:val="22"/>
        </w:rPr>
        <w:t xml:space="preserve"> </w:t>
      </w:r>
      <w:r w:rsidRPr="00C1075D">
        <w:rPr>
          <w:bCs/>
          <w:sz w:val="22"/>
          <w:szCs w:val="22"/>
        </w:rPr>
        <w:tab/>
        <w:t>Michele R. Homan MLT/ASCP</w:t>
      </w:r>
      <w:r w:rsidRPr="00C1075D">
        <w:rPr>
          <w:bCs/>
          <w:sz w:val="22"/>
          <w:szCs w:val="22"/>
        </w:rPr>
        <w:tab/>
      </w:r>
    </w:p>
    <w:p w14:paraId="0735BFD6" w14:textId="4CF1E733" w:rsidR="00D459CE" w:rsidRPr="00C1075D" w:rsidRDefault="00D459CE" w:rsidP="00C1075D">
      <w:pPr>
        <w:autoSpaceDE w:val="0"/>
        <w:autoSpaceDN w:val="0"/>
        <w:adjustRightInd w:val="0"/>
        <w:rPr>
          <w:bCs/>
          <w:sz w:val="22"/>
          <w:szCs w:val="22"/>
        </w:rPr>
      </w:pPr>
      <w:r>
        <w:rPr>
          <w:bCs/>
          <w:sz w:val="22"/>
          <w:szCs w:val="22"/>
        </w:rPr>
        <w:tab/>
      </w:r>
      <w:r>
        <w:rPr>
          <w:bCs/>
          <w:sz w:val="22"/>
          <w:szCs w:val="22"/>
        </w:rPr>
        <w:tab/>
      </w:r>
      <w:r>
        <w:rPr>
          <w:bCs/>
          <w:sz w:val="22"/>
          <w:szCs w:val="22"/>
        </w:rPr>
        <w:tab/>
        <w:t>Support Services Lead</w:t>
      </w:r>
    </w:p>
    <w:p w14:paraId="652B0545" w14:textId="0D68C01A" w:rsidR="00C1075D" w:rsidRPr="00C1075D" w:rsidRDefault="00C1075D" w:rsidP="00C1075D">
      <w:pPr>
        <w:autoSpaceDE w:val="0"/>
        <w:autoSpaceDN w:val="0"/>
        <w:adjustRightInd w:val="0"/>
        <w:rPr>
          <w:bCs/>
          <w:sz w:val="22"/>
          <w:szCs w:val="22"/>
        </w:rPr>
      </w:pPr>
      <w:r w:rsidRPr="00C1075D">
        <w:rPr>
          <w:b/>
          <w:bCs/>
          <w:sz w:val="22"/>
          <w:szCs w:val="22"/>
        </w:rPr>
        <w:t>Date:</w:t>
      </w:r>
      <w:r w:rsidRPr="00C1075D">
        <w:rPr>
          <w:bCs/>
          <w:sz w:val="22"/>
          <w:szCs w:val="22"/>
        </w:rPr>
        <w:tab/>
      </w:r>
      <w:r w:rsidRPr="00C1075D">
        <w:rPr>
          <w:bCs/>
          <w:sz w:val="22"/>
          <w:szCs w:val="22"/>
        </w:rPr>
        <w:tab/>
      </w:r>
      <w:r w:rsidRPr="00C1075D">
        <w:rPr>
          <w:bCs/>
          <w:sz w:val="22"/>
          <w:szCs w:val="22"/>
        </w:rPr>
        <w:tab/>
      </w:r>
      <w:r w:rsidR="00D459CE">
        <w:rPr>
          <w:bCs/>
          <w:sz w:val="22"/>
          <w:szCs w:val="22"/>
        </w:rPr>
        <w:t>2/21/24</w:t>
      </w:r>
    </w:p>
    <w:p w14:paraId="114EB474" w14:textId="4C393C65" w:rsidR="00CC4676" w:rsidRDefault="00C1075D" w:rsidP="00CC4676">
      <w:pPr>
        <w:widowControl w:val="0"/>
        <w:autoSpaceDE w:val="0"/>
        <w:autoSpaceDN w:val="0"/>
        <w:adjustRightInd w:val="0"/>
        <w:rPr>
          <w:rFonts w:asciiTheme="majorHAnsi" w:eastAsia="MS Mincho" w:hAnsiTheme="majorHAnsi"/>
          <w:sz w:val="22"/>
          <w:szCs w:val="22"/>
        </w:rPr>
      </w:pPr>
      <w:r w:rsidRPr="00C1075D">
        <w:rPr>
          <w:b/>
          <w:bCs/>
          <w:sz w:val="22"/>
          <w:szCs w:val="22"/>
        </w:rPr>
        <w:t>Policy Approval:</w:t>
      </w:r>
      <w:r w:rsidRPr="00C1075D">
        <w:rPr>
          <w:bCs/>
          <w:sz w:val="22"/>
          <w:szCs w:val="22"/>
        </w:rPr>
        <w:tab/>
      </w:r>
      <w:r w:rsidR="00CC4676">
        <w:rPr>
          <w:rFonts w:asciiTheme="majorHAnsi" w:eastAsia="MS Mincho" w:hAnsiTheme="majorHAnsi"/>
          <w:sz w:val="22"/>
          <w:szCs w:val="22"/>
        </w:rPr>
        <w:t xml:space="preserve">Dr. Patrick </w:t>
      </w:r>
      <w:proofErr w:type="spellStart"/>
      <w:r w:rsidR="00CC4676">
        <w:rPr>
          <w:rFonts w:asciiTheme="majorHAnsi" w:eastAsia="MS Mincho" w:hAnsiTheme="majorHAnsi"/>
          <w:sz w:val="22"/>
          <w:szCs w:val="22"/>
        </w:rPr>
        <w:t>Feasel</w:t>
      </w:r>
      <w:proofErr w:type="spellEnd"/>
      <w:r w:rsidR="00CC4676">
        <w:rPr>
          <w:rFonts w:asciiTheme="majorHAnsi" w:eastAsia="MS Mincho" w:hAnsiTheme="majorHAnsi"/>
          <w:sz w:val="22"/>
          <w:szCs w:val="22"/>
        </w:rPr>
        <w:t>, MD</w:t>
      </w:r>
    </w:p>
    <w:p w14:paraId="136D860F" w14:textId="77777777" w:rsidR="00CC4676" w:rsidRDefault="00CC4676" w:rsidP="00CC4676">
      <w:pPr>
        <w:widowControl w:val="0"/>
        <w:autoSpaceDE w:val="0"/>
        <w:autoSpaceDN w:val="0"/>
        <w:adjustRightInd w:val="0"/>
        <w:rPr>
          <w:rFonts w:asciiTheme="majorHAnsi" w:eastAsia="MS Mincho" w:hAnsiTheme="majorHAnsi"/>
          <w:sz w:val="22"/>
          <w:szCs w:val="22"/>
        </w:rPr>
      </w:pPr>
      <w:r>
        <w:rPr>
          <w:rFonts w:asciiTheme="majorHAnsi" w:eastAsia="MS Mincho" w:hAnsiTheme="majorHAnsi"/>
          <w:sz w:val="22"/>
          <w:szCs w:val="22"/>
        </w:rPr>
        <w:tab/>
      </w:r>
      <w:r>
        <w:rPr>
          <w:rFonts w:asciiTheme="majorHAnsi" w:eastAsia="MS Mincho" w:hAnsiTheme="majorHAnsi"/>
          <w:sz w:val="22"/>
          <w:szCs w:val="22"/>
        </w:rPr>
        <w:tab/>
      </w:r>
      <w:r>
        <w:rPr>
          <w:rFonts w:asciiTheme="majorHAnsi" w:eastAsia="MS Mincho" w:hAnsiTheme="majorHAnsi"/>
          <w:sz w:val="22"/>
          <w:szCs w:val="22"/>
        </w:rPr>
        <w:tab/>
        <w:t>Laboratory Medial Director</w:t>
      </w:r>
    </w:p>
    <w:p w14:paraId="6BBC9E9A" w14:textId="77777777" w:rsidR="00CC4676" w:rsidRDefault="00CC4676" w:rsidP="00CC4676">
      <w:pPr>
        <w:widowControl w:val="0"/>
        <w:autoSpaceDE w:val="0"/>
        <w:autoSpaceDN w:val="0"/>
        <w:adjustRightInd w:val="0"/>
        <w:rPr>
          <w:rFonts w:asciiTheme="majorHAnsi" w:hAnsiTheme="majorHAnsi"/>
          <w:sz w:val="22"/>
          <w:szCs w:val="22"/>
        </w:rPr>
      </w:pPr>
      <w:r>
        <w:rPr>
          <w:rFonts w:asciiTheme="majorHAnsi" w:eastAsia="MS Mincho" w:hAnsiTheme="majorHAnsi"/>
          <w:b/>
          <w:sz w:val="22"/>
          <w:szCs w:val="22"/>
        </w:rPr>
        <w:t>Date:</w:t>
      </w:r>
      <w:r>
        <w:rPr>
          <w:rFonts w:asciiTheme="majorHAnsi" w:eastAsia="MS Mincho" w:hAnsiTheme="majorHAnsi"/>
          <w:b/>
          <w:sz w:val="22"/>
          <w:szCs w:val="22"/>
        </w:rPr>
        <w:tab/>
      </w:r>
      <w:r>
        <w:rPr>
          <w:rFonts w:asciiTheme="majorHAnsi" w:eastAsia="MS Mincho" w:hAnsiTheme="majorHAnsi"/>
          <w:b/>
          <w:sz w:val="22"/>
          <w:szCs w:val="22"/>
        </w:rPr>
        <w:tab/>
      </w:r>
      <w:r>
        <w:rPr>
          <w:rFonts w:asciiTheme="majorHAnsi" w:eastAsia="MS Mincho" w:hAnsiTheme="majorHAnsi"/>
          <w:b/>
          <w:sz w:val="22"/>
          <w:szCs w:val="22"/>
        </w:rPr>
        <w:tab/>
      </w:r>
      <w:r>
        <w:rPr>
          <w:rFonts w:asciiTheme="majorHAnsi" w:eastAsia="MS Mincho" w:hAnsiTheme="majorHAnsi"/>
          <w:sz w:val="22"/>
          <w:szCs w:val="22"/>
        </w:rPr>
        <w:t>3/19/24</w:t>
      </w:r>
    </w:p>
    <w:sectPr w:rsidR="00CC4676" w:rsidSect="005C1565">
      <w:headerReference w:type="default" r:id="rId9"/>
      <w:headerReference w:type="first" r:id="rId10"/>
      <w:pgSz w:w="12240" w:h="15840" w:code="1"/>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E71AB" w14:textId="77777777" w:rsidR="00700504" w:rsidRDefault="00700504">
      <w:r>
        <w:separator/>
      </w:r>
    </w:p>
  </w:endnote>
  <w:endnote w:type="continuationSeparator" w:id="0">
    <w:p w14:paraId="213D6FB8" w14:textId="77777777" w:rsidR="00700504" w:rsidRDefault="0070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B0724" w14:textId="77777777" w:rsidR="00700504" w:rsidRDefault="00700504">
      <w:r>
        <w:separator/>
      </w:r>
    </w:p>
  </w:footnote>
  <w:footnote w:type="continuationSeparator" w:id="0">
    <w:p w14:paraId="396AD91C" w14:textId="77777777" w:rsidR="00700504" w:rsidRDefault="0070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700504" w14:paraId="3852662E" w14:textId="77777777" w:rsidTr="00090617">
      <w:tc>
        <w:tcPr>
          <w:tcW w:w="6228" w:type="dxa"/>
        </w:tcPr>
        <w:p w14:paraId="3D9D534A" w14:textId="77777777" w:rsidR="00700504" w:rsidRPr="00090617" w:rsidRDefault="00700504" w:rsidP="009E4467">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Pr>
              <w:rFonts w:ascii="Arial" w:hAnsi="Arial" w:cs="Arial"/>
              <w:b/>
              <w:sz w:val="20"/>
              <w:szCs w:val="20"/>
            </w:rPr>
            <w:t>COVID-19 Collection Procedure</w:t>
          </w:r>
        </w:p>
      </w:tc>
      <w:tc>
        <w:tcPr>
          <w:tcW w:w="3780" w:type="dxa"/>
        </w:tcPr>
        <w:p w14:paraId="57911E8A" w14:textId="77777777" w:rsidR="00700504" w:rsidRPr="00090617" w:rsidRDefault="00700504" w:rsidP="005C1565">
          <w:pPr>
            <w:pStyle w:val="Header"/>
            <w:rPr>
              <w:rFonts w:ascii="Arial" w:hAnsi="Arial" w:cs="Arial"/>
              <w:b/>
              <w:sz w:val="18"/>
              <w:szCs w:val="18"/>
            </w:rPr>
          </w:pPr>
          <w:r w:rsidRPr="00090617">
            <w:rPr>
              <w:rFonts w:ascii="Arial" w:hAnsi="Arial" w:cs="Arial"/>
              <w:b/>
              <w:sz w:val="18"/>
              <w:szCs w:val="18"/>
            </w:rPr>
            <w:t xml:space="preserve">Procedure Number: </w:t>
          </w:r>
          <w:r>
            <w:rPr>
              <w:rFonts w:ascii="Arial" w:hAnsi="Arial" w:cs="Arial"/>
              <w:b/>
              <w:sz w:val="18"/>
              <w:szCs w:val="18"/>
            </w:rPr>
            <w:t>nvml.jtdmh.supserv.407</w:t>
          </w:r>
        </w:p>
        <w:p w14:paraId="754D7A1B" w14:textId="77777777" w:rsidR="00700504" w:rsidRPr="00090617" w:rsidRDefault="00700504" w:rsidP="005C1565">
          <w:pPr>
            <w:pStyle w:val="Header"/>
            <w:rPr>
              <w:rFonts w:ascii="Arial" w:hAnsi="Arial" w:cs="Arial"/>
              <w:b/>
              <w:color w:val="0000FF"/>
              <w:sz w:val="20"/>
              <w:szCs w:val="20"/>
            </w:rPr>
          </w:pPr>
          <w:r w:rsidRPr="00090617">
            <w:rPr>
              <w:rStyle w:val="PageNumber"/>
              <w:b/>
              <w:color w:val="0000FF"/>
              <w:sz w:val="20"/>
              <w:szCs w:val="20"/>
            </w:rPr>
            <w:t xml:space="preserve">Page </w:t>
          </w:r>
          <w:r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Pr="00090617">
            <w:rPr>
              <w:rStyle w:val="PageNumber"/>
              <w:b/>
              <w:color w:val="0000FF"/>
              <w:sz w:val="20"/>
              <w:szCs w:val="20"/>
            </w:rPr>
            <w:fldChar w:fldCharType="separate"/>
          </w:r>
          <w:r>
            <w:rPr>
              <w:rStyle w:val="PageNumber"/>
              <w:b/>
              <w:noProof/>
              <w:color w:val="0000FF"/>
              <w:sz w:val="20"/>
              <w:szCs w:val="20"/>
            </w:rPr>
            <w:t>2</w:t>
          </w:r>
          <w:r w:rsidRPr="00090617">
            <w:rPr>
              <w:rStyle w:val="PageNumber"/>
              <w:b/>
              <w:color w:val="0000FF"/>
              <w:sz w:val="20"/>
              <w:szCs w:val="20"/>
            </w:rPr>
            <w:fldChar w:fldCharType="end"/>
          </w:r>
          <w:r w:rsidRPr="00090617">
            <w:rPr>
              <w:rStyle w:val="PageNumber"/>
              <w:b/>
              <w:color w:val="0000FF"/>
              <w:sz w:val="20"/>
              <w:szCs w:val="20"/>
            </w:rPr>
            <w:t xml:space="preserve"> of </w:t>
          </w:r>
          <w:r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Pr="00090617">
            <w:rPr>
              <w:rStyle w:val="PageNumber"/>
              <w:b/>
              <w:color w:val="0000FF"/>
              <w:sz w:val="20"/>
              <w:szCs w:val="20"/>
            </w:rPr>
            <w:fldChar w:fldCharType="separate"/>
          </w:r>
          <w:r>
            <w:rPr>
              <w:rStyle w:val="PageNumber"/>
              <w:b/>
              <w:noProof/>
              <w:color w:val="0000FF"/>
              <w:sz w:val="20"/>
              <w:szCs w:val="20"/>
            </w:rPr>
            <w:t>3</w:t>
          </w:r>
          <w:r w:rsidRPr="00090617">
            <w:rPr>
              <w:rStyle w:val="PageNumber"/>
              <w:b/>
              <w:color w:val="0000FF"/>
              <w:sz w:val="20"/>
              <w:szCs w:val="20"/>
            </w:rPr>
            <w:fldChar w:fldCharType="end"/>
          </w:r>
        </w:p>
      </w:tc>
    </w:tr>
  </w:tbl>
  <w:p w14:paraId="4C26BCAA" w14:textId="77777777" w:rsidR="00700504" w:rsidRPr="004A733D" w:rsidRDefault="00700504">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700504" w14:paraId="06D63949" w14:textId="77777777" w:rsidTr="00090617">
      <w:tc>
        <w:tcPr>
          <w:tcW w:w="4788" w:type="dxa"/>
        </w:tcPr>
        <w:p w14:paraId="51328FC2" w14:textId="77777777" w:rsidR="00700504" w:rsidRPr="00090617" w:rsidRDefault="00700504"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14:paraId="1BC1F75F" w14:textId="77777777" w:rsidR="00700504" w:rsidRPr="00090617" w:rsidRDefault="00700504" w:rsidP="00090617">
          <w:pPr>
            <w:pStyle w:val="Header"/>
            <w:jc w:val="center"/>
            <w:rPr>
              <w:rFonts w:ascii="Arial" w:hAnsi="Arial" w:cs="Arial"/>
              <w:b/>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14:paraId="7B3BAE95" w14:textId="77777777" w:rsidR="00700504" w:rsidRPr="00090617" w:rsidRDefault="00700504" w:rsidP="00A97191">
          <w:pPr>
            <w:pStyle w:val="Header"/>
            <w:jc w:val="center"/>
            <w:rPr>
              <w:rFonts w:ascii="Arial" w:hAnsi="Arial" w:cs="Arial"/>
              <w:b/>
              <w:color w:val="0000FF"/>
              <w:sz w:val="20"/>
              <w:szCs w:val="20"/>
            </w:rPr>
          </w:pPr>
        </w:p>
      </w:tc>
      <w:tc>
        <w:tcPr>
          <w:tcW w:w="1800" w:type="dxa"/>
          <w:vAlign w:val="center"/>
        </w:tcPr>
        <w:p w14:paraId="3BA57760" w14:textId="77777777" w:rsidR="00700504" w:rsidRPr="00090617" w:rsidRDefault="00700504" w:rsidP="00090617">
          <w:pPr>
            <w:pStyle w:val="Header"/>
            <w:jc w:val="center"/>
            <w:rPr>
              <w:rFonts w:ascii="Arial" w:hAnsi="Arial" w:cs="Arial"/>
              <w:b/>
            </w:rPr>
          </w:pPr>
          <w:r>
            <w:rPr>
              <w:rFonts w:ascii="Arial" w:hAnsi="Arial" w:cs="Arial"/>
              <w:b/>
              <w:noProof/>
            </w:rPr>
            <w:drawing>
              <wp:inline distT="0" distB="0" distL="0" distR="0" wp14:anchorId="238EFC76" wp14:editId="3F77EF51">
                <wp:extent cx="974725" cy="51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517525"/>
                        </a:xfrm>
                        <a:prstGeom prst="rect">
                          <a:avLst/>
                        </a:prstGeom>
                        <a:noFill/>
                        <a:ln>
                          <a:noFill/>
                        </a:ln>
                      </pic:spPr>
                    </pic:pic>
                  </a:graphicData>
                </a:graphic>
              </wp:inline>
            </w:drawing>
          </w:r>
        </w:p>
      </w:tc>
      <w:tc>
        <w:tcPr>
          <w:tcW w:w="3564" w:type="dxa"/>
        </w:tcPr>
        <w:p w14:paraId="55E1716B" w14:textId="77777777" w:rsidR="00700504" w:rsidRPr="00090617" w:rsidRDefault="00700504" w:rsidP="00090617">
          <w:pPr>
            <w:pStyle w:val="Header"/>
            <w:jc w:val="center"/>
            <w:rPr>
              <w:rFonts w:ascii="Arial" w:hAnsi="Arial" w:cs="Arial"/>
              <w:b/>
              <w:sz w:val="18"/>
              <w:szCs w:val="18"/>
            </w:rPr>
          </w:pPr>
        </w:p>
        <w:p w14:paraId="44C90404" w14:textId="77777777" w:rsidR="00700504" w:rsidRDefault="00700504" w:rsidP="00090617">
          <w:pPr>
            <w:pStyle w:val="Header"/>
            <w:jc w:val="center"/>
            <w:rPr>
              <w:rFonts w:ascii="Arial" w:hAnsi="Arial" w:cs="Arial"/>
              <w:b/>
              <w:sz w:val="20"/>
              <w:szCs w:val="20"/>
            </w:rPr>
          </w:pPr>
          <w:r w:rsidRPr="00090617">
            <w:rPr>
              <w:rFonts w:ascii="Arial" w:hAnsi="Arial" w:cs="Arial"/>
              <w:b/>
              <w:sz w:val="20"/>
              <w:szCs w:val="20"/>
            </w:rPr>
            <w:t>Procedure Number:</w:t>
          </w:r>
          <w:r>
            <w:rPr>
              <w:rFonts w:ascii="Arial" w:hAnsi="Arial" w:cs="Arial"/>
              <w:b/>
              <w:sz w:val="20"/>
              <w:szCs w:val="20"/>
            </w:rPr>
            <w:t xml:space="preserve"> </w:t>
          </w:r>
        </w:p>
        <w:p w14:paraId="6EABE7BD" w14:textId="77777777" w:rsidR="00700504" w:rsidRDefault="00700504" w:rsidP="00D34A31">
          <w:pPr>
            <w:pStyle w:val="Header"/>
            <w:jc w:val="center"/>
            <w:rPr>
              <w:rFonts w:ascii="Arial" w:hAnsi="Arial" w:cs="Arial"/>
              <w:b/>
              <w:sz w:val="20"/>
              <w:szCs w:val="20"/>
            </w:rPr>
          </w:pPr>
          <w:r>
            <w:rPr>
              <w:rFonts w:ascii="Arial" w:hAnsi="Arial" w:cs="Arial"/>
              <w:b/>
              <w:sz w:val="20"/>
              <w:szCs w:val="20"/>
            </w:rPr>
            <w:t>nvml.jtdmh.supserv.407</w:t>
          </w:r>
        </w:p>
        <w:p w14:paraId="53E63924" w14:textId="77777777" w:rsidR="00700504" w:rsidRDefault="00700504" w:rsidP="007A690E">
          <w:pPr>
            <w:pStyle w:val="Header"/>
            <w:rPr>
              <w:rFonts w:ascii="Arial" w:hAnsi="Arial" w:cs="Arial"/>
              <w:b/>
              <w:sz w:val="20"/>
              <w:szCs w:val="20"/>
            </w:rPr>
          </w:pPr>
        </w:p>
        <w:p w14:paraId="422B011B" w14:textId="77777777" w:rsidR="00700504" w:rsidRPr="005D52AA" w:rsidRDefault="00700504" w:rsidP="00FF4450">
          <w:pPr>
            <w:pStyle w:val="Header"/>
            <w:rPr>
              <w:rFonts w:ascii="Arial" w:hAnsi="Arial" w:cs="Arial"/>
              <w:b/>
              <w:sz w:val="20"/>
              <w:szCs w:val="20"/>
            </w:rPr>
          </w:pPr>
          <w:r w:rsidRPr="005D52AA">
            <w:rPr>
              <w:rFonts w:ascii="Arial" w:hAnsi="Arial" w:cs="Arial"/>
              <w:sz w:val="18"/>
              <w:szCs w:val="18"/>
            </w:rPr>
            <w:t>POLICY INITIATED:</w:t>
          </w:r>
          <w:r>
            <w:rPr>
              <w:rFonts w:ascii="Arial" w:hAnsi="Arial" w:cs="Arial"/>
              <w:sz w:val="18"/>
              <w:szCs w:val="18"/>
            </w:rPr>
            <w:t xml:space="preserve"> 10/01/2020</w:t>
          </w:r>
        </w:p>
      </w:tc>
    </w:tr>
  </w:tbl>
  <w:p w14:paraId="63605C24" w14:textId="77777777" w:rsidR="00700504" w:rsidRPr="004A733D" w:rsidRDefault="00700504" w:rsidP="005C1565">
    <w:pPr>
      <w:pStyle w:val="Header"/>
      <w:rPr>
        <w:sz w:val="12"/>
        <w:szCs w:val="12"/>
      </w:rPr>
    </w:pPr>
  </w:p>
  <w:p w14:paraId="02BBBAE2" w14:textId="77777777" w:rsidR="00700504" w:rsidRDefault="00700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A70"/>
    <w:multiLevelType w:val="hybridMultilevel"/>
    <w:tmpl w:val="98161B4E"/>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2989"/>
    <w:multiLevelType w:val="hybridMultilevel"/>
    <w:tmpl w:val="FA701D7C"/>
    <w:lvl w:ilvl="0" w:tplc="8924A914">
      <w:start w:val="1"/>
      <w:numFmt w:val="decimal"/>
      <w:lvlText w:val="%1.)"/>
      <w:lvlJc w:val="left"/>
      <w:pPr>
        <w:tabs>
          <w:tab w:val="num" w:pos="2880"/>
        </w:tabs>
        <w:ind w:left="2880" w:hanging="360"/>
      </w:pPr>
      <w:rPr>
        <w:rFonts w:ascii="Times New Roman" w:eastAsia="MS Mincho" w:hAnsi="Times New Roman" w:cs="Times New Roman"/>
      </w:rPr>
    </w:lvl>
    <w:lvl w:ilvl="1" w:tplc="2C201262">
      <w:start w:val="1"/>
      <w:numFmt w:val="decimal"/>
      <w:lvlText w:val="%2."/>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20D01284"/>
    <w:multiLevelType w:val="multilevel"/>
    <w:tmpl w:val="59A6A1B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ED4156"/>
    <w:multiLevelType w:val="multilevel"/>
    <w:tmpl w:val="95EAA3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5576B49"/>
    <w:multiLevelType w:val="hybridMultilevel"/>
    <w:tmpl w:val="FD4CE188"/>
    <w:lvl w:ilvl="0" w:tplc="12C6B414">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8C742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4967C9"/>
    <w:multiLevelType w:val="multilevel"/>
    <w:tmpl w:val="928E0044"/>
    <w:lvl w:ilvl="0">
      <w:start w:val="1"/>
      <w:numFmt w:val="upperLetter"/>
      <w:lvlText w:val="%1."/>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D027B7"/>
    <w:multiLevelType w:val="multilevel"/>
    <w:tmpl w:val="A5D66AE6"/>
    <w:lvl w:ilvl="0">
      <w:start w:val="3"/>
      <w:numFmt w:val="decimal"/>
      <w:lvlText w:val="%1"/>
      <w:lvlJc w:val="left"/>
      <w:pPr>
        <w:tabs>
          <w:tab w:val="num" w:pos="480"/>
        </w:tabs>
        <w:ind w:left="480" w:hanging="480"/>
      </w:pPr>
      <w:rPr>
        <w:rFonts w:cs="Times New Roman" w:hint="default"/>
      </w:rPr>
    </w:lvl>
    <w:lvl w:ilvl="1">
      <w:numFmt w:val="decimal"/>
      <w:lvlText w:val="%1.%2"/>
      <w:lvlJc w:val="left"/>
      <w:pPr>
        <w:tabs>
          <w:tab w:val="num" w:pos="1200"/>
        </w:tabs>
        <w:ind w:left="1200" w:hanging="480"/>
      </w:pPr>
      <w:rPr>
        <w:rFonts w:cs="Times New Roman" w:hint="default"/>
      </w:rPr>
    </w:lvl>
    <w:lvl w:ilvl="2">
      <w:start w:val="8"/>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73FF4C5F"/>
    <w:multiLevelType w:val="multilevel"/>
    <w:tmpl w:val="1E9A4A9E"/>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9" w15:restartNumberingAfterBreak="0">
    <w:nsid w:val="74D973D7"/>
    <w:multiLevelType w:val="multilevel"/>
    <w:tmpl w:val="4672EDBE"/>
    <w:lvl w:ilvl="0">
      <w:start w:val="5"/>
      <w:numFmt w:val="decimal"/>
      <w:lvlText w:val="%1.0"/>
      <w:lvlJc w:val="left"/>
      <w:pPr>
        <w:tabs>
          <w:tab w:val="num" w:pos="420"/>
        </w:tabs>
        <w:ind w:left="420" w:hanging="420"/>
      </w:pPr>
      <w:rPr>
        <w:rFonts w:hint="default"/>
        <w:b/>
        <w:u w:val="single"/>
      </w:rPr>
    </w:lvl>
    <w:lvl w:ilvl="1">
      <w:start w:val="1"/>
      <w:numFmt w:val="decimal"/>
      <w:lvlText w:val="%1.%2"/>
      <w:lvlJc w:val="left"/>
      <w:pPr>
        <w:tabs>
          <w:tab w:val="num" w:pos="1140"/>
        </w:tabs>
        <w:ind w:left="1140" w:hanging="4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560"/>
        </w:tabs>
        <w:ind w:left="7560" w:hanging="1800"/>
      </w:pPr>
      <w:rPr>
        <w:rFonts w:hint="default"/>
        <w:b/>
        <w:u w:val="single"/>
      </w:rPr>
    </w:lvl>
  </w:abstractNum>
  <w:abstractNum w:abstractNumId="10" w15:restartNumberingAfterBreak="0">
    <w:nsid w:val="7A461432"/>
    <w:multiLevelType w:val="hybridMultilevel"/>
    <w:tmpl w:val="0F92C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9"/>
  </w:num>
  <w:num w:numId="6">
    <w:abstractNumId w:val="3"/>
  </w:num>
  <w:num w:numId="7">
    <w:abstractNumId w:val="5"/>
  </w:num>
  <w:num w:numId="8">
    <w:abstractNumId w:val="10"/>
  </w:num>
  <w:num w:numId="9">
    <w:abstractNumId w:val="2"/>
  </w:num>
  <w:num w:numId="10">
    <w:abstractNumId w:val="7"/>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51"/>
    <w:rsid w:val="00027697"/>
    <w:rsid w:val="0008521D"/>
    <w:rsid w:val="00090617"/>
    <w:rsid w:val="000943DF"/>
    <w:rsid w:val="00097F01"/>
    <w:rsid w:val="000B6A90"/>
    <w:rsid w:val="000E219D"/>
    <w:rsid w:val="000F3353"/>
    <w:rsid w:val="000F5D41"/>
    <w:rsid w:val="0011467C"/>
    <w:rsid w:val="00122D67"/>
    <w:rsid w:val="00124F55"/>
    <w:rsid w:val="00134B54"/>
    <w:rsid w:val="001435F9"/>
    <w:rsid w:val="00152603"/>
    <w:rsid w:val="001973E4"/>
    <w:rsid w:val="001A13A6"/>
    <w:rsid w:val="001B4606"/>
    <w:rsid w:val="001D09B8"/>
    <w:rsid w:val="001E2A73"/>
    <w:rsid w:val="00204015"/>
    <w:rsid w:val="002141B9"/>
    <w:rsid w:val="00272D67"/>
    <w:rsid w:val="002C3528"/>
    <w:rsid w:val="002D68D6"/>
    <w:rsid w:val="00332951"/>
    <w:rsid w:val="00357CD2"/>
    <w:rsid w:val="00367484"/>
    <w:rsid w:val="00385EC7"/>
    <w:rsid w:val="003B0D05"/>
    <w:rsid w:val="003B5ED5"/>
    <w:rsid w:val="003B7932"/>
    <w:rsid w:val="003C6059"/>
    <w:rsid w:val="003E7509"/>
    <w:rsid w:val="003F00F6"/>
    <w:rsid w:val="00416C90"/>
    <w:rsid w:val="00423B19"/>
    <w:rsid w:val="00431896"/>
    <w:rsid w:val="004575B3"/>
    <w:rsid w:val="004931F0"/>
    <w:rsid w:val="004A733D"/>
    <w:rsid w:val="00522F7F"/>
    <w:rsid w:val="005316ED"/>
    <w:rsid w:val="0053607B"/>
    <w:rsid w:val="0055420C"/>
    <w:rsid w:val="00577DFA"/>
    <w:rsid w:val="00596587"/>
    <w:rsid w:val="005A23EA"/>
    <w:rsid w:val="005C1565"/>
    <w:rsid w:val="005D52AA"/>
    <w:rsid w:val="005F083F"/>
    <w:rsid w:val="00607141"/>
    <w:rsid w:val="00620FED"/>
    <w:rsid w:val="0062302E"/>
    <w:rsid w:val="00633EC5"/>
    <w:rsid w:val="00650921"/>
    <w:rsid w:val="00656AB4"/>
    <w:rsid w:val="006A7D53"/>
    <w:rsid w:val="006B1C97"/>
    <w:rsid w:val="006B4485"/>
    <w:rsid w:val="006C4B1D"/>
    <w:rsid w:val="00700504"/>
    <w:rsid w:val="00711CC1"/>
    <w:rsid w:val="00725EEC"/>
    <w:rsid w:val="007615A9"/>
    <w:rsid w:val="00786D9F"/>
    <w:rsid w:val="007A690E"/>
    <w:rsid w:val="007B0488"/>
    <w:rsid w:val="007B13DB"/>
    <w:rsid w:val="007C7BBC"/>
    <w:rsid w:val="007D1298"/>
    <w:rsid w:val="0083574E"/>
    <w:rsid w:val="00844FF2"/>
    <w:rsid w:val="008459C9"/>
    <w:rsid w:val="00854811"/>
    <w:rsid w:val="00856323"/>
    <w:rsid w:val="0086207A"/>
    <w:rsid w:val="008633C5"/>
    <w:rsid w:val="00876488"/>
    <w:rsid w:val="008A157B"/>
    <w:rsid w:val="008C5B80"/>
    <w:rsid w:val="008F2DCF"/>
    <w:rsid w:val="0090068D"/>
    <w:rsid w:val="00900CB1"/>
    <w:rsid w:val="009246A3"/>
    <w:rsid w:val="00926EE7"/>
    <w:rsid w:val="009624C3"/>
    <w:rsid w:val="0097050B"/>
    <w:rsid w:val="009752A6"/>
    <w:rsid w:val="009E4467"/>
    <w:rsid w:val="009F79EC"/>
    <w:rsid w:val="00A03851"/>
    <w:rsid w:val="00A13E19"/>
    <w:rsid w:val="00A15D94"/>
    <w:rsid w:val="00A95713"/>
    <w:rsid w:val="00A97191"/>
    <w:rsid w:val="00AA0070"/>
    <w:rsid w:val="00AA260E"/>
    <w:rsid w:val="00AC4C5C"/>
    <w:rsid w:val="00AD5FAF"/>
    <w:rsid w:val="00B037B3"/>
    <w:rsid w:val="00B21601"/>
    <w:rsid w:val="00B34294"/>
    <w:rsid w:val="00B40928"/>
    <w:rsid w:val="00B779F6"/>
    <w:rsid w:val="00B90A34"/>
    <w:rsid w:val="00BA7472"/>
    <w:rsid w:val="00BC7BBF"/>
    <w:rsid w:val="00BE3E75"/>
    <w:rsid w:val="00C1075D"/>
    <w:rsid w:val="00C45277"/>
    <w:rsid w:val="00C72638"/>
    <w:rsid w:val="00CB7D84"/>
    <w:rsid w:val="00CC4676"/>
    <w:rsid w:val="00CD31AF"/>
    <w:rsid w:val="00CD7891"/>
    <w:rsid w:val="00CE2390"/>
    <w:rsid w:val="00CE25F9"/>
    <w:rsid w:val="00CE7573"/>
    <w:rsid w:val="00CF346B"/>
    <w:rsid w:val="00CF6601"/>
    <w:rsid w:val="00D074ED"/>
    <w:rsid w:val="00D14137"/>
    <w:rsid w:val="00D34A31"/>
    <w:rsid w:val="00D459CE"/>
    <w:rsid w:val="00D50F54"/>
    <w:rsid w:val="00D51C81"/>
    <w:rsid w:val="00D81661"/>
    <w:rsid w:val="00DA7F99"/>
    <w:rsid w:val="00E04B0C"/>
    <w:rsid w:val="00E15D2A"/>
    <w:rsid w:val="00E26FCE"/>
    <w:rsid w:val="00E7755C"/>
    <w:rsid w:val="00EB5203"/>
    <w:rsid w:val="00EB72B1"/>
    <w:rsid w:val="00EE12E8"/>
    <w:rsid w:val="00F25C0A"/>
    <w:rsid w:val="00F51FF3"/>
    <w:rsid w:val="00F6068D"/>
    <w:rsid w:val="00FB2F4D"/>
    <w:rsid w:val="00FB4572"/>
    <w:rsid w:val="00FE420E"/>
    <w:rsid w:val="00FF44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5B31088B"/>
  <w15:docId w15:val="{C61EAF82-9D97-4292-B9E1-3D4F4050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8D6"/>
    <w:rPr>
      <w:sz w:val="24"/>
      <w:szCs w:val="24"/>
    </w:rPr>
  </w:style>
  <w:style w:type="paragraph" w:styleId="Heading1">
    <w:name w:val="heading 1"/>
    <w:basedOn w:val="Normal"/>
    <w:next w:val="Normal"/>
    <w:link w:val="Heading1Char"/>
    <w:qFormat/>
    <w:rsid w:val="00385E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60714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semiHidden/>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semiHidden/>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34"/>
    <w:qFormat/>
    <w:rsid w:val="00B34294"/>
    <w:pPr>
      <w:ind w:left="720"/>
    </w:pPr>
  </w:style>
  <w:style w:type="character" w:customStyle="1" w:styleId="Heading1Char">
    <w:name w:val="Heading 1 Char"/>
    <w:basedOn w:val="DefaultParagraphFont"/>
    <w:link w:val="Heading1"/>
    <w:rsid w:val="00385EC7"/>
    <w:rPr>
      <w:rFonts w:asciiTheme="majorHAnsi" w:eastAsiaTheme="majorEastAsia" w:hAnsiTheme="majorHAnsi" w:cstheme="majorBidi"/>
      <w:b/>
      <w:bCs/>
      <w:kern w:val="32"/>
      <w:sz w:val="32"/>
      <w:szCs w:val="32"/>
    </w:rPr>
  </w:style>
  <w:style w:type="paragraph" w:styleId="BodyText">
    <w:name w:val="Body Text"/>
    <w:basedOn w:val="Normal"/>
    <w:link w:val="BodyTextChar"/>
    <w:rsid w:val="00385EC7"/>
    <w:pPr>
      <w:spacing w:after="120"/>
    </w:pPr>
  </w:style>
  <w:style w:type="character" w:customStyle="1" w:styleId="BodyTextChar">
    <w:name w:val="Body Text Char"/>
    <w:basedOn w:val="DefaultParagraphFont"/>
    <w:link w:val="BodyText"/>
    <w:rsid w:val="00385EC7"/>
    <w:rPr>
      <w:sz w:val="24"/>
      <w:szCs w:val="24"/>
    </w:rPr>
  </w:style>
  <w:style w:type="paragraph" w:styleId="BodyText2">
    <w:name w:val="Body Text 2"/>
    <w:basedOn w:val="Normal"/>
    <w:link w:val="BodyText2Char"/>
    <w:rsid w:val="00385EC7"/>
    <w:pPr>
      <w:spacing w:after="120" w:line="480" w:lineRule="auto"/>
    </w:pPr>
  </w:style>
  <w:style w:type="character" w:customStyle="1" w:styleId="BodyText2Char">
    <w:name w:val="Body Text 2 Char"/>
    <w:basedOn w:val="DefaultParagraphFont"/>
    <w:link w:val="BodyText2"/>
    <w:rsid w:val="00385EC7"/>
    <w:rPr>
      <w:sz w:val="24"/>
      <w:szCs w:val="24"/>
    </w:rPr>
  </w:style>
  <w:style w:type="paragraph" w:styleId="BodyTextIndent">
    <w:name w:val="Body Text Indent"/>
    <w:basedOn w:val="Normal"/>
    <w:link w:val="BodyTextIndentChar"/>
    <w:rsid w:val="00CB7D84"/>
    <w:pPr>
      <w:spacing w:after="120"/>
      <w:ind w:left="360"/>
    </w:pPr>
  </w:style>
  <w:style w:type="character" w:customStyle="1" w:styleId="BodyTextIndentChar">
    <w:name w:val="Body Text Indent Char"/>
    <w:basedOn w:val="DefaultParagraphFont"/>
    <w:link w:val="BodyTextIndent"/>
    <w:rsid w:val="00CB7D84"/>
    <w:rPr>
      <w:sz w:val="24"/>
      <w:szCs w:val="24"/>
    </w:rPr>
  </w:style>
  <w:style w:type="character" w:customStyle="1" w:styleId="Heading2Char">
    <w:name w:val="Heading 2 Char"/>
    <w:basedOn w:val="DefaultParagraphFont"/>
    <w:link w:val="Heading2"/>
    <w:semiHidden/>
    <w:rsid w:val="00607141"/>
    <w:rPr>
      <w:rFonts w:asciiTheme="majorHAnsi" w:eastAsiaTheme="majorEastAsia" w:hAnsiTheme="majorHAnsi" w:cstheme="majorBidi"/>
      <w:b/>
      <w:bCs/>
      <w:i/>
      <w:iCs/>
      <w:sz w:val="28"/>
      <w:szCs w:val="28"/>
    </w:rPr>
  </w:style>
  <w:style w:type="paragraph" w:styleId="BodyTextIndent2">
    <w:name w:val="Body Text Indent 2"/>
    <w:basedOn w:val="Normal"/>
    <w:link w:val="BodyTextIndent2Char"/>
    <w:rsid w:val="00431896"/>
    <w:pPr>
      <w:spacing w:after="120" w:line="480" w:lineRule="auto"/>
      <w:ind w:left="360"/>
    </w:pPr>
  </w:style>
  <w:style w:type="character" w:customStyle="1" w:styleId="BodyTextIndent2Char">
    <w:name w:val="Body Text Indent 2 Char"/>
    <w:basedOn w:val="DefaultParagraphFont"/>
    <w:link w:val="BodyTextIndent2"/>
    <w:rsid w:val="00431896"/>
    <w:rPr>
      <w:sz w:val="24"/>
      <w:szCs w:val="24"/>
    </w:rPr>
  </w:style>
  <w:style w:type="paragraph" w:styleId="BalloonText">
    <w:name w:val="Balloon Text"/>
    <w:basedOn w:val="Normal"/>
    <w:link w:val="BalloonTextChar"/>
    <w:rsid w:val="00E7755C"/>
    <w:rPr>
      <w:rFonts w:ascii="Tahoma" w:hAnsi="Tahoma" w:cs="Tahoma"/>
      <w:sz w:val="16"/>
      <w:szCs w:val="16"/>
    </w:rPr>
  </w:style>
  <w:style w:type="character" w:customStyle="1" w:styleId="BalloonTextChar">
    <w:name w:val="Balloon Text Char"/>
    <w:basedOn w:val="DefaultParagraphFont"/>
    <w:link w:val="BalloonText"/>
    <w:rsid w:val="00E7755C"/>
    <w:rPr>
      <w:rFonts w:ascii="Tahoma" w:hAnsi="Tahoma" w:cs="Tahoma"/>
      <w:sz w:val="16"/>
      <w:szCs w:val="16"/>
    </w:rPr>
  </w:style>
  <w:style w:type="paragraph" w:styleId="BodyTextIndent3">
    <w:name w:val="Body Text Indent 3"/>
    <w:basedOn w:val="Normal"/>
    <w:link w:val="BodyTextIndent3Char"/>
    <w:unhideWhenUsed/>
    <w:rsid w:val="001D09B8"/>
    <w:pPr>
      <w:spacing w:after="120"/>
      <w:ind w:left="360"/>
    </w:pPr>
    <w:rPr>
      <w:sz w:val="16"/>
      <w:szCs w:val="16"/>
    </w:rPr>
  </w:style>
  <w:style w:type="character" w:customStyle="1" w:styleId="BodyTextIndent3Char">
    <w:name w:val="Body Text Indent 3 Char"/>
    <w:basedOn w:val="DefaultParagraphFont"/>
    <w:link w:val="BodyTextIndent3"/>
    <w:rsid w:val="001D09B8"/>
    <w:rPr>
      <w:sz w:val="16"/>
      <w:szCs w:val="16"/>
    </w:rPr>
  </w:style>
  <w:style w:type="character" w:styleId="Hyperlink">
    <w:name w:val="Hyperlink"/>
    <w:basedOn w:val="DefaultParagraphFont"/>
    <w:unhideWhenUsed/>
    <w:rsid w:val="003B0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82080">
      <w:bodyDiv w:val="1"/>
      <w:marLeft w:val="0"/>
      <w:marRight w:val="0"/>
      <w:marTop w:val="0"/>
      <w:marBottom w:val="0"/>
      <w:divBdr>
        <w:top w:val="none" w:sz="0" w:space="0" w:color="auto"/>
        <w:left w:val="none" w:sz="0" w:space="0" w:color="auto"/>
        <w:bottom w:val="none" w:sz="0" w:space="0" w:color="auto"/>
        <w:right w:val="none" w:sz="0" w:space="0" w:color="auto"/>
      </w:divBdr>
    </w:div>
    <w:div w:id="17999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lab/guidelines-clinical-specimens.html" TargetMode="External"/><Relationship Id="rId3" Type="http://schemas.openxmlformats.org/officeDocument/2006/relationships/settings" Target="settings.xml"/><Relationship Id="rId7" Type="http://schemas.openxmlformats.org/officeDocument/2006/relationships/hyperlink" Target="https://www.fda.gov/medical-devices/emergencysituations-medical-devices/faqs-diagnostic-testing-sars-cov-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creator>David Steiner</dc:creator>
  <cp:lastModifiedBy>Homan, Michele</cp:lastModifiedBy>
  <cp:revision>2</cp:revision>
  <cp:lastPrinted>2024-02-21T16:54:00Z</cp:lastPrinted>
  <dcterms:created xsi:type="dcterms:W3CDTF">2024-09-04T14:38:00Z</dcterms:created>
  <dcterms:modified xsi:type="dcterms:W3CDTF">2024-09-04T14:38:00Z</dcterms:modified>
</cp:coreProperties>
</file>