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68" w:rsidRPr="00FE3550" w:rsidRDefault="00564568" w:rsidP="00564568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t>Saratoga Hospital Laboratory</w:t>
      </w:r>
    </w:p>
    <w:p w:rsidR="00564568" w:rsidRPr="00FE3550" w:rsidRDefault="00564568" w:rsidP="00564568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t>211 Church Street, Saratoga Springs, NY 12866</w:t>
      </w:r>
    </w:p>
    <w:p w:rsidR="002B19E8" w:rsidRPr="00905E2C" w:rsidRDefault="002B19E8" w:rsidP="002B19E8">
      <w:pPr>
        <w:jc w:val="center"/>
        <w:rPr>
          <w:rFonts w:ascii="Times New Roman" w:hAnsi="Times New Roman"/>
          <w:sz w:val="20"/>
          <w:szCs w:val="20"/>
        </w:rPr>
      </w:pPr>
    </w:p>
    <w:p w:rsidR="00607644" w:rsidRDefault="00607644" w:rsidP="002B19E8">
      <w:pPr>
        <w:jc w:val="center"/>
        <w:rPr>
          <w:rFonts w:ascii="Times New Roman" w:hAnsi="Times New Roman"/>
          <w:b/>
          <w:sz w:val="20"/>
          <w:szCs w:val="20"/>
        </w:rPr>
      </w:pPr>
      <w:r w:rsidRPr="00607644">
        <w:rPr>
          <w:rFonts w:ascii="Times New Roman" w:hAnsi="Times New Roman"/>
          <w:b/>
          <w:sz w:val="20"/>
          <w:szCs w:val="20"/>
        </w:rPr>
        <w:t xml:space="preserve">Total Allowable Blood Volume Limits </w:t>
      </w:r>
      <w:r w:rsidR="00E97286" w:rsidRPr="00607644">
        <w:rPr>
          <w:rFonts w:ascii="Times New Roman" w:hAnsi="Times New Roman"/>
          <w:b/>
          <w:sz w:val="20"/>
          <w:szCs w:val="20"/>
        </w:rPr>
        <w:t>for</w:t>
      </w:r>
      <w:r w:rsidRPr="00607644">
        <w:rPr>
          <w:rFonts w:ascii="Times New Roman" w:hAnsi="Times New Roman"/>
          <w:b/>
          <w:sz w:val="20"/>
          <w:szCs w:val="20"/>
        </w:rPr>
        <w:t xml:space="preserve"> Pediatric Patients</w:t>
      </w:r>
      <w:r w:rsidRPr="00607644" w:rsidDel="00FA4364">
        <w:rPr>
          <w:rFonts w:ascii="Times New Roman" w:hAnsi="Times New Roman"/>
          <w:b/>
          <w:sz w:val="20"/>
          <w:szCs w:val="20"/>
        </w:rPr>
        <w:t xml:space="preserve"> </w:t>
      </w:r>
    </w:p>
    <w:p w:rsidR="002B50A2" w:rsidRPr="00607644" w:rsidRDefault="002B50A2" w:rsidP="002B19E8">
      <w:pPr>
        <w:jc w:val="center"/>
        <w:rPr>
          <w:rFonts w:ascii="Times New Roman" w:hAnsi="Times New Roman"/>
          <w:b/>
          <w:sz w:val="20"/>
          <w:szCs w:val="20"/>
        </w:rPr>
      </w:pPr>
    </w:p>
    <w:p w:rsidR="00FA4364" w:rsidRDefault="002B50A2" w:rsidP="002B50A2">
      <w:pPr>
        <w:rPr>
          <w:rFonts w:ascii="Times New Roman" w:hAnsi="Times New Roman"/>
          <w:sz w:val="20"/>
          <w:szCs w:val="20"/>
        </w:rPr>
      </w:pPr>
      <w:r w:rsidRPr="00FA4364">
        <w:rPr>
          <w:rFonts w:ascii="Times New Roman" w:hAnsi="Times New Roman"/>
          <w:b/>
          <w:sz w:val="20"/>
          <w:szCs w:val="20"/>
          <w:u w:val="single"/>
        </w:rPr>
        <w:t>Purpose:</w:t>
      </w:r>
      <w:r w:rsidRPr="00905E2C">
        <w:rPr>
          <w:rFonts w:ascii="Times New Roman" w:hAnsi="Times New Roman"/>
          <w:sz w:val="20"/>
          <w:szCs w:val="20"/>
        </w:rPr>
        <w:t xml:space="preserve"> </w:t>
      </w:r>
    </w:p>
    <w:p w:rsidR="00FA4364" w:rsidRPr="00FA4364" w:rsidRDefault="00FA4364" w:rsidP="00FA4364">
      <w:pPr>
        <w:rPr>
          <w:rFonts w:ascii="Times New Roman" w:hAnsi="Times New Roman"/>
          <w:sz w:val="20"/>
          <w:szCs w:val="20"/>
        </w:rPr>
      </w:pPr>
      <w:r w:rsidRPr="00FA4364">
        <w:rPr>
          <w:rFonts w:ascii="Times New Roman" w:hAnsi="Times New Roman"/>
          <w:sz w:val="20"/>
          <w:szCs w:val="20"/>
        </w:rPr>
        <w:t>To provide phleb</w:t>
      </w:r>
      <w:r>
        <w:rPr>
          <w:rFonts w:ascii="Times New Roman" w:hAnsi="Times New Roman"/>
          <w:sz w:val="20"/>
          <w:szCs w:val="20"/>
        </w:rPr>
        <w:t xml:space="preserve">otomy staff with </w:t>
      </w:r>
      <w:r w:rsidR="00607644">
        <w:rPr>
          <w:rFonts w:ascii="Times New Roman" w:hAnsi="Times New Roman"/>
          <w:sz w:val="20"/>
          <w:szCs w:val="20"/>
        </w:rPr>
        <w:t xml:space="preserve">the guidelines </w:t>
      </w:r>
      <w:r>
        <w:rPr>
          <w:rFonts w:ascii="Times New Roman" w:hAnsi="Times New Roman"/>
          <w:sz w:val="20"/>
          <w:szCs w:val="20"/>
        </w:rPr>
        <w:t xml:space="preserve">on </w:t>
      </w:r>
      <w:r w:rsidR="00607644">
        <w:rPr>
          <w:rFonts w:ascii="Times New Roman" w:hAnsi="Times New Roman"/>
          <w:sz w:val="20"/>
          <w:szCs w:val="20"/>
        </w:rPr>
        <w:t xml:space="preserve">the total allowable blood volume limits for </w:t>
      </w:r>
      <w:r>
        <w:rPr>
          <w:rFonts w:ascii="Times New Roman" w:hAnsi="Times New Roman"/>
          <w:sz w:val="20"/>
          <w:szCs w:val="20"/>
        </w:rPr>
        <w:t>pediatric</w:t>
      </w:r>
      <w:r w:rsidR="00607644">
        <w:rPr>
          <w:rFonts w:ascii="Times New Roman" w:hAnsi="Times New Roman"/>
          <w:sz w:val="20"/>
          <w:szCs w:val="20"/>
        </w:rPr>
        <w:t xml:space="preserve"> patients.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07644" w:rsidRDefault="00607644" w:rsidP="002B50A2">
      <w:pPr>
        <w:rPr>
          <w:rFonts w:ascii="Times New Roman" w:hAnsi="Times New Roman"/>
          <w:b/>
          <w:sz w:val="20"/>
          <w:szCs w:val="20"/>
        </w:rPr>
      </w:pPr>
    </w:p>
    <w:p w:rsidR="00607644" w:rsidRPr="00607644" w:rsidRDefault="005859D1" w:rsidP="002B50A2">
      <w:pPr>
        <w:rPr>
          <w:rFonts w:ascii="Times New Roman" w:hAnsi="Times New Roman"/>
          <w:sz w:val="20"/>
          <w:szCs w:val="20"/>
          <w:u w:val="single"/>
        </w:rPr>
      </w:pPr>
      <w:r w:rsidRPr="00607644">
        <w:rPr>
          <w:rFonts w:ascii="Times New Roman" w:hAnsi="Times New Roman"/>
          <w:b/>
          <w:sz w:val="20"/>
          <w:szCs w:val="20"/>
          <w:u w:val="single"/>
        </w:rPr>
        <w:t>Principle:</w:t>
      </w:r>
    </w:p>
    <w:p w:rsidR="003911B2" w:rsidRPr="00905E2C" w:rsidRDefault="00F91EAA" w:rsidP="00F91E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Iatrogenic anemia is a condition resulting from repeated </w:t>
      </w:r>
      <w:proofErr w:type="spellStart"/>
      <w:r>
        <w:rPr>
          <w:rFonts w:ascii="Times New Roman" w:hAnsi="Times New Roman"/>
          <w:sz w:val="20"/>
          <w:szCs w:val="20"/>
        </w:rPr>
        <w:t>venipunctures</w:t>
      </w:r>
      <w:proofErr w:type="spellEnd"/>
      <w:r>
        <w:rPr>
          <w:rFonts w:ascii="Times New Roman" w:hAnsi="Times New Roman"/>
          <w:sz w:val="20"/>
          <w:szCs w:val="20"/>
        </w:rPr>
        <w:t>, for the purpose of obtaining specimens, for laboratory testing.  This type of anemia is not uncommon and is most often seen in, pediatric patients due to their small blood volume</w:t>
      </w:r>
      <w:r w:rsidR="00384491">
        <w:rPr>
          <w:rFonts w:ascii="Times New Roman" w:hAnsi="Times New Roman"/>
          <w:sz w:val="20"/>
          <w:szCs w:val="20"/>
        </w:rPr>
        <w:t>,</w:t>
      </w:r>
      <w:r w:rsidRPr="00F91E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as well </w:t>
      </w:r>
      <w:r w:rsidR="00384491">
        <w:rPr>
          <w:rFonts w:ascii="Times New Roman" w:hAnsi="Times New Roman"/>
          <w:sz w:val="20"/>
          <w:szCs w:val="20"/>
        </w:rPr>
        <w:t>as seriously</w:t>
      </w:r>
      <w:r>
        <w:rPr>
          <w:rFonts w:ascii="Times New Roman" w:hAnsi="Times New Roman"/>
          <w:sz w:val="20"/>
          <w:szCs w:val="20"/>
        </w:rPr>
        <w:t xml:space="preserve"> ill patients.</w:t>
      </w:r>
    </w:p>
    <w:p w:rsidR="003911B2" w:rsidRPr="00905E2C" w:rsidRDefault="003911B2" w:rsidP="002B50A2">
      <w:pPr>
        <w:rPr>
          <w:rFonts w:ascii="Times New Roman" w:hAnsi="Times New Roman"/>
          <w:sz w:val="20"/>
          <w:szCs w:val="20"/>
        </w:rPr>
      </w:pPr>
    </w:p>
    <w:p w:rsidR="00F91EAA" w:rsidRPr="00F91EAA" w:rsidRDefault="005859D1" w:rsidP="00F91EAA">
      <w:pPr>
        <w:rPr>
          <w:rFonts w:ascii="Times New Roman" w:hAnsi="Times New Roman"/>
          <w:sz w:val="20"/>
          <w:szCs w:val="20"/>
          <w:u w:val="single"/>
        </w:rPr>
      </w:pPr>
      <w:r w:rsidRPr="00F91EAA">
        <w:rPr>
          <w:rFonts w:ascii="Times New Roman" w:hAnsi="Times New Roman"/>
          <w:b/>
          <w:sz w:val="20"/>
          <w:szCs w:val="20"/>
          <w:u w:val="single"/>
        </w:rPr>
        <w:t>Scope:</w:t>
      </w:r>
    </w:p>
    <w:p w:rsidR="005859D1" w:rsidRPr="00905E2C" w:rsidRDefault="00F91EAA" w:rsidP="002B50A2">
      <w:pPr>
        <w:rPr>
          <w:rFonts w:ascii="Times New Roman" w:hAnsi="Times New Roman"/>
          <w:sz w:val="20"/>
          <w:szCs w:val="20"/>
        </w:rPr>
      </w:pPr>
      <w:r w:rsidRPr="00F91EAA">
        <w:rPr>
          <w:rFonts w:ascii="Times New Roman" w:hAnsi="Times New Roman"/>
          <w:sz w:val="20"/>
          <w:szCs w:val="20"/>
        </w:rPr>
        <w:t>This procedure applies to all phlebotomy staff members working in The Saratoga Hospital Laboratory</w:t>
      </w:r>
      <w:r w:rsidR="00EA6D9A">
        <w:rPr>
          <w:rFonts w:ascii="Times New Roman" w:hAnsi="Times New Roman"/>
          <w:sz w:val="20"/>
          <w:szCs w:val="20"/>
        </w:rPr>
        <w:t xml:space="preserve">, or </w:t>
      </w:r>
      <w:proofErr w:type="gramStart"/>
      <w:r w:rsidR="00EA6D9A">
        <w:rPr>
          <w:rFonts w:ascii="Times New Roman" w:hAnsi="Times New Roman"/>
          <w:sz w:val="20"/>
          <w:szCs w:val="20"/>
        </w:rPr>
        <w:t xml:space="preserve">any of its </w:t>
      </w:r>
      <w:r w:rsidR="0098503B" w:rsidRPr="00905E2C">
        <w:rPr>
          <w:rFonts w:ascii="Times New Roman" w:hAnsi="Times New Roman"/>
          <w:sz w:val="20"/>
          <w:szCs w:val="20"/>
        </w:rPr>
        <w:t>Patient Service Centers</w:t>
      </w:r>
      <w:proofErr w:type="gramEnd"/>
      <w:r w:rsidR="0098503B" w:rsidRPr="00905E2C">
        <w:rPr>
          <w:rFonts w:ascii="Times New Roman" w:hAnsi="Times New Roman"/>
          <w:sz w:val="20"/>
          <w:szCs w:val="20"/>
        </w:rPr>
        <w:t>.</w:t>
      </w:r>
    </w:p>
    <w:p w:rsidR="005859D1" w:rsidRPr="00905E2C" w:rsidRDefault="005859D1" w:rsidP="002B50A2">
      <w:pPr>
        <w:rPr>
          <w:rFonts w:ascii="Times New Roman" w:hAnsi="Times New Roman"/>
          <w:sz w:val="20"/>
          <w:szCs w:val="20"/>
        </w:rPr>
      </w:pPr>
    </w:p>
    <w:p w:rsidR="003911B2" w:rsidRDefault="003911B2" w:rsidP="002B50A2">
      <w:pPr>
        <w:rPr>
          <w:rFonts w:ascii="Times New Roman" w:hAnsi="Times New Roman"/>
          <w:b/>
          <w:sz w:val="20"/>
          <w:szCs w:val="20"/>
          <w:u w:val="single"/>
        </w:rPr>
      </w:pPr>
      <w:r w:rsidRPr="00F91EAA">
        <w:rPr>
          <w:rFonts w:ascii="Times New Roman" w:hAnsi="Times New Roman"/>
          <w:b/>
          <w:sz w:val="20"/>
          <w:szCs w:val="20"/>
          <w:u w:val="single"/>
        </w:rPr>
        <w:t>Procedure:</w:t>
      </w:r>
    </w:p>
    <w:p w:rsidR="000E6826" w:rsidRDefault="00F91EAA" w:rsidP="00F91EA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Prior to any</w:t>
      </w:r>
      <w:r w:rsidR="000E6826">
        <w:rPr>
          <w:rFonts w:ascii="Times New Roman" w:hAnsi="Times New Roman"/>
          <w:sz w:val="20"/>
          <w:szCs w:val="20"/>
        </w:rPr>
        <w:t xml:space="preserve"> pediatric phlebotomy procedure, review the </w:t>
      </w:r>
      <w:r w:rsidR="00EA6D9A">
        <w:rPr>
          <w:rFonts w:ascii="Times New Roman" w:hAnsi="Times New Roman"/>
          <w:sz w:val="20"/>
          <w:szCs w:val="20"/>
        </w:rPr>
        <w:t>patient’s history to determine any specimen volume drawn within the last 30 days.</w:t>
      </w:r>
    </w:p>
    <w:p w:rsidR="00F91EAA" w:rsidRDefault="000E6826" w:rsidP="00F91EA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F91EAA">
        <w:rPr>
          <w:rFonts w:ascii="Times New Roman" w:hAnsi="Times New Roman"/>
          <w:sz w:val="20"/>
          <w:szCs w:val="20"/>
        </w:rPr>
        <w:t>arefully review the orders to calculate the volume of blood to draw and select the necessary blood tubes.</w:t>
      </w:r>
    </w:p>
    <w:p w:rsidR="00155F8E" w:rsidRPr="00641262" w:rsidRDefault="00F91EAA" w:rsidP="00155F8E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 patients under the age of 14, </w:t>
      </w:r>
      <w:r w:rsidR="00952348">
        <w:rPr>
          <w:rFonts w:ascii="Times New Roman" w:hAnsi="Times New Roman"/>
          <w:sz w:val="20"/>
          <w:szCs w:val="20"/>
        </w:rPr>
        <w:t xml:space="preserve">determine </w:t>
      </w:r>
      <w:r w:rsidR="00155F8E">
        <w:rPr>
          <w:rFonts w:ascii="Times New Roman" w:hAnsi="Times New Roman"/>
          <w:sz w:val="20"/>
          <w:szCs w:val="20"/>
        </w:rPr>
        <w:t>the following using</w:t>
      </w:r>
      <w:r w:rsidR="00155F8E" w:rsidRPr="00155F8E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55F8E" w:rsidRPr="00641262">
        <w:rPr>
          <w:rFonts w:ascii="Times New Roman" w:hAnsi="Times New Roman"/>
          <w:b/>
          <w:i/>
          <w:sz w:val="20"/>
          <w:szCs w:val="20"/>
        </w:rPr>
        <w:t>Attachment</w:t>
      </w:r>
      <w:r w:rsidR="00155F8E" w:rsidRPr="003C498A">
        <w:rPr>
          <w:rFonts w:ascii="Times New Roman" w:hAnsi="Times New Roman"/>
          <w:b/>
          <w:i/>
          <w:sz w:val="20"/>
          <w:szCs w:val="20"/>
        </w:rPr>
        <w:t xml:space="preserve"> 1:  Maximum Allowable Total Blood Draw Volumes Chart</w:t>
      </w:r>
      <w:r w:rsidR="00155F8E">
        <w:rPr>
          <w:rFonts w:ascii="Times New Roman" w:hAnsi="Times New Roman"/>
          <w:b/>
          <w:i/>
          <w:sz w:val="20"/>
          <w:szCs w:val="20"/>
        </w:rPr>
        <w:t>.</w:t>
      </w:r>
    </w:p>
    <w:p w:rsidR="00155F8E" w:rsidRDefault="00155F8E" w:rsidP="00155F8E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384491">
        <w:rPr>
          <w:rFonts w:ascii="Times New Roman" w:hAnsi="Times New Roman"/>
          <w:sz w:val="20"/>
          <w:szCs w:val="20"/>
        </w:rPr>
        <w:t>aximum</w:t>
      </w:r>
      <w:r w:rsidR="009740D3">
        <w:rPr>
          <w:rFonts w:ascii="Times New Roman" w:hAnsi="Times New Roman"/>
          <w:sz w:val="20"/>
          <w:szCs w:val="20"/>
        </w:rPr>
        <w:t xml:space="preserve"> allowable </w:t>
      </w:r>
      <w:r>
        <w:rPr>
          <w:rFonts w:ascii="Times New Roman" w:hAnsi="Times New Roman"/>
          <w:sz w:val="20"/>
          <w:szCs w:val="20"/>
        </w:rPr>
        <w:t xml:space="preserve">blood draw volume for a </w:t>
      </w:r>
      <w:r w:rsidR="009740D3">
        <w:rPr>
          <w:rFonts w:ascii="Times New Roman" w:hAnsi="Times New Roman"/>
          <w:sz w:val="20"/>
          <w:szCs w:val="20"/>
        </w:rPr>
        <w:t>24 hr period</w:t>
      </w:r>
    </w:p>
    <w:p w:rsidR="00155F8E" w:rsidRDefault="00155F8E" w:rsidP="00155F8E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9740D3">
        <w:rPr>
          <w:rFonts w:ascii="Times New Roman" w:hAnsi="Times New Roman"/>
          <w:sz w:val="20"/>
          <w:szCs w:val="20"/>
        </w:rPr>
        <w:t xml:space="preserve">he allowable </w:t>
      </w:r>
      <w:r>
        <w:rPr>
          <w:rFonts w:ascii="Times New Roman" w:hAnsi="Times New Roman"/>
          <w:sz w:val="20"/>
          <w:szCs w:val="20"/>
        </w:rPr>
        <w:t xml:space="preserve">blood draw volume for a </w:t>
      </w:r>
      <w:r w:rsidR="009740D3">
        <w:rPr>
          <w:rFonts w:ascii="Times New Roman" w:hAnsi="Times New Roman"/>
          <w:sz w:val="20"/>
          <w:szCs w:val="20"/>
        </w:rPr>
        <w:t xml:space="preserve">30 day period for repeat patients </w:t>
      </w:r>
      <w:r w:rsidR="00641262">
        <w:rPr>
          <w:rFonts w:ascii="Times New Roman" w:hAnsi="Times New Roman"/>
          <w:sz w:val="20"/>
          <w:szCs w:val="20"/>
        </w:rPr>
        <w:t xml:space="preserve">using </w:t>
      </w:r>
    </w:p>
    <w:p w:rsidR="00641262" w:rsidRPr="00F91EAA" w:rsidRDefault="00641262" w:rsidP="00641262">
      <w:pPr>
        <w:ind w:left="360"/>
        <w:rPr>
          <w:rFonts w:ascii="Times New Roman" w:hAnsi="Times New Roman"/>
          <w:sz w:val="20"/>
          <w:szCs w:val="20"/>
        </w:rPr>
      </w:pPr>
    </w:p>
    <w:p w:rsidR="00641262" w:rsidRDefault="00641262" w:rsidP="00641262">
      <w:pPr>
        <w:ind w:left="360"/>
        <w:rPr>
          <w:rFonts w:ascii="Times New Roman" w:hAnsi="Times New Roman"/>
          <w:b/>
          <w:i/>
          <w:sz w:val="20"/>
          <w:szCs w:val="20"/>
        </w:rPr>
      </w:pPr>
      <w:r w:rsidRPr="00641262">
        <w:rPr>
          <w:rFonts w:ascii="Times New Roman" w:hAnsi="Times New Roman"/>
          <w:b/>
          <w:i/>
          <w:sz w:val="20"/>
          <w:szCs w:val="20"/>
        </w:rPr>
        <w:t xml:space="preserve">Note:  If the minimum amount required for testing exceeds the maximum allowable, the ordering </w:t>
      </w:r>
      <w:r>
        <w:rPr>
          <w:rFonts w:ascii="Times New Roman" w:hAnsi="Times New Roman"/>
          <w:b/>
          <w:i/>
          <w:sz w:val="20"/>
          <w:szCs w:val="20"/>
        </w:rPr>
        <w:t>provider</w:t>
      </w:r>
      <w:r w:rsidRPr="00641262">
        <w:rPr>
          <w:rFonts w:ascii="Times New Roman" w:hAnsi="Times New Roman"/>
          <w:b/>
          <w:i/>
          <w:sz w:val="20"/>
          <w:szCs w:val="20"/>
        </w:rPr>
        <w:t xml:space="preserve"> must be notified. The </w:t>
      </w:r>
      <w:r>
        <w:rPr>
          <w:rFonts w:ascii="Times New Roman" w:hAnsi="Times New Roman"/>
          <w:b/>
          <w:i/>
          <w:sz w:val="20"/>
          <w:szCs w:val="20"/>
        </w:rPr>
        <w:t>provider</w:t>
      </w:r>
      <w:r w:rsidRPr="00641262">
        <w:rPr>
          <w:rFonts w:ascii="Times New Roman" w:hAnsi="Times New Roman"/>
          <w:b/>
          <w:i/>
          <w:sz w:val="20"/>
          <w:szCs w:val="20"/>
        </w:rPr>
        <w:t xml:space="preserve"> will determine which tests should be performed.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641262" w:rsidRDefault="00641262" w:rsidP="00641262">
      <w:pPr>
        <w:ind w:left="360"/>
        <w:rPr>
          <w:rFonts w:ascii="Times New Roman" w:hAnsi="Times New Roman"/>
          <w:b/>
          <w:i/>
          <w:sz w:val="20"/>
          <w:szCs w:val="20"/>
        </w:rPr>
      </w:pPr>
    </w:p>
    <w:p w:rsidR="00641262" w:rsidRPr="00641262" w:rsidRDefault="00641262" w:rsidP="00641262">
      <w:pPr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Note:  </w:t>
      </w:r>
      <w:r w:rsidRPr="00641262">
        <w:rPr>
          <w:rFonts w:ascii="Times New Roman" w:hAnsi="Times New Roman"/>
          <w:b/>
          <w:i/>
          <w:sz w:val="20"/>
          <w:szCs w:val="20"/>
        </w:rPr>
        <w:t>Blood draw volumes in excess of the maximum allowable must be approved by the ordering physician and such approval documented using the provided canned comment “LLBV</w:t>
      </w:r>
      <w:r w:rsidR="00E97286">
        <w:rPr>
          <w:rFonts w:ascii="Times New Roman" w:hAnsi="Times New Roman"/>
          <w:b/>
          <w:i/>
          <w:sz w:val="20"/>
          <w:szCs w:val="20"/>
        </w:rPr>
        <w:t>OK</w:t>
      </w:r>
      <w:r w:rsidRPr="00641262">
        <w:rPr>
          <w:rFonts w:ascii="Times New Roman" w:hAnsi="Times New Roman"/>
          <w:b/>
          <w:i/>
          <w:sz w:val="20"/>
          <w:szCs w:val="20"/>
        </w:rPr>
        <w:t xml:space="preserve">” in </w:t>
      </w:r>
      <w:proofErr w:type="spellStart"/>
      <w:r w:rsidRPr="00641262">
        <w:rPr>
          <w:rFonts w:ascii="Times New Roman" w:hAnsi="Times New Roman"/>
          <w:b/>
          <w:i/>
          <w:sz w:val="20"/>
          <w:szCs w:val="20"/>
        </w:rPr>
        <w:t>Meditech</w:t>
      </w:r>
      <w:proofErr w:type="spellEnd"/>
      <w:r w:rsidRPr="00641262">
        <w:rPr>
          <w:rFonts w:ascii="Times New Roman" w:hAnsi="Times New Roman"/>
          <w:b/>
          <w:i/>
          <w:sz w:val="20"/>
          <w:szCs w:val="20"/>
        </w:rPr>
        <w:t xml:space="preserve"> through enter/edit requisition.</w:t>
      </w:r>
      <w:r w:rsidRPr="00641262">
        <w:rPr>
          <w:rFonts w:ascii="Times New Roman" w:hAnsi="Times New Roman"/>
          <w:b/>
          <w:sz w:val="20"/>
          <w:szCs w:val="20"/>
        </w:rPr>
        <w:t xml:space="preserve"> </w:t>
      </w:r>
    </w:p>
    <w:p w:rsidR="00641262" w:rsidRPr="00641262" w:rsidRDefault="00641262" w:rsidP="00641262">
      <w:pPr>
        <w:ind w:left="360"/>
        <w:rPr>
          <w:rFonts w:ascii="Times New Roman" w:hAnsi="Times New Roman"/>
          <w:i/>
          <w:sz w:val="20"/>
          <w:szCs w:val="20"/>
        </w:rPr>
      </w:pPr>
    </w:p>
    <w:p w:rsidR="00E97286" w:rsidRDefault="00E97286" w:rsidP="00961C6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volumes must be recorded according to </w:t>
      </w:r>
      <w:r w:rsidRPr="00E97286">
        <w:rPr>
          <w:rFonts w:ascii="Times New Roman" w:hAnsi="Times New Roman"/>
          <w:b/>
          <w:i/>
          <w:sz w:val="20"/>
          <w:szCs w:val="20"/>
        </w:rPr>
        <w:t>Attachment 2:  Entering Total Volume Collect for Patients &lt; 14 years</w:t>
      </w:r>
      <w:r>
        <w:rPr>
          <w:rFonts w:ascii="Times New Roman" w:hAnsi="Times New Roman"/>
          <w:sz w:val="20"/>
          <w:szCs w:val="20"/>
        </w:rPr>
        <w:t>.</w:t>
      </w:r>
    </w:p>
    <w:p w:rsidR="008673C3" w:rsidRDefault="009A7333" w:rsidP="008673C3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05E2C">
        <w:rPr>
          <w:rFonts w:ascii="Times New Roman" w:hAnsi="Times New Roman"/>
          <w:sz w:val="20"/>
          <w:szCs w:val="20"/>
        </w:rPr>
        <w:t>E</w:t>
      </w:r>
      <w:r w:rsidR="00196DC6" w:rsidRPr="00905E2C">
        <w:rPr>
          <w:rFonts w:ascii="Times New Roman" w:hAnsi="Times New Roman"/>
          <w:sz w:val="20"/>
          <w:szCs w:val="20"/>
        </w:rPr>
        <w:t xml:space="preserve">very attempt </w:t>
      </w:r>
      <w:r w:rsidRPr="00905E2C">
        <w:rPr>
          <w:rFonts w:ascii="Times New Roman" w:hAnsi="Times New Roman"/>
          <w:sz w:val="20"/>
          <w:szCs w:val="20"/>
        </w:rPr>
        <w:t xml:space="preserve">will be </w:t>
      </w:r>
      <w:r w:rsidR="00196DC6" w:rsidRPr="00905E2C">
        <w:rPr>
          <w:rFonts w:ascii="Times New Roman" w:hAnsi="Times New Roman"/>
          <w:sz w:val="20"/>
          <w:szCs w:val="20"/>
        </w:rPr>
        <w:t xml:space="preserve">made to minimize unnecessarily large blood draw volumes. </w:t>
      </w:r>
      <w:r w:rsidR="008673C3">
        <w:rPr>
          <w:rFonts w:ascii="Times New Roman" w:hAnsi="Times New Roman"/>
          <w:sz w:val="20"/>
          <w:szCs w:val="20"/>
        </w:rPr>
        <w:t xml:space="preserve">The following </w:t>
      </w:r>
      <w:r w:rsidR="00155F8E">
        <w:rPr>
          <w:rFonts w:ascii="Times New Roman" w:hAnsi="Times New Roman"/>
          <w:sz w:val="20"/>
          <w:szCs w:val="20"/>
        </w:rPr>
        <w:t xml:space="preserve">is </w:t>
      </w:r>
      <w:r w:rsidR="008673C3">
        <w:rPr>
          <w:rFonts w:ascii="Times New Roman" w:hAnsi="Times New Roman"/>
          <w:sz w:val="20"/>
          <w:szCs w:val="20"/>
        </w:rPr>
        <w:t>a list of steps that will be taken to minimize blood draw volumes.</w:t>
      </w:r>
    </w:p>
    <w:p w:rsidR="008673C3" w:rsidRDefault="008673C3" w:rsidP="008673C3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Use smaller collection tubes when possible.</w:t>
      </w:r>
    </w:p>
    <w:p w:rsidR="008673C3" w:rsidRDefault="008673C3" w:rsidP="008673C3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Share single tubes for multiple tests.</w:t>
      </w:r>
    </w:p>
    <w:p w:rsidR="008673C3" w:rsidRDefault="008673C3" w:rsidP="008673C3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Combine </w:t>
      </w:r>
      <w:r w:rsidR="00BB36E6">
        <w:rPr>
          <w:rFonts w:ascii="Times New Roman" w:hAnsi="Times New Roman"/>
          <w:sz w:val="20"/>
          <w:szCs w:val="20"/>
        </w:rPr>
        <w:t>orders when approved by patient care staff.</w:t>
      </w:r>
    </w:p>
    <w:p w:rsidR="008673C3" w:rsidRDefault="008673C3" w:rsidP="00BB36E6">
      <w:pPr>
        <w:rPr>
          <w:rFonts w:ascii="Times New Roman" w:hAnsi="Times New Roman"/>
          <w:sz w:val="20"/>
          <w:szCs w:val="20"/>
        </w:rPr>
      </w:pPr>
    </w:p>
    <w:p w:rsidR="0069046A" w:rsidRPr="003A2A4F" w:rsidRDefault="00257A05" w:rsidP="00257A05">
      <w:pPr>
        <w:rPr>
          <w:rFonts w:ascii="Times New Roman" w:hAnsi="Times New Roman"/>
          <w:b/>
          <w:sz w:val="20"/>
          <w:szCs w:val="20"/>
          <w:u w:val="single"/>
        </w:rPr>
      </w:pPr>
      <w:r w:rsidRPr="003A2A4F">
        <w:rPr>
          <w:rFonts w:ascii="Times New Roman" w:hAnsi="Times New Roman"/>
          <w:b/>
          <w:sz w:val="20"/>
          <w:szCs w:val="20"/>
          <w:u w:val="single"/>
        </w:rPr>
        <w:t xml:space="preserve">References: </w:t>
      </w:r>
    </w:p>
    <w:p w:rsidR="003A2A4F" w:rsidRDefault="003A2A4F" w:rsidP="003A2A4F">
      <w:pPr>
        <w:rPr>
          <w:rFonts w:ascii="Times New Roman" w:hAnsi="Times New Roman"/>
          <w:sz w:val="20"/>
          <w:szCs w:val="20"/>
        </w:rPr>
      </w:pPr>
      <w:r w:rsidRPr="003A2A4F">
        <w:rPr>
          <w:rFonts w:ascii="Times New Roman" w:hAnsi="Times New Roman"/>
          <w:sz w:val="20"/>
          <w:szCs w:val="20"/>
        </w:rPr>
        <w:t xml:space="preserve">North Shore LIJ. (2013, January 15). </w:t>
      </w:r>
      <w:r w:rsidRPr="003A2A4F">
        <w:rPr>
          <w:rFonts w:ascii="Times New Roman" w:hAnsi="Times New Roman"/>
          <w:i/>
          <w:iCs/>
          <w:sz w:val="20"/>
          <w:szCs w:val="20"/>
        </w:rPr>
        <w:t>Maximum blood draw limits</w:t>
      </w:r>
      <w:r w:rsidRPr="003A2A4F">
        <w:rPr>
          <w:rFonts w:ascii="Times New Roman" w:hAnsi="Times New Roman"/>
          <w:sz w:val="20"/>
          <w:szCs w:val="20"/>
        </w:rPr>
        <w:t xml:space="preserve">. Retrieved from http://www.feinsteininstitute.org/wp-content/uploads/2013/02/Maximum-Blood-Draw-Limits.pdf </w:t>
      </w:r>
    </w:p>
    <w:p w:rsidR="001D0533" w:rsidRDefault="001D0533" w:rsidP="003A2A4F">
      <w:pPr>
        <w:rPr>
          <w:rFonts w:ascii="Times New Roman" w:hAnsi="Times New Roman"/>
          <w:sz w:val="20"/>
          <w:szCs w:val="20"/>
        </w:rPr>
      </w:pPr>
    </w:p>
    <w:p w:rsidR="001D0533" w:rsidRDefault="001D0533" w:rsidP="003A2A4F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Attachments:</w:t>
      </w:r>
    </w:p>
    <w:p w:rsidR="001D0533" w:rsidRPr="00641262" w:rsidRDefault="001D0533" w:rsidP="001D0533">
      <w:pPr>
        <w:rPr>
          <w:rFonts w:ascii="Times New Roman" w:hAnsi="Times New Roman"/>
          <w:sz w:val="20"/>
          <w:szCs w:val="20"/>
        </w:rPr>
      </w:pPr>
      <w:r w:rsidRPr="00641262">
        <w:rPr>
          <w:rFonts w:ascii="Times New Roman" w:hAnsi="Times New Roman"/>
          <w:b/>
          <w:i/>
          <w:sz w:val="20"/>
          <w:szCs w:val="20"/>
        </w:rPr>
        <w:t>Attachment</w:t>
      </w:r>
      <w:r w:rsidRPr="003C498A">
        <w:rPr>
          <w:rFonts w:ascii="Times New Roman" w:hAnsi="Times New Roman"/>
          <w:b/>
          <w:i/>
          <w:sz w:val="20"/>
          <w:szCs w:val="20"/>
        </w:rPr>
        <w:t xml:space="preserve"> 1:  Maximum Allowable Total Blood Draw Volumes Chart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1D0533" w:rsidRPr="001D0533" w:rsidRDefault="001D0533" w:rsidP="003A2A4F">
      <w:pPr>
        <w:rPr>
          <w:rFonts w:ascii="Times New Roman" w:hAnsi="Times New Roman"/>
          <w:b/>
          <w:sz w:val="20"/>
          <w:szCs w:val="20"/>
          <w:u w:val="single"/>
        </w:rPr>
      </w:pPr>
      <w:r w:rsidRPr="00E97286">
        <w:rPr>
          <w:rFonts w:ascii="Times New Roman" w:hAnsi="Times New Roman"/>
          <w:b/>
          <w:i/>
          <w:sz w:val="20"/>
          <w:szCs w:val="20"/>
        </w:rPr>
        <w:t>Attachment 2:  Entering Total Volume Collect for Patients &lt; 14 years</w:t>
      </w:r>
      <w:r>
        <w:rPr>
          <w:rFonts w:ascii="Times New Roman" w:hAnsi="Times New Roman"/>
          <w:sz w:val="20"/>
          <w:szCs w:val="20"/>
        </w:rPr>
        <w:t>.</w:t>
      </w:r>
    </w:p>
    <w:p w:rsidR="001D0533" w:rsidRDefault="001D0533" w:rsidP="00257A05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324"/>
        <w:gridCol w:w="900"/>
        <w:gridCol w:w="1440"/>
        <w:gridCol w:w="270"/>
        <w:gridCol w:w="810"/>
        <w:gridCol w:w="236"/>
        <w:gridCol w:w="2700"/>
        <w:gridCol w:w="270"/>
        <w:gridCol w:w="682"/>
        <w:gridCol w:w="56"/>
      </w:tblGrid>
      <w:tr w:rsidR="001D0533" w:rsidRPr="001D0533" w:rsidTr="001D0533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Date of Origin: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03/01/07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Prepared By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Brian Staring</w:t>
            </w:r>
          </w:p>
        </w:tc>
      </w:tr>
      <w:tr w:rsidR="001D0533" w:rsidRPr="001D0533" w:rsidTr="001D0533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06/08/09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Revised By: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Roger Brodeur</w:t>
            </w:r>
          </w:p>
        </w:tc>
      </w:tr>
      <w:tr w:rsidR="001D0533" w:rsidRPr="001D0533" w:rsidTr="001D0533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03/20/13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Revised By: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Teri Baldwin</w:t>
            </w:r>
          </w:p>
        </w:tc>
      </w:tr>
      <w:tr w:rsidR="001D0533" w:rsidRPr="001D0533" w:rsidTr="001D0533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0533" w:rsidRPr="001D0533" w:rsidTr="001D0533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0533" w:rsidRPr="001D0533" w:rsidTr="001D0533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b/>
                <w:sz w:val="16"/>
                <w:szCs w:val="16"/>
              </w:rPr>
              <w:t>Date Placed in Service: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0533" w:rsidRPr="001D0533" w:rsidTr="001D0533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0533" w:rsidRPr="001D0533" w:rsidTr="001D0533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b/>
                <w:sz w:val="16"/>
                <w:szCs w:val="16"/>
              </w:rPr>
              <w:t xml:space="preserve">Approved by: 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0533" w:rsidRPr="001D0533" w:rsidTr="001D0533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D0533" w:rsidRPr="001D0533" w:rsidRDefault="001D0533" w:rsidP="001D05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Supervisor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bottom"/>
          </w:tcPr>
          <w:p w:rsidR="001D0533" w:rsidRPr="001D0533" w:rsidRDefault="001D0533" w:rsidP="001D05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bottom"/>
          </w:tcPr>
          <w:p w:rsidR="001D0533" w:rsidRPr="001D0533" w:rsidRDefault="001D0533" w:rsidP="001D05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William E. Field II, MD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533" w:rsidRPr="001D0533" w:rsidRDefault="001D0533" w:rsidP="001D05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D0533" w:rsidRPr="001D0533" w:rsidRDefault="001D0533" w:rsidP="001D05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0533"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</w:tr>
    </w:tbl>
    <w:p w:rsidR="00905E2C" w:rsidRPr="00905E2C" w:rsidRDefault="00905E2C" w:rsidP="00257A05">
      <w:pPr>
        <w:rPr>
          <w:rFonts w:ascii="Times New Roman" w:hAnsi="Times New Roman"/>
          <w:sz w:val="20"/>
          <w:szCs w:val="20"/>
        </w:rPr>
      </w:pPr>
    </w:p>
    <w:p w:rsidR="001D0533" w:rsidRDefault="001D0533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D0533" w:rsidRDefault="001D0533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D0533" w:rsidRDefault="001D0533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D0533" w:rsidRDefault="001D0533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64568" w:rsidRPr="00FE3550" w:rsidRDefault="00564568" w:rsidP="00564568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lastRenderedPageBreak/>
        <w:t>Saratoga Hospital Laboratory</w:t>
      </w:r>
    </w:p>
    <w:p w:rsidR="00564568" w:rsidRPr="00FE3550" w:rsidRDefault="00564568" w:rsidP="00564568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t>211 Church Street, Saratoga Springs, NY 12866</w:t>
      </w:r>
    </w:p>
    <w:p w:rsidR="00C555CD" w:rsidRDefault="00C555CD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C555CD" w:rsidRDefault="00C555CD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C555CD" w:rsidRPr="00641262" w:rsidRDefault="00C555CD" w:rsidP="00C555CD">
      <w:pPr>
        <w:rPr>
          <w:rFonts w:ascii="Times New Roman" w:hAnsi="Times New Roman"/>
          <w:sz w:val="20"/>
          <w:szCs w:val="20"/>
        </w:rPr>
      </w:pPr>
      <w:r w:rsidRPr="00641262">
        <w:rPr>
          <w:rFonts w:ascii="Times New Roman" w:hAnsi="Times New Roman"/>
          <w:b/>
          <w:i/>
          <w:sz w:val="20"/>
          <w:szCs w:val="20"/>
        </w:rPr>
        <w:t>Attachment</w:t>
      </w:r>
      <w:r w:rsidRPr="003C498A">
        <w:rPr>
          <w:rFonts w:ascii="Times New Roman" w:hAnsi="Times New Roman"/>
          <w:b/>
          <w:i/>
          <w:sz w:val="20"/>
          <w:szCs w:val="20"/>
        </w:rPr>
        <w:t xml:space="preserve"> 1:  Maximum Allowable Total Blood Draw Volumes Chart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1D0533" w:rsidRDefault="001D0533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D0533" w:rsidRDefault="001D0533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8334" w:type="dxa"/>
        <w:tblInd w:w="96" w:type="dxa"/>
        <w:tblLook w:val="0000"/>
      </w:tblPr>
      <w:tblGrid>
        <w:gridCol w:w="1584"/>
        <w:gridCol w:w="2430"/>
        <w:gridCol w:w="2160"/>
        <w:gridCol w:w="2160"/>
      </w:tblGrid>
      <w:tr w:rsidR="00780E35" w:rsidRPr="00905E2C" w:rsidTr="00564568">
        <w:trPr>
          <w:trHeight w:val="276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 xml:space="preserve">Body </w:t>
            </w:r>
            <w:r w:rsidR="00C555CD" w:rsidRPr="00564568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 xml:space="preserve">t. </w:t>
            </w:r>
            <w:r w:rsidR="00C555CD" w:rsidRPr="00564568">
              <w:rPr>
                <w:rFonts w:ascii="Times New Roman" w:hAnsi="Times New Roman"/>
                <w:b/>
                <w:sz w:val="20"/>
                <w:szCs w:val="20"/>
              </w:rPr>
              <w:t>(lbs)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  <w:r w:rsidR="00564568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 xml:space="preserve">lood </w:t>
            </w:r>
            <w:r w:rsidR="00564568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 xml:space="preserve">olume </w:t>
            </w:r>
            <w:r w:rsidR="00C555CD" w:rsidRPr="005645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mL</w:t>
            </w:r>
            <w:proofErr w:type="spellEnd"/>
            <w:r w:rsidR="00C555CD" w:rsidRPr="005645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80E35" w:rsidRPr="00564568" w:rsidRDefault="00C555CD" w:rsidP="006D62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4568">
              <w:rPr>
                <w:rFonts w:ascii="Times New Roman" w:hAnsi="Times New Roman"/>
                <w:b/>
                <w:sz w:val="16"/>
                <w:szCs w:val="16"/>
              </w:rPr>
              <w:t>Max allowable volume in a 24 hour period</w:t>
            </w:r>
            <w:r w:rsidR="006D62C0" w:rsidRPr="00564568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6D62C0" w:rsidRPr="00564568">
              <w:rPr>
                <w:rFonts w:ascii="Times New Roman" w:hAnsi="Times New Roman"/>
                <w:b/>
                <w:sz w:val="16"/>
                <w:szCs w:val="16"/>
              </w:rPr>
              <w:t>mL</w:t>
            </w:r>
            <w:proofErr w:type="spellEnd"/>
            <w:r w:rsidR="006D62C0" w:rsidRPr="0056456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780E35" w:rsidRPr="00564568" w:rsidRDefault="00C555CD" w:rsidP="006D62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4568">
              <w:rPr>
                <w:rFonts w:ascii="Times New Roman" w:hAnsi="Times New Roman"/>
                <w:b/>
                <w:sz w:val="16"/>
                <w:szCs w:val="16"/>
              </w:rPr>
              <w:t>Max allowable volume in a 30-day period</w:t>
            </w:r>
            <w:r w:rsidR="006D62C0" w:rsidRPr="00564568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6D62C0" w:rsidRPr="00564568">
              <w:rPr>
                <w:rFonts w:ascii="Times New Roman" w:hAnsi="Times New Roman"/>
                <w:b/>
                <w:sz w:val="16"/>
                <w:szCs w:val="16"/>
              </w:rPr>
              <w:t>mL</w:t>
            </w:r>
            <w:proofErr w:type="spellEnd"/>
            <w:r w:rsidR="006D62C0" w:rsidRPr="0056456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4.4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C555CD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6.6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8.8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13.2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15.4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17.6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19.8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24-</w:t>
            </w:r>
            <w:r w:rsidR="00C555CD" w:rsidRPr="005645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880-1200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22-30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44-60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35-44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1280-1600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32-40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64-80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46-55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1680-2000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42-50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6D62C0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80E35" w:rsidRPr="00905E2C">
              <w:rPr>
                <w:rFonts w:ascii="Times New Roman" w:hAnsi="Times New Roman"/>
                <w:sz w:val="20"/>
                <w:szCs w:val="20"/>
              </w:rPr>
              <w:t>4-100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57-66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2080-2400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52-60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104-120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68-77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2480-2800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62-70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124-140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79-88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2880-3200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72-80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144-160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90-99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3280-3600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82-90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164-180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101-110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3680-4000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92-100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184-200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112-121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4080-4400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102-110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204-220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123-132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4480-4800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112-120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224-240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134-143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4</w:t>
            </w:r>
            <w:r w:rsidR="006D62C0">
              <w:rPr>
                <w:rFonts w:ascii="Times New Roman" w:hAnsi="Times New Roman"/>
                <w:sz w:val="20"/>
                <w:szCs w:val="20"/>
              </w:rPr>
              <w:t>8</w:t>
            </w:r>
            <w:r w:rsidRPr="00905E2C">
              <w:rPr>
                <w:rFonts w:ascii="Times New Roman" w:hAnsi="Times New Roman"/>
                <w:sz w:val="20"/>
                <w:szCs w:val="20"/>
              </w:rPr>
              <w:t>80-5200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122-130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244-260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145-154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5280-5600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132-140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264-280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156-165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5680-6000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142-150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284-300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167-176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6080-6400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152-160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304-360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178-187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6480-6800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162-170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324-340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189-198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6880-7200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172-180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344-360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200-209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7280-7600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182-190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364-380</w:t>
            </w:r>
          </w:p>
        </w:tc>
      </w:tr>
      <w:tr w:rsidR="00780E35" w:rsidRPr="00905E2C" w:rsidTr="00564568">
        <w:trPr>
          <w:trHeight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564568" w:rsidRDefault="00780E35" w:rsidP="006D6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568">
              <w:rPr>
                <w:rFonts w:ascii="Times New Roman" w:hAnsi="Times New Roman"/>
                <w:b/>
                <w:sz w:val="20"/>
                <w:szCs w:val="20"/>
              </w:rPr>
              <w:t>211-220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7680-8000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192-200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80E35" w:rsidRPr="00905E2C" w:rsidRDefault="00780E35" w:rsidP="006D6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2C">
              <w:rPr>
                <w:rFonts w:ascii="Times New Roman" w:hAnsi="Times New Roman"/>
                <w:sz w:val="20"/>
                <w:szCs w:val="20"/>
              </w:rPr>
              <w:t>384-400</w:t>
            </w:r>
          </w:p>
        </w:tc>
      </w:tr>
    </w:tbl>
    <w:p w:rsidR="00460570" w:rsidRDefault="00460570" w:rsidP="004605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The above chart information was obtained from </w:t>
      </w:r>
      <w:r w:rsidRPr="00564568">
        <w:rPr>
          <w:rFonts w:ascii="Times New Roman" w:hAnsi="Times New Roman"/>
          <w:b/>
          <w:sz w:val="20"/>
          <w:szCs w:val="20"/>
        </w:rPr>
        <w:t>North Shore LIJ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Pr="00FE3550" w:rsidRDefault="00564568" w:rsidP="00564568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lastRenderedPageBreak/>
        <w:t>Saratoga Hospital Laboratory</w:t>
      </w:r>
    </w:p>
    <w:p w:rsidR="00564568" w:rsidRPr="00FE3550" w:rsidRDefault="00564568" w:rsidP="00564568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t>211 Church Street, Saratoga Springs, NY 12866</w:t>
      </w: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Pr="001D0533" w:rsidRDefault="00564568" w:rsidP="00564568">
      <w:pPr>
        <w:rPr>
          <w:rFonts w:ascii="Times New Roman" w:hAnsi="Times New Roman"/>
          <w:b/>
          <w:sz w:val="20"/>
          <w:szCs w:val="20"/>
          <w:u w:val="single"/>
        </w:rPr>
      </w:pPr>
      <w:r w:rsidRPr="00E97286">
        <w:rPr>
          <w:rFonts w:ascii="Times New Roman" w:hAnsi="Times New Roman"/>
          <w:b/>
          <w:i/>
          <w:sz w:val="20"/>
          <w:szCs w:val="20"/>
        </w:rPr>
        <w:t>Attachment 2:  Entering Total Volume Collect for Patients &lt; 14 years</w:t>
      </w:r>
      <w:r>
        <w:rPr>
          <w:rFonts w:ascii="Times New Roman" w:hAnsi="Times New Roman"/>
          <w:sz w:val="20"/>
          <w:szCs w:val="20"/>
        </w:rPr>
        <w:t>.</w:t>
      </w:r>
    </w:p>
    <w:p w:rsidR="00564568" w:rsidRDefault="00564568" w:rsidP="00564568">
      <w:pPr>
        <w:rPr>
          <w:rFonts w:ascii="Times New Roman" w:hAnsi="Times New Roman"/>
          <w:b/>
          <w:sz w:val="20"/>
          <w:szCs w:val="20"/>
        </w:rPr>
      </w:pPr>
    </w:p>
    <w:p w:rsidR="00564568" w:rsidRPr="00564568" w:rsidRDefault="00564568" w:rsidP="00564568">
      <w:pPr>
        <w:rPr>
          <w:rFonts w:ascii="Times New Roman" w:hAnsi="Times New Roman"/>
          <w:b/>
          <w:sz w:val="20"/>
          <w:szCs w:val="20"/>
          <w:u w:val="single"/>
        </w:rPr>
      </w:pPr>
      <w:r w:rsidRPr="00564568">
        <w:rPr>
          <w:rFonts w:ascii="Times New Roman" w:hAnsi="Times New Roman"/>
          <w:b/>
          <w:sz w:val="20"/>
          <w:szCs w:val="20"/>
          <w:u w:val="single"/>
        </w:rPr>
        <w:t>Pediatric Volume Entry:</w:t>
      </w:r>
    </w:p>
    <w:p w:rsidR="00564568" w:rsidRDefault="00564568" w:rsidP="00564568">
      <w:pPr>
        <w:rPr>
          <w:rFonts w:ascii="Times New Roman" w:hAnsi="Times New Roman"/>
          <w:sz w:val="20"/>
          <w:szCs w:val="20"/>
        </w:rPr>
      </w:pPr>
    </w:p>
    <w:p w:rsidR="00564568" w:rsidRDefault="001362A4" w:rsidP="00564568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From the </w:t>
      </w:r>
      <w:proofErr w:type="spellStart"/>
      <w:r>
        <w:rPr>
          <w:rFonts w:ascii="Times New Roman" w:hAnsi="Times New Roman"/>
          <w:sz w:val="20"/>
          <w:szCs w:val="20"/>
        </w:rPr>
        <w:t>Meditech</w:t>
      </w:r>
      <w:proofErr w:type="spellEnd"/>
      <w:r>
        <w:rPr>
          <w:rFonts w:ascii="Times New Roman" w:hAnsi="Times New Roman"/>
          <w:sz w:val="20"/>
          <w:szCs w:val="20"/>
        </w:rPr>
        <w:t xml:space="preserve"> Laboratory Main Menu, choose </w:t>
      </w:r>
      <w:r>
        <w:rPr>
          <w:rFonts w:ascii="Times New Roman" w:hAnsi="Times New Roman"/>
          <w:b/>
          <w:sz w:val="20"/>
          <w:szCs w:val="20"/>
        </w:rPr>
        <w:t>11. Specimen Collection</w:t>
      </w:r>
      <w:r>
        <w:rPr>
          <w:rFonts w:ascii="Times New Roman" w:hAnsi="Times New Roman"/>
          <w:sz w:val="20"/>
          <w:szCs w:val="20"/>
        </w:rPr>
        <w:t>.</w:t>
      </w:r>
    </w:p>
    <w:p w:rsidR="001362A4" w:rsidRDefault="001362A4" w:rsidP="00564568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From the LIS Specimen Collection Menu, under Receive, choose </w:t>
      </w:r>
      <w:r>
        <w:rPr>
          <w:rFonts w:ascii="Times New Roman" w:hAnsi="Times New Roman"/>
          <w:b/>
          <w:sz w:val="20"/>
          <w:szCs w:val="20"/>
        </w:rPr>
        <w:t>21. By Specimen</w:t>
      </w:r>
      <w:r>
        <w:rPr>
          <w:rFonts w:ascii="Times New Roman" w:hAnsi="Times New Roman"/>
          <w:sz w:val="20"/>
          <w:szCs w:val="20"/>
        </w:rPr>
        <w:t>.</w:t>
      </w:r>
    </w:p>
    <w:p w:rsidR="001362A4" w:rsidRDefault="001362A4" w:rsidP="00564568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Enter through until the cursor is in the E/E COM? Field.  Type 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in the space and hit Enter.  The Default Specimen Comments screen will pop up.</w:t>
      </w:r>
    </w:p>
    <w:p w:rsidR="001362A4" w:rsidRDefault="001362A4" w:rsidP="001362A4">
      <w:pPr>
        <w:pStyle w:val="ListParagraph"/>
        <w:rPr>
          <w:rFonts w:ascii="Times New Roman" w:hAnsi="Times New Roman"/>
          <w:sz w:val="20"/>
          <w:szCs w:val="20"/>
        </w:rPr>
      </w:pPr>
    </w:p>
    <w:p w:rsidR="001362A4" w:rsidRDefault="00EF08B1" w:rsidP="001362A4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189799" cy="2705100"/>
            <wp:effectExtent l="19050" t="0" r="120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391" cy="270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A4" w:rsidRDefault="001362A4" w:rsidP="001362A4">
      <w:pPr>
        <w:rPr>
          <w:rFonts w:ascii="Times New Roman" w:hAnsi="Times New Roman"/>
          <w:sz w:val="20"/>
          <w:szCs w:val="20"/>
        </w:rPr>
      </w:pPr>
    </w:p>
    <w:p w:rsidR="001362A4" w:rsidRDefault="001362A4" w:rsidP="001362A4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Press the F4 key and type </w:t>
      </w:r>
      <w:r>
        <w:rPr>
          <w:rFonts w:ascii="Times New Roman" w:hAnsi="Times New Roman"/>
          <w:b/>
          <w:sz w:val="20"/>
          <w:szCs w:val="20"/>
        </w:rPr>
        <w:t>LLBV</w:t>
      </w:r>
      <w:r>
        <w:rPr>
          <w:rFonts w:ascii="Times New Roman" w:hAnsi="Times New Roman"/>
          <w:sz w:val="20"/>
          <w:szCs w:val="20"/>
        </w:rPr>
        <w:t>, followed by the Enter key.  The following canned comment will be displayed in the</w:t>
      </w:r>
      <w:r w:rsidR="000D0D99">
        <w:rPr>
          <w:rFonts w:ascii="Times New Roman" w:hAnsi="Times New Roman"/>
          <w:sz w:val="20"/>
          <w:szCs w:val="20"/>
        </w:rPr>
        <w:t xml:space="preserve"> Default Specimen Comments screen.</w:t>
      </w:r>
    </w:p>
    <w:p w:rsidR="000D0D99" w:rsidRDefault="000D0D99" w:rsidP="000D0D99">
      <w:pPr>
        <w:ind w:left="720"/>
        <w:rPr>
          <w:rFonts w:ascii="Times New Roman" w:hAnsi="Times New Roman"/>
          <w:sz w:val="20"/>
          <w:szCs w:val="20"/>
        </w:rPr>
      </w:pPr>
    </w:p>
    <w:p w:rsidR="000D0D99" w:rsidRDefault="000D0D99" w:rsidP="000D0D99">
      <w:pPr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@Total blood volume collected:</w:t>
      </w:r>
    </w:p>
    <w:p w:rsidR="000D0D99" w:rsidRDefault="000D0D99" w:rsidP="000D0D99">
      <w:pPr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@Patient weight</w:t>
      </w:r>
      <w:proofErr w:type="gramStart"/>
      <w:r>
        <w:rPr>
          <w:rFonts w:ascii="Times New Roman" w:hAnsi="Times New Roman"/>
          <w:b/>
          <w:sz w:val="20"/>
          <w:szCs w:val="20"/>
        </w:rPr>
        <w:t>:[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]</w:t>
      </w:r>
    </w:p>
    <w:p w:rsidR="000D0D99" w:rsidRDefault="000D0D99" w:rsidP="000D0D99">
      <w:pPr>
        <w:ind w:left="720"/>
        <w:rPr>
          <w:rFonts w:ascii="Times New Roman" w:hAnsi="Times New Roman"/>
          <w:b/>
          <w:sz w:val="20"/>
          <w:szCs w:val="20"/>
        </w:rPr>
      </w:pPr>
    </w:p>
    <w:p w:rsidR="000D0D99" w:rsidRDefault="000D0D99" w:rsidP="000D0D99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Type the amount of blood in </w:t>
      </w:r>
      <w:proofErr w:type="spellStart"/>
      <w:r>
        <w:rPr>
          <w:rFonts w:ascii="Times New Roman" w:hAnsi="Times New Roman"/>
          <w:sz w:val="20"/>
          <w:szCs w:val="20"/>
        </w:rPr>
        <w:t>mL</w:t>
      </w:r>
      <w:proofErr w:type="spellEnd"/>
      <w:r>
        <w:rPr>
          <w:rFonts w:ascii="Times New Roman" w:hAnsi="Times New Roman"/>
          <w:sz w:val="20"/>
          <w:szCs w:val="20"/>
        </w:rPr>
        <w:t xml:space="preserve"> collected from the patient.  The curser will move to the second line of the comment.</w:t>
      </w:r>
    </w:p>
    <w:p w:rsidR="000D0D99" w:rsidRDefault="000D0D99" w:rsidP="000D0D99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Type the patient’s weight, followed by the enter key.</w:t>
      </w:r>
    </w:p>
    <w:p w:rsidR="000D0D99" w:rsidRDefault="000D0D99" w:rsidP="000D0D99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Press the ESC key to close the Default Specimen Comments box.</w:t>
      </w:r>
    </w:p>
    <w:p w:rsidR="000D0D99" w:rsidRDefault="000D0D99" w:rsidP="000D0D99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Enter through the fields until the curser is in the Specimen field.  </w:t>
      </w:r>
    </w:p>
    <w:p w:rsidR="000D0D99" w:rsidRDefault="000D0D99" w:rsidP="000D0D99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Receive specimens according to the Receiving Procedure.</w:t>
      </w:r>
    </w:p>
    <w:p w:rsidR="00953172" w:rsidRDefault="00953172" w:rsidP="00953172">
      <w:pPr>
        <w:rPr>
          <w:rFonts w:ascii="Times New Roman" w:hAnsi="Times New Roman"/>
          <w:sz w:val="20"/>
          <w:szCs w:val="20"/>
        </w:rPr>
      </w:pPr>
    </w:p>
    <w:p w:rsidR="00953172" w:rsidRPr="00953172" w:rsidRDefault="00953172" w:rsidP="00953172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Note:  There is no way to enter the volume collected</w:t>
      </w:r>
      <w:r w:rsidR="003B0510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sz w:val="20"/>
          <w:szCs w:val="20"/>
        </w:rPr>
        <w:t xml:space="preserve"> through the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MobiLAB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.  </w:t>
      </w:r>
    </w:p>
    <w:sectPr w:rsidR="00953172" w:rsidRPr="00953172" w:rsidSect="00905E2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D5" w:rsidRDefault="00A509D5">
      <w:r>
        <w:separator/>
      </w:r>
    </w:p>
  </w:endnote>
  <w:endnote w:type="continuationSeparator" w:id="0">
    <w:p w:rsidR="00A509D5" w:rsidRDefault="00A5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8196740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A509D5" w:rsidRPr="00564568" w:rsidRDefault="00FC411D">
            <w:pPr>
              <w:pStyle w:val="Footer"/>
              <w:jc w:val="right"/>
              <w:rPr>
                <w:rFonts w:ascii="Times New Roman" w:hAnsi="Times New Roman"/>
                <w:sz w:val="16"/>
                <w:szCs w:val="16"/>
              </w:rPr>
            </w:pPr>
            <w:fldSimple w:instr=" FILENAME  \p  \* MERGEFORMAT ">
              <w:r w:rsidR="006D1982" w:rsidRPr="006D1982">
                <w:rPr>
                  <w:rFonts w:ascii="Times New Roman" w:hAnsi="Times New Roman"/>
                  <w:noProof/>
                  <w:sz w:val="16"/>
                  <w:szCs w:val="16"/>
                </w:rPr>
                <w:t>L:\Lab\Lab\Procedures-Final\Phlebotomy\procedures\Total Allowable Blood Volume Limits for Pediatric Patients 3.21.13.docx</w:t>
              </w:r>
            </w:fldSimple>
            <w:r w:rsidR="00A509D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="00A509D5" w:rsidRPr="00564568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A509D5" w:rsidRPr="00564568">
              <w:rPr>
                <w:rFonts w:ascii="Times New Roman" w:hAnsi="Times New Roman"/>
                <w:b/>
                <w:sz w:val="16"/>
                <w:szCs w:val="16"/>
              </w:rPr>
              <w:instrText xml:space="preserve"> PAGE </w:instrTex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D1982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A509D5" w:rsidRPr="00564568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A509D5" w:rsidRPr="00564568">
              <w:rPr>
                <w:rFonts w:ascii="Times New Roman" w:hAnsi="Times New Roman"/>
                <w:b/>
                <w:sz w:val="16"/>
                <w:szCs w:val="16"/>
              </w:rPr>
              <w:instrText xml:space="preserve"> NUMPAGES  </w:instrTex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D1982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564568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509D5" w:rsidRPr="00564568" w:rsidRDefault="00A509D5">
    <w:pPr>
      <w:pStyle w:val="Footer"/>
      <w:rPr>
        <w:rFonts w:ascii="Times New Roman" w:hAnsi="Times New Roman"/>
        <w:sz w:val="16"/>
        <w:szCs w:val="16"/>
      </w:rPr>
    </w:pPr>
    <w:r w:rsidRPr="00564568">
      <w:rPr>
        <w:rFonts w:ascii="Times New Roman" w:hAnsi="Times New Roman"/>
        <w:sz w:val="16"/>
        <w:szCs w:val="16"/>
      </w:rPr>
      <w:t>SOP#PB6.2</w:t>
    </w:r>
  </w:p>
  <w:p w:rsidR="00A509D5" w:rsidRPr="00564568" w:rsidRDefault="00A509D5">
    <w:pPr>
      <w:pStyle w:val="Footer"/>
      <w:rPr>
        <w:rFonts w:ascii="Times New Roman" w:hAnsi="Times New Roman"/>
        <w:sz w:val="16"/>
        <w:szCs w:val="16"/>
      </w:rPr>
    </w:pPr>
    <w:r w:rsidRPr="00564568">
      <w:rPr>
        <w:rFonts w:ascii="Times New Roman" w:hAnsi="Times New Roman"/>
        <w:sz w:val="16"/>
        <w:szCs w:val="16"/>
      </w:rPr>
      <w:t>Date Printed:  03/21/13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D5" w:rsidRDefault="00A509D5">
      <w:r>
        <w:separator/>
      </w:r>
    </w:p>
  </w:footnote>
  <w:footnote w:type="continuationSeparator" w:id="0">
    <w:p w:rsidR="00A509D5" w:rsidRDefault="00A50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549"/>
    <w:multiLevelType w:val="hybridMultilevel"/>
    <w:tmpl w:val="D76490C2"/>
    <w:lvl w:ilvl="0" w:tplc="A6163E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1B35DE"/>
    <w:multiLevelType w:val="hybridMultilevel"/>
    <w:tmpl w:val="09C4E5E8"/>
    <w:lvl w:ilvl="0" w:tplc="C3DA3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E91"/>
    <w:multiLevelType w:val="hybridMultilevel"/>
    <w:tmpl w:val="51B63066"/>
    <w:lvl w:ilvl="0" w:tplc="4320A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EE7BFA"/>
    <w:multiLevelType w:val="hybridMultilevel"/>
    <w:tmpl w:val="73AC2FF0"/>
    <w:lvl w:ilvl="0" w:tplc="4320A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Formatting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9E8"/>
    <w:rsid w:val="000060E1"/>
    <w:rsid w:val="000352B2"/>
    <w:rsid w:val="000366BB"/>
    <w:rsid w:val="000504FC"/>
    <w:rsid w:val="000C45A0"/>
    <w:rsid w:val="000D0D99"/>
    <w:rsid w:val="000E6826"/>
    <w:rsid w:val="001206AD"/>
    <w:rsid w:val="001362A4"/>
    <w:rsid w:val="00155F8E"/>
    <w:rsid w:val="00196DC6"/>
    <w:rsid w:val="001C3919"/>
    <w:rsid w:val="001D0533"/>
    <w:rsid w:val="001D7E11"/>
    <w:rsid w:val="00257A05"/>
    <w:rsid w:val="002B19E8"/>
    <w:rsid w:val="002B1DA9"/>
    <w:rsid w:val="002B3FDE"/>
    <w:rsid w:val="002B50A2"/>
    <w:rsid w:val="002C48E8"/>
    <w:rsid w:val="002D7242"/>
    <w:rsid w:val="003115AB"/>
    <w:rsid w:val="003310FE"/>
    <w:rsid w:val="00342BA8"/>
    <w:rsid w:val="00384491"/>
    <w:rsid w:val="003911B2"/>
    <w:rsid w:val="003A2A4F"/>
    <w:rsid w:val="003B0510"/>
    <w:rsid w:val="003C498A"/>
    <w:rsid w:val="003F6CB2"/>
    <w:rsid w:val="0044053B"/>
    <w:rsid w:val="00460570"/>
    <w:rsid w:val="00475150"/>
    <w:rsid w:val="004D237E"/>
    <w:rsid w:val="005516AB"/>
    <w:rsid w:val="00564568"/>
    <w:rsid w:val="005859D1"/>
    <w:rsid w:val="00607644"/>
    <w:rsid w:val="006078D0"/>
    <w:rsid w:val="00641262"/>
    <w:rsid w:val="0069046A"/>
    <w:rsid w:val="006B30CD"/>
    <w:rsid w:val="006B5924"/>
    <w:rsid w:val="006D1982"/>
    <w:rsid w:val="006D62C0"/>
    <w:rsid w:val="0071274B"/>
    <w:rsid w:val="0073606A"/>
    <w:rsid w:val="00780E35"/>
    <w:rsid w:val="007A671B"/>
    <w:rsid w:val="007A6961"/>
    <w:rsid w:val="007D4278"/>
    <w:rsid w:val="00811A8A"/>
    <w:rsid w:val="00823F03"/>
    <w:rsid w:val="00825DAF"/>
    <w:rsid w:val="008673C3"/>
    <w:rsid w:val="008D35D9"/>
    <w:rsid w:val="008D3E7A"/>
    <w:rsid w:val="00905E2C"/>
    <w:rsid w:val="009507EF"/>
    <w:rsid w:val="00952348"/>
    <w:rsid w:val="00953172"/>
    <w:rsid w:val="00961C64"/>
    <w:rsid w:val="009740D3"/>
    <w:rsid w:val="0098503B"/>
    <w:rsid w:val="009A7333"/>
    <w:rsid w:val="009D4F7D"/>
    <w:rsid w:val="00A509D5"/>
    <w:rsid w:val="00A6617A"/>
    <w:rsid w:val="00B02DC5"/>
    <w:rsid w:val="00B05BC7"/>
    <w:rsid w:val="00B271A8"/>
    <w:rsid w:val="00BB2766"/>
    <w:rsid w:val="00BB36E6"/>
    <w:rsid w:val="00C041F5"/>
    <w:rsid w:val="00C26931"/>
    <w:rsid w:val="00C43FED"/>
    <w:rsid w:val="00C4450F"/>
    <w:rsid w:val="00C555CD"/>
    <w:rsid w:val="00C72994"/>
    <w:rsid w:val="00C773B7"/>
    <w:rsid w:val="00C9014E"/>
    <w:rsid w:val="00CF5DF9"/>
    <w:rsid w:val="00D132FB"/>
    <w:rsid w:val="00D218BC"/>
    <w:rsid w:val="00D44E1A"/>
    <w:rsid w:val="00D50998"/>
    <w:rsid w:val="00D5484C"/>
    <w:rsid w:val="00DA433C"/>
    <w:rsid w:val="00DB655C"/>
    <w:rsid w:val="00E97286"/>
    <w:rsid w:val="00EA6D9A"/>
    <w:rsid w:val="00ED129D"/>
    <w:rsid w:val="00EF08B1"/>
    <w:rsid w:val="00F17FB2"/>
    <w:rsid w:val="00F91EAA"/>
    <w:rsid w:val="00FA1EB5"/>
    <w:rsid w:val="00FA4364"/>
    <w:rsid w:val="00FC411D"/>
    <w:rsid w:val="00FD3AC7"/>
    <w:rsid w:val="00FD5DC9"/>
    <w:rsid w:val="00FD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8D0"/>
    <w:rPr>
      <w:rFonts w:ascii="Lucida Sans Unicode" w:hAnsi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4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568"/>
    <w:rPr>
      <w:rFonts w:ascii="Lucida Sans Unicode" w:hAnsi="Lucida Sans Unicode"/>
      <w:sz w:val="24"/>
      <w:szCs w:val="24"/>
    </w:rPr>
  </w:style>
  <w:style w:type="paragraph" w:styleId="Title">
    <w:name w:val="Title"/>
    <w:basedOn w:val="Normal"/>
    <w:link w:val="TitleChar"/>
    <w:qFormat/>
    <w:rsid w:val="00564568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rsid w:val="00564568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645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595F4-ACB9-4AEA-9CB8-4E57C725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742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Saratoga Hospital Laboratory</vt:lpstr>
    </vt:vector>
  </TitlesOfParts>
  <Company>Saratoga Care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Saratoga Hospital Laboratory</dc:title>
  <dc:subject/>
  <dc:creator>BSTARING</dc:creator>
  <cp:keywords/>
  <dc:description/>
  <cp:lastModifiedBy>TBaldwin8.17.11</cp:lastModifiedBy>
  <cp:revision>11</cp:revision>
  <cp:lastPrinted>2013-06-21T13:02:00Z</cp:lastPrinted>
  <dcterms:created xsi:type="dcterms:W3CDTF">2013-03-21T13:52:00Z</dcterms:created>
  <dcterms:modified xsi:type="dcterms:W3CDTF">2013-06-21T13:02:00Z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