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C4E3F" w:rsidTr="000A2101">
        <w:trPr>
          <w:jc w:val="center"/>
        </w:trPr>
        <w:tc>
          <w:tcPr>
            <w:tcW w:w="4788" w:type="dxa"/>
          </w:tcPr>
          <w:p w:rsidR="006C4E3F" w:rsidRPr="00F1483C" w:rsidRDefault="006C4E3F" w:rsidP="000A2101">
            <w:pPr>
              <w:pStyle w:val="PlainTex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83C">
              <w:rPr>
                <w:rFonts w:ascii="Times New Roman" w:hAnsi="Times New Roman"/>
                <w:sz w:val="16"/>
                <w:szCs w:val="16"/>
              </w:rPr>
              <w:t>Saratoga Hospital Laboratory</w:t>
            </w:r>
          </w:p>
          <w:p w:rsidR="006C4E3F" w:rsidRPr="00622F9A" w:rsidRDefault="006C4E3F" w:rsidP="000A2101">
            <w:pPr>
              <w:pStyle w:val="PlainTex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83C">
              <w:rPr>
                <w:rFonts w:ascii="Times New Roman" w:hAnsi="Times New Roman"/>
                <w:sz w:val="16"/>
                <w:szCs w:val="16"/>
              </w:rPr>
              <w:t>211 Church Street, Saratoga Springs, NY 12866</w:t>
            </w:r>
          </w:p>
        </w:tc>
        <w:tc>
          <w:tcPr>
            <w:tcW w:w="4788" w:type="dxa"/>
          </w:tcPr>
          <w:p w:rsidR="006C4E3F" w:rsidRPr="00FC4957" w:rsidRDefault="006C4E3F" w:rsidP="000A2101">
            <w:pPr>
              <w:jc w:val="center"/>
              <w:rPr>
                <w:sz w:val="16"/>
                <w:szCs w:val="16"/>
              </w:rPr>
            </w:pPr>
            <w:r w:rsidRPr="00FC4957">
              <w:rPr>
                <w:sz w:val="16"/>
                <w:szCs w:val="16"/>
              </w:rPr>
              <w:t>Saratoga Hospital Lab-Wilton</w:t>
            </w:r>
          </w:p>
          <w:p w:rsidR="006C4E3F" w:rsidRDefault="006C4E3F" w:rsidP="000A2101">
            <w:pPr>
              <w:jc w:val="center"/>
            </w:pPr>
            <w:r w:rsidRPr="00FC4957">
              <w:rPr>
                <w:sz w:val="16"/>
                <w:szCs w:val="16"/>
              </w:rPr>
              <w:t>3040 Route 50 North</w:t>
            </w:r>
            <w:r>
              <w:rPr>
                <w:sz w:val="16"/>
                <w:szCs w:val="16"/>
              </w:rPr>
              <w:t xml:space="preserve">, </w:t>
            </w:r>
            <w:r w:rsidRPr="00FC4957">
              <w:rPr>
                <w:sz w:val="16"/>
                <w:szCs w:val="16"/>
              </w:rPr>
              <w:t>Saratoga Springs, NY 12866</w:t>
            </w:r>
          </w:p>
        </w:tc>
      </w:tr>
    </w:tbl>
    <w:p w:rsidR="00B82790" w:rsidRPr="004776F6" w:rsidRDefault="00B82790" w:rsidP="001E3587">
      <w:pPr>
        <w:jc w:val="center"/>
        <w:rPr>
          <w:u w:val="single"/>
        </w:rPr>
      </w:pPr>
    </w:p>
    <w:p w:rsidR="00B82790" w:rsidRPr="004776F6" w:rsidRDefault="004776F6" w:rsidP="00693F14">
      <w:pPr>
        <w:jc w:val="center"/>
        <w:rPr>
          <w:b/>
          <w:u w:val="single"/>
        </w:rPr>
      </w:pPr>
      <w:r w:rsidRPr="004776F6">
        <w:rPr>
          <w:b/>
        </w:rPr>
        <w:t xml:space="preserve">Phlebotomy </w:t>
      </w:r>
      <w:r w:rsidR="001057CA">
        <w:rPr>
          <w:b/>
        </w:rPr>
        <w:t>Adverse Reaction</w:t>
      </w:r>
      <w:r w:rsidRPr="004776F6">
        <w:rPr>
          <w:b/>
        </w:rPr>
        <w:t xml:space="preserve"> Procedure</w:t>
      </w:r>
    </w:p>
    <w:p w:rsidR="0066029C" w:rsidRDefault="0066029C" w:rsidP="00A51562">
      <w:pPr>
        <w:rPr>
          <w:b/>
          <w:u w:val="single"/>
        </w:rPr>
      </w:pPr>
    </w:p>
    <w:p w:rsidR="0066029C" w:rsidRDefault="0066029C" w:rsidP="00A51562">
      <w:pPr>
        <w:rPr>
          <w:b/>
          <w:u w:val="single"/>
        </w:rPr>
      </w:pPr>
    </w:p>
    <w:p w:rsidR="001018A6" w:rsidRPr="004776F6" w:rsidRDefault="001018A6" w:rsidP="001018A6">
      <w:pPr>
        <w:rPr>
          <w:u w:val="single"/>
        </w:rPr>
      </w:pPr>
      <w:r w:rsidRPr="004776F6">
        <w:rPr>
          <w:b/>
          <w:u w:val="single"/>
        </w:rPr>
        <w:t xml:space="preserve">Purpose: </w:t>
      </w:r>
      <w:r w:rsidRPr="004776F6">
        <w:rPr>
          <w:u w:val="single"/>
        </w:rPr>
        <w:t xml:space="preserve"> </w:t>
      </w:r>
    </w:p>
    <w:p w:rsidR="00A51562" w:rsidRDefault="00C5498B" w:rsidP="001018A6">
      <w:r w:rsidRPr="004776F6">
        <w:t xml:space="preserve">To provide phlebotomy staff with instruction </w:t>
      </w:r>
      <w:r w:rsidR="00A51562">
        <w:t>for patients who are experiencing adverse reactions related to phlebotomy.</w:t>
      </w:r>
    </w:p>
    <w:p w:rsidR="00A51562" w:rsidRDefault="00A51562" w:rsidP="001018A6"/>
    <w:p w:rsidR="00A944F0" w:rsidRDefault="00A944F0" w:rsidP="001018A6">
      <w:pPr>
        <w:rPr>
          <w:b/>
          <w:u w:val="single"/>
        </w:rPr>
      </w:pPr>
      <w:r>
        <w:rPr>
          <w:b/>
          <w:u w:val="single"/>
        </w:rPr>
        <w:t>Principle:</w:t>
      </w:r>
    </w:p>
    <w:p w:rsidR="00A944F0" w:rsidRPr="00A944F0" w:rsidRDefault="00A944F0" w:rsidP="001018A6">
      <w:r>
        <w:t>Timely attention by specimen collection personnel to adverse reactions relating to blood collection is important to reduce compromises to a patient’s health.</w:t>
      </w:r>
    </w:p>
    <w:p w:rsidR="00A944F0" w:rsidRDefault="00A944F0" w:rsidP="001018A6">
      <w:pPr>
        <w:rPr>
          <w:b/>
          <w:u w:val="single"/>
        </w:rPr>
      </w:pPr>
    </w:p>
    <w:p w:rsidR="001018A6" w:rsidRPr="004776F6" w:rsidRDefault="001018A6" w:rsidP="001018A6">
      <w:pPr>
        <w:rPr>
          <w:b/>
          <w:u w:val="single"/>
        </w:rPr>
      </w:pPr>
      <w:r w:rsidRPr="004776F6">
        <w:rPr>
          <w:b/>
          <w:u w:val="single"/>
        </w:rPr>
        <w:t>Scope:</w:t>
      </w:r>
    </w:p>
    <w:p w:rsidR="001018A6" w:rsidRPr="004776F6" w:rsidRDefault="00C5498B" w:rsidP="004C4720">
      <w:r w:rsidRPr="004776F6">
        <w:t>This procedure applies to all phle</w:t>
      </w:r>
      <w:r w:rsidR="00A944F0">
        <w:t>botomy staff members working for the Saratoga Hospital Laboratory, Main Lab location</w:t>
      </w:r>
      <w:r w:rsidRPr="004776F6">
        <w:t>.</w:t>
      </w:r>
    </w:p>
    <w:p w:rsidR="001D3D82" w:rsidRDefault="001D3D82" w:rsidP="001D3D82">
      <w:pPr>
        <w:pStyle w:val="Title"/>
        <w:jc w:val="left"/>
        <w:rPr>
          <w:b w:val="0"/>
          <w:sz w:val="20"/>
          <w:szCs w:val="20"/>
        </w:rPr>
      </w:pPr>
    </w:p>
    <w:p w:rsidR="001D1A5F" w:rsidRDefault="0066029C" w:rsidP="001D1A5F">
      <w:pPr>
        <w:pStyle w:val="Title"/>
        <w:jc w:val="left"/>
        <w:rPr>
          <w:sz w:val="20"/>
          <w:szCs w:val="20"/>
          <w:u w:val="single"/>
        </w:rPr>
      </w:pPr>
      <w:r w:rsidRPr="0066029C">
        <w:rPr>
          <w:sz w:val="20"/>
          <w:szCs w:val="20"/>
          <w:u w:val="single"/>
        </w:rPr>
        <w:t>Procedure:</w:t>
      </w:r>
    </w:p>
    <w:p w:rsidR="001D1A5F" w:rsidRPr="001D1A5F" w:rsidRDefault="002327C3" w:rsidP="001D1A5F">
      <w:pPr>
        <w:pStyle w:val="Title"/>
        <w:jc w:val="left"/>
        <w:rPr>
          <w:b w:val="0"/>
          <w:sz w:val="20"/>
          <w:szCs w:val="20"/>
          <w:u w:val="single"/>
        </w:rPr>
      </w:pPr>
      <w:r w:rsidRPr="001D1A5F">
        <w:rPr>
          <w:b w:val="0"/>
          <w:sz w:val="20"/>
          <w:szCs w:val="20"/>
        </w:rPr>
        <w:t xml:space="preserve">For any major injuries including vomiting, and seizures </w:t>
      </w:r>
      <w:r w:rsidR="001D1A5F" w:rsidRPr="001D1A5F">
        <w:rPr>
          <w:b w:val="0"/>
          <w:sz w:val="20"/>
          <w:szCs w:val="20"/>
        </w:rPr>
        <w:t xml:space="preserve">at the Saratoga Hospital, </w:t>
      </w:r>
      <w:r w:rsidRPr="001D1A5F">
        <w:rPr>
          <w:b w:val="0"/>
          <w:sz w:val="20"/>
          <w:szCs w:val="20"/>
        </w:rPr>
        <w:t>initiate the In-House Medical Emergency Policy and call a Code Green</w:t>
      </w:r>
      <w:r w:rsidR="001D1A5F" w:rsidRPr="001D1A5F">
        <w:rPr>
          <w:b w:val="0"/>
          <w:sz w:val="20"/>
          <w:szCs w:val="20"/>
        </w:rPr>
        <w:t xml:space="preserve">.  When major injuries occur during a </w:t>
      </w:r>
      <w:proofErr w:type="spellStart"/>
      <w:r w:rsidR="001D1A5F" w:rsidRPr="001D1A5F">
        <w:rPr>
          <w:b w:val="0"/>
          <w:sz w:val="20"/>
          <w:szCs w:val="20"/>
        </w:rPr>
        <w:t>homedraw</w:t>
      </w:r>
      <w:proofErr w:type="spellEnd"/>
      <w:r w:rsidR="001D1A5F" w:rsidRPr="001D1A5F">
        <w:rPr>
          <w:b w:val="0"/>
          <w:sz w:val="20"/>
          <w:szCs w:val="20"/>
        </w:rPr>
        <w:t>, or at a patient service center, call emergency services</w:t>
      </w:r>
      <w:r w:rsidR="001057CA">
        <w:rPr>
          <w:b w:val="0"/>
          <w:sz w:val="20"/>
          <w:szCs w:val="20"/>
        </w:rPr>
        <w:t>.</w:t>
      </w:r>
    </w:p>
    <w:p w:rsidR="00011AFC" w:rsidRDefault="00011AFC" w:rsidP="007F0F9C"/>
    <w:p w:rsidR="00773C4A" w:rsidRDefault="00773C4A" w:rsidP="00F336D1">
      <w:pPr>
        <w:rPr>
          <w:b/>
          <w:i/>
        </w:rPr>
      </w:pPr>
      <w:r>
        <w:rPr>
          <w:b/>
          <w:i/>
        </w:rPr>
        <w:t>Vasovagal Reaction</w:t>
      </w:r>
    </w:p>
    <w:p w:rsidR="00773C4A" w:rsidRDefault="00773C4A" w:rsidP="00F336D1">
      <w:r>
        <w:t xml:space="preserve">Vasovagal reactions are an </w:t>
      </w:r>
      <w:r w:rsidR="00B266F4">
        <w:t>involuntary nervous system response that causes the heart to slow down, and leg vessels to dilate.  As a result the heart puts out less blood causing the blood pressure to drop.  The decreased oxygen flow to the brain causes a fainting episode.</w:t>
      </w:r>
      <w:r w:rsidR="001F1BE7">
        <w:t xml:space="preserve">  Ill patients are more likely to have this type of reaction.</w:t>
      </w:r>
      <w:r w:rsidR="00BF4347">
        <w:t xml:space="preserve">  </w:t>
      </w:r>
    </w:p>
    <w:p w:rsidR="00B266F4" w:rsidRDefault="00B266F4" w:rsidP="00B266F4">
      <w:pPr>
        <w:pStyle w:val="ListParagraph"/>
        <w:numPr>
          <w:ilvl w:val="0"/>
          <w:numId w:val="40"/>
        </w:numPr>
      </w:pPr>
      <w:r>
        <w:t>In the event that a patient feels faint or faints, stop the specimen co</w:t>
      </w:r>
      <w:bookmarkStart w:id="0" w:name="_GoBack"/>
      <w:bookmarkEnd w:id="0"/>
      <w:r>
        <w:t>llection immediately.</w:t>
      </w:r>
    </w:p>
    <w:p w:rsidR="00FF2672" w:rsidRDefault="00FF2672" w:rsidP="00B266F4">
      <w:pPr>
        <w:pStyle w:val="ListParagraph"/>
        <w:numPr>
          <w:ilvl w:val="0"/>
          <w:numId w:val="40"/>
        </w:numPr>
      </w:pPr>
      <w:r>
        <w:t xml:space="preserve">If the patient is in a </w:t>
      </w:r>
      <w:proofErr w:type="spellStart"/>
      <w:r>
        <w:t>multimed</w:t>
      </w:r>
      <w:proofErr w:type="spellEnd"/>
      <w:r>
        <w:t xml:space="preserve"> chair, lay the patient back so they will not fall out of the chair.  If the patient </w:t>
      </w:r>
      <w:r w:rsidR="00967CF1">
        <w:t>is moving towards the floor, gently help the patient to the floor.</w:t>
      </w:r>
    </w:p>
    <w:p w:rsidR="00967CF1" w:rsidRDefault="00967CF1" w:rsidP="00B266F4">
      <w:pPr>
        <w:pStyle w:val="ListParagraph"/>
        <w:numPr>
          <w:ilvl w:val="0"/>
          <w:numId w:val="40"/>
        </w:numPr>
      </w:pPr>
      <w:r>
        <w:t>Verbally call for assistance.</w:t>
      </w:r>
    </w:p>
    <w:p w:rsidR="00967CF1" w:rsidRDefault="00967CF1" w:rsidP="00967CF1">
      <w:pPr>
        <w:pStyle w:val="ListParagraph"/>
        <w:numPr>
          <w:ilvl w:val="0"/>
          <w:numId w:val="40"/>
        </w:numPr>
      </w:pPr>
      <w:r>
        <w:t>Initiate the In-House Medical Emergency Policy and call a Code Green</w:t>
      </w:r>
      <w:r w:rsidR="001057CA">
        <w:t xml:space="preserve"> or call emergency services</w:t>
      </w:r>
      <w:r>
        <w:t>.</w:t>
      </w:r>
    </w:p>
    <w:p w:rsidR="001057CA" w:rsidRDefault="001057CA" w:rsidP="00F336D1">
      <w:pPr>
        <w:rPr>
          <w:b/>
          <w:i/>
        </w:rPr>
      </w:pPr>
    </w:p>
    <w:p w:rsidR="00F336D1" w:rsidRDefault="0066029C" w:rsidP="00F336D1">
      <w:pPr>
        <w:rPr>
          <w:b/>
          <w:i/>
        </w:rPr>
      </w:pPr>
      <w:r>
        <w:rPr>
          <w:b/>
          <w:i/>
        </w:rPr>
        <w:t>Hematoma</w:t>
      </w:r>
    </w:p>
    <w:p w:rsidR="00A40CD5" w:rsidRPr="00F336D1" w:rsidRDefault="00F336D1" w:rsidP="00376794">
      <w:pPr>
        <w:spacing w:after="240"/>
        <w:rPr>
          <w:b/>
          <w:i/>
        </w:rPr>
      </w:pPr>
      <w:r>
        <w:t xml:space="preserve">A swelling or mass of blood (often clotted) that can be caused by leaking blood from a blood vessel during or following a blood draw.  It is important that specimens are not collected in the area of the hematoma, because </w:t>
      </w:r>
      <w:r w:rsidR="00376794">
        <w:t>inaccurate</w:t>
      </w:r>
      <w:r>
        <w:t xml:space="preserve"> results may be obtained due to the contamination of </w:t>
      </w:r>
      <w:r w:rsidR="00376794">
        <w:t>tissue fluid and altered blood contained in the hematoma.</w:t>
      </w:r>
    </w:p>
    <w:p w:rsidR="00F336D1" w:rsidRDefault="00F336D1" w:rsidP="00F336D1">
      <w:pPr>
        <w:pStyle w:val="ListParagraph"/>
        <w:numPr>
          <w:ilvl w:val="0"/>
          <w:numId w:val="34"/>
        </w:numPr>
      </w:pPr>
      <w:r>
        <w:t>As soon as a hematoma is noticed remove the tourniquet, and the needle.  Apply pressure at the site for a minimum of 3 minutes.</w:t>
      </w:r>
    </w:p>
    <w:p w:rsidR="00F336D1" w:rsidRDefault="00F336D1" w:rsidP="00F336D1">
      <w:pPr>
        <w:pStyle w:val="ListParagraph"/>
        <w:numPr>
          <w:ilvl w:val="0"/>
          <w:numId w:val="34"/>
        </w:numPr>
      </w:pPr>
      <w:r>
        <w:t>Check the site to see of the hematoma has stopped forming.</w:t>
      </w:r>
    </w:p>
    <w:p w:rsidR="00F336D1" w:rsidRDefault="00F336D1" w:rsidP="00F336D1">
      <w:pPr>
        <w:pStyle w:val="ListParagraph"/>
        <w:numPr>
          <w:ilvl w:val="0"/>
          <w:numId w:val="34"/>
        </w:numPr>
      </w:pPr>
      <w:r>
        <w:t>Put a bandage or gauze with tape on the site.  Instruct the patient to keep the bandage on for a minimum of a half hour.</w:t>
      </w:r>
    </w:p>
    <w:p w:rsidR="00B213F7" w:rsidRDefault="00B213F7" w:rsidP="00B213F7"/>
    <w:p w:rsidR="00B213F7" w:rsidRDefault="00B213F7" w:rsidP="00B213F7">
      <w:pPr>
        <w:rPr>
          <w:b/>
          <w:i/>
        </w:rPr>
      </w:pPr>
      <w:r>
        <w:rPr>
          <w:b/>
          <w:i/>
        </w:rPr>
        <w:t>Pain</w:t>
      </w:r>
    </w:p>
    <w:p w:rsidR="00376794" w:rsidRPr="002A61A1" w:rsidRDefault="00C5610A" w:rsidP="00B213F7">
      <w:r>
        <w:t>When pain during a blood draw occurs, it is typically the result of a nerve being pierced by a needle.  The patient will complain of an electric shock going up their arm.</w:t>
      </w:r>
    </w:p>
    <w:p w:rsidR="00BF4347" w:rsidRDefault="00C5610A" w:rsidP="007955D4">
      <w:pPr>
        <w:pStyle w:val="ListParagraph"/>
        <w:numPr>
          <w:ilvl w:val="0"/>
          <w:numId w:val="35"/>
        </w:numPr>
      </w:pPr>
      <w:r>
        <w:t xml:space="preserve">If the patient complains of pain, or the phlebotomist notices the patient is in pain, </w:t>
      </w:r>
      <w:r w:rsidRPr="00BF4347">
        <w:rPr>
          <w:b/>
        </w:rPr>
        <w:t>immediately</w:t>
      </w:r>
      <w:r>
        <w:t xml:space="preserve"> remove the needle from the patient’s arm, and put pressure on the site.</w:t>
      </w:r>
      <w:r w:rsidRPr="00C5610A">
        <w:t xml:space="preserve"> </w:t>
      </w:r>
    </w:p>
    <w:p w:rsidR="00C5610A" w:rsidRDefault="00C5610A" w:rsidP="007955D4">
      <w:pPr>
        <w:pStyle w:val="ListParagraph"/>
        <w:numPr>
          <w:ilvl w:val="0"/>
          <w:numId w:val="35"/>
        </w:numPr>
      </w:pPr>
      <w:r>
        <w:t>Ask the patient if they are still feeling pain.</w:t>
      </w:r>
    </w:p>
    <w:p w:rsidR="007C5A90" w:rsidRDefault="00C5610A" w:rsidP="007955D4">
      <w:pPr>
        <w:pStyle w:val="ListParagraph"/>
        <w:numPr>
          <w:ilvl w:val="1"/>
          <w:numId w:val="35"/>
        </w:numPr>
      </w:pPr>
      <w:r>
        <w:t xml:space="preserve">If the pain has stopped, redraw the patient.  </w:t>
      </w:r>
      <w:r w:rsidR="007C5A90">
        <w:t>.</w:t>
      </w:r>
    </w:p>
    <w:p w:rsidR="00C5610A" w:rsidRDefault="00C5610A" w:rsidP="007955D4">
      <w:pPr>
        <w:pStyle w:val="ListParagraph"/>
        <w:numPr>
          <w:ilvl w:val="1"/>
          <w:numId w:val="35"/>
        </w:numPr>
      </w:pPr>
      <w:r>
        <w:t>If the patient</w:t>
      </w:r>
      <w:r w:rsidR="007C5A90">
        <w:t xml:space="preserve"> is still experiencing numbness, </w:t>
      </w:r>
      <w:proofErr w:type="gramStart"/>
      <w:r w:rsidR="007C5A90">
        <w:t>weakness, or shocking sensations at the site, proceed</w:t>
      </w:r>
      <w:proofErr w:type="gramEnd"/>
      <w:r w:rsidR="007C5A90">
        <w:t xml:space="preserve"> as instructed in the Nerve Damage section of this procedure.</w:t>
      </w:r>
    </w:p>
    <w:p w:rsidR="001D1A5F" w:rsidRDefault="001D1A5F" w:rsidP="007955D4">
      <w:pPr>
        <w:rPr>
          <w:b/>
          <w:i/>
        </w:rPr>
      </w:pPr>
    </w:p>
    <w:p w:rsidR="007955D4" w:rsidRDefault="00B213F7" w:rsidP="007955D4">
      <w:pPr>
        <w:rPr>
          <w:b/>
          <w:i/>
        </w:rPr>
      </w:pPr>
      <w:r>
        <w:rPr>
          <w:b/>
          <w:i/>
        </w:rPr>
        <w:t>Nerve Damage</w:t>
      </w:r>
    </w:p>
    <w:p w:rsidR="00B213F7" w:rsidRDefault="007C5A90" w:rsidP="007955D4">
      <w:r>
        <w:t xml:space="preserve">If a patient is experiencing numbness, weakness, or shocking sensations at a venipuncture site at the time of their </w:t>
      </w:r>
      <w:r w:rsidR="007955D4">
        <w:t>blood draw or if the patient contacts the laboratory complaining of these symptoms, the patient will need to be seen by a provider.</w:t>
      </w:r>
    </w:p>
    <w:p w:rsidR="007955D4" w:rsidRDefault="00CB602F" w:rsidP="007955D4">
      <w:pPr>
        <w:pStyle w:val="ListParagraph"/>
        <w:numPr>
          <w:ilvl w:val="0"/>
          <w:numId w:val="37"/>
        </w:numPr>
      </w:pPr>
      <w:r>
        <w:t>Offer the patient services at Wilton Medical Arts Urgent Care, the Saratoga Hospital Emergency Department, or their own primary care provider.</w:t>
      </w:r>
    </w:p>
    <w:p w:rsidR="001D1A5F" w:rsidRDefault="001D1A5F" w:rsidP="00CB602F">
      <w:pPr>
        <w:rPr>
          <w:b/>
          <w:i/>
        </w:rPr>
      </w:pPr>
    </w:p>
    <w:p w:rsidR="00CB602F" w:rsidRDefault="00B213F7" w:rsidP="00CB602F">
      <w:pPr>
        <w:rPr>
          <w:b/>
          <w:i/>
        </w:rPr>
      </w:pPr>
      <w:r>
        <w:rPr>
          <w:b/>
          <w:i/>
        </w:rPr>
        <w:t>Re-Bleed</w:t>
      </w:r>
    </w:p>
    <w:p w:rsidR="00B213F7" w:rsidRDefault="00CB602F" w:rsidP="00CB602F">
      <w:r>
        <w:t xml:space="preserve">Patients with liver disease, vascular disease, clotting disorders, as well as those that are on certain medications may experience a complication that will </w:t>
      </w:r>
      <w:r w:rsidR="005B4954">
        <w:t xml:space="preserve">slow the clotting causing bleeding to continue post specimen collection.  </w:t>
      </w:r>
      <w:r w:rsidR="00F10E9E">
        <w:t>Re-bleeds often occur during hot weather as veins dilate to cool the body.</w:t>
      </w:r>
    </w:p>
    <w:p w:rsidR="005B4954" w:rsidRDefault="005B4954" w:rsidP="001F1BE7">
      <w:pPr>
        <w:pStyle w:val="ListParagraph"/>
        <w:numPr>
          <w:ilvl w:val="0"/>
          <w:numId w:val="41"/>
        </w:numPr>
      </w:pPr>
      <w:r>
        <w:t>Verify bleeding has stopped after every blood draw.</w:t>
      </w:r>
    </w:p>
    <w:p w:rsidR="005B4954" w:rsidRDefault="005B4954" w:rsidP="001F1BE7">
      <w:pPr>
        <w:pStyle w:val="ListParagraph"/>
        <w:numPr>
          <w:ilvl w:val="0"/>
          <w:numId w:val="41"/>
        </w:numPr>
      </w:pPr>
      <w:r>
        <w:lastRenderedPageBreak/>
        <w:t xml:space="preserve">Continue to apply pressure until the bleeding has stopped.  </w:t>
      </w:r>
      <w:r w:rsidR="00F10E9E">
        <w:t>The site should stop bleeding if pressure has been kept on the wound for 5 minutes.</w:t>
      </w:r>
    </w:p>
    <w:p w:rsidR="005B4954" w:rsidRDefault="005B4954" w:rsidP="005B4954">
      <w:pPr>
        <w:pStyle w:val="ListParagraph"/>
        <w:numPr>
          <w:ilvl w:val="1"/>
          <w:numId w:val="38"/>
        </w:numPr>
      </w:pPr>
      <w:r>
        <w:t>If bleeding continues, initiate the In-House Medical Emergency Policy and call a Code Green.</w:t>
      </w:r>
    </w:p>
    <w:p w:rsidR="005B4954" w:rsidRDefault="005B4954" w:rsidP="005B4954">
      <w:pPr>
        <w:pStyle w:val="ListParagraph"/>
        <w:numPr>
          <w:ilvl w:val="1"/>
          <w:numId w:val="38"/>
        </w:numPr>
      </w:pPr>
      <w:r>
        <w:t>If bleeding stops instruct the patient to do the following</w:t>
      </w:r>
      <w:r w:rsidR="00F10E9E">
        <w:t xml:space="preserve"> to prevent a re-bleed</w:t>
      </w:r>
      <w:r>
        <w:t>.</w:t>
      </w:r>
    </w:p>
    <w:p w:rsidR="00F10E9E" w:rsidRDefault="00F10E9E" w:rsidP="00F10E9E">
      <w:pPr>
        <w:pStyle w:val="ListParagraph"/>
        <w:numPr>
          <w:ilvl w:val="2"/>
          <w:numId w:val="38"/>
        </w:numPr>
      </w:pPr>
      <w:r>
        <w:t>Keep the bandage in place for 1 hour.</w:t>
      </w:r>
    </w:p>
    <w:p w:rsidR="00F10E9E" w:rsidRPr="00CB602F" w:rsidRDefault="00F10E9E" w:rsidP="00F10E9E">
      <w:pPr>
        <w:pStyle w:val="ListParagraph"/>
        <w:numPr>
          <w:ilvl w:val="2"/>
          <w:numId w:val="38"/>
        </w:numPr>
      </w:pPr>
      <w:r>
        <w:t xml:space="preserve">Instruct the patient not to lift objects over 5 </w:t>
      </w:r>
      <w:proofErr w:type="spellStart"/>
      <w:r>
        <w:t>lbs</w:t>
      </w:r>
      <w:proofErr w:type="spellEnd"/>
      <w:r>
        <w:t xml:space="preserve"> for 1 hour.</w:t>
      </w:r>
    </w:p>
    <w:p w:rsidR="00B213F7" w:rsidRDefault="00B213F7" w:rsidP="00B213F7"/>
    <w:p w:rsidR="00B213F7" w:rsidRDefault="00F10E9E" w:rsidP="00B213F7">
      <w:pPr>
        <w:rPr>
          <w:b/>
          <w:i/>
        </w:rPr>
      </w:pPr>
      <w:r>
        <w:rPr>
          <w:b/>
          <w:i/>
        </w:rPr>
        <w:t>Phlebitis</w:t>
      </w:r>
    </w:p>
    <w:p w:rsidR="00F10E9E" w:rsidRDefault="00F10E9E" w:rsidP="00B213F7">
      <w:r>
        <w:t xml:space="preserve">Phlebitis is the inflammation of a vein.  </w:t>
      </w:r>
    </w:p>
    <w:p w:rsidR="00F10E9E" w:rsidRDefault="00F10E9E" w:rsidP="00F10E9E">
      <w:pPr>
        <w:pStyle w:val="ListParagraph"/>
        <w:numPr>
          <w:ilvl w:val="0"/>
          <w:numId w:val="39"/>
        </w:numPr>
      </w:pPr>
      <w:r>
        <w:t>Superficial phlebitis affects veins on the skin surface.  The patient may notify the laboratory that they are experiencing an itchy sensation, or the venipuncture site itself is swollen.</w:t>
      </w:r>
    </w:p>
    <w:p w:rsidR="00773C4A" w:rsidRDefault="00773C4A" w:rsidP="00773C4A">
      <w:pPr>
        <w:pStyle w:val="ListParagraph"/>
        <w:numPr>
          <w:ilvl w:val="1"/>
          <w:numId w:val="39"/>
        </w:numPr>
      </w:pPr>
      <w:r>
        <w:t>Instruct the patient to see their primary care provider.</w:t>
      </w:r>
    </w:p>
    <w:p w:rsidR="00F10E9E" w:rsidRDefault="00773C4A" w:rsidP="00F10E9E">
      <w:pPr>
        <w:pStyle w:val="ListParagraph"/>
        <w:numPr>
          <w:ilvl w:val="0"/>
          <w:numId w:val="39"/>
        </w:numPr>
      </w:pPr>
      <w:r>
        <w:t>Deep Vein Thrombosis affects the larger blood vessels of the leg, but may occur in the arm.  This is a very serious condition.  The patient must seek medical attention immediately.</w:t>
      </w:r>
    </w:p>
    <w:p w:rsidR="002327C3" w:rsidRDefault="002327C3" w:rsidP="002327C3">
      <w:pPr>
        <w:pStyle w:val="ListParagraph"/>
        <w:numPr>
          <w:ilvl w:val="1"/>
          <w:numId w:val="39"/>
        </w:numPr>
      </w:pPr>
      <w:r>
        <w:t>Instruct the patient to see their primary care provider.</w:t>
      </w:r>
    </w:p>
    <w:p w:rsidR="00BA4478" w:rsidRDefault="00BA4478" w:rsidP="00BA4478">
      <w:pPr>
        <w:pStyle w:val="ListParagraph"/>
        <w:ind w:left="1440"/>
      </w:pPr>
    </w:p>
    <w:p w:rsidR="00BA4478" w:rsidRPr="00F10E9E" w:rsidRDefault="00BA4478" w:rsidP="00BA4478">
      <w:pPr>
        <w:pStyle w:val="ListParagraph"/>
        <w:ind w:left="1440"/>
      </w:pPr>
    </w:p>
    <w:p w:rsidR="00B213F7" w:rsidRPr="00B213F7" w:rsidRDefault="00B213F7" w:rsidP="00B213F7">
      <w:pPr>
        <w:rPr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1055"/>
        <w:gridCol w:w="1862"/>
        <w:gridCol w:w="1350"/>
        <w:gridCol w:w="3196"/>
      </w:tblGrid>
      <w:tr w:rsidR="00A40CD5" w:rsidRPr="00824B54" w:rsidTr="009D3E20">
        <w:trPr>
          <w:trHeight w:val="2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CD5" w:rsidRPr="002A2746" w:rsidRDefault="00A40CD5" w:rsidP="009D3E20">
            <w:pPr>
              <w:jc w:val="right"/>
              <w:rPr>
                <w:b/>
                <w:sz w:val="16"/>
                <w:szCs w:val="16"/>
              </w:rPr>
            </w:pPr>
            <w:r w:rsidRPr="002A2746">
              <w:rPr>
                <w:sz w:val="16"/>
                <w:szCs w:val="16"/>
              </w:rPr>
              <w:t>Date of Origin: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CD5" w:rsidRPr="002A2746" w:rsidRDefault="00BA4478" w:rsidP="00BA4478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01/15</w:t>
            </w:r>
            <w:r w:rsidR="00A40CD5">
              <w:rPr>
                <w:sz w:val="16"/>
                <w:szCs w:val="16"/>
              </w:rPr>
              <w:t>/15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CD5" w:rsidRPr="002A2746" w:rsidRDefault="00A40CD5" w:rsidP="009D3E20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CD5" w:rsidRPr="002A2746" w:rsidRDefault="00A40CD5" w:rsidP="009D3E20">
            <w:pPr>
              <w:jc w:val="right"/>
              <w:rPr>
                <w:sz w:val="16"/>
                <w:szCs w:val="16"/>
              </w:rPr>
            </w:pPr>
            <w:r w:rsidRPr="002A2746">
              <w:rPr>
                <w:sz w:val="16"/>
                <w:szCs w:val="16"/>
              </w:rPr>
              <w:t>Prepared By: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CD5" w:rsidRPr="002A2746" w:rsidRDefault="00A40CD5" w:rsidP="009D3E20">
            <w:pPr>
              <w:rPr>
                <w:sz w:val="16"/>
                <w:szCs w:val="16"/>
              </w:rPr>
            </w:pPr>
            <w:r w:rsidRPr="002A2746">
              <w:rPr>
                <w:sz w:val="16"/>
                <w:szCs w:val="16"/>
              </w:rPr>
              <w:t>Teri Baldwin</w:t>
            </w:r>
          </w:p>
        </w:tc>
      </w:tr>
      <w:tr w:rsidR="00A40CD5" w:rsidRPr="00824B54" w:rsidTr="00A40CD5">
        <w:trPr>
          <w:trHeight w:val="576"/>
        </w:trPr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CD5" w:rsidRPr="002A2746" w:rsidRDefault="00A40CD5" w:rsidP="009D3E20">
            <w:pPr>
              <w:rPr>
                <w:sz w:val="16"/>
                <w:szCs w:val="16"/>
              </w:rPr>
            </w:pPr>
            <w:r w:rsidRPr="002A2746">
              <w:rPr>
                <w:b/>
                <w:sz w:val="16"/>
                <w:szCs w:val="16"/>
              </w:rPr>
              <w:t>Date Placed in Service: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0CD5" w:rsidRPr="002A2746" w:rsidRDefault="00A40CD5" w:rsidP="009D3E20">
            <w:pPr>
              <w:rPr>
                <w:sz w:val="16"/>
                <w:szCs w:val="16"/>
              </w:rPr>
            </w:pPr>
          </w:p>
        </w:tc>
        <w:tc>
          <w:tcPr>
            <w:tcW w:w="4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CD5" w:rsidRPr="00824B54" w:rsidRDefault="00A40CD5" w:rsidP="009D3E20"/>
        </w:tc>
      </w:tr>
    </w:tbl>
    <w:p w:rsidR="006C4E3F" w:rsidRDefault="006C4E3F"/>
    <w:p w:rsidR="00011AFC" w:rsidRDefault="00011AFC" w:rsidP="007F0F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3456"/>
        <w:gridCol w:w="270"/>
        <w:gridCol w:w="864"/>
        <w:gridCol w:w="270"/>
        <w:gridCol w:w="3312"/>
        <w:gridCol w:w="270"/>
        <w:gridCol w:w="864"/>
      </w:tblGrid>
      <w:tr w:rsidR="006C4E3F" w:rsidRPr="005262CC" w:rsidTr="006C4E3F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  <w:r w:rsidRPr="005262CC">
              <w:rPr>
                <w:sz w:val="16"/>
                <w:szCs w:val="16"/>
              </w:rPr>
              <w:t>Approved by: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</w:tr>
      <w:tr w:rsidR="006C4E3F" w:rsidRPr="005262CC" w:rsidTr="006C4E3F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6" w:type="dxa"/>
            <w:tcBorders>
              <w:left w:val="nil"/>
              <w:bottom w:val="nil"/>
              <w:right w:val="nil"/>
            </w:tcBorders>
          </w:tcPr>
          <w:p w:rsidR="006C4E3F" w:rsidRPr="006C4E3F" w:rsidRDefault="006C4E3F" w:rsidP="006C4E3F">
            <w:pPr>
              <w:jc w:val="center"/>
              <w:rPr>
                <w:sz w:val="16"/>
                <w:szCs w:val="16"/>
              </w:rPr>
            </w:pPr>
            <w:r w:rsidRPr="006C4E3F">
              <w:rPr>
                <w:sz w:val="16"/>
                <w:szCs w:val="16"/>
              </w:rPr>
              <w:t>Phlebotomy Supervisor</w:t>
            </w:r>
          </w:p>
          <w:p w:rsidR="006C4E3F" w:rsidRPr="005262CC" w:rsidRDefault="006C4E3F" w:rsidP="006C4E3F">
            <w:pPr>
              <w:jc w:val="center"/>
              <w:rPr>
                <w:sz w:val="16"/>
                <w:szCs w:val="16"/>
              </w:rPr>
            </w:pPr>
            <w:r w:rsidRPr="006C4E3F">
              <w:rPr>
                <w:sz w:val="16"/>
                <w:szCs w:val="16"/>
              </w:rPr>
              <w:t>Teri Baldwin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  <w:r w:rsidRPr="005262CC">
              <w:rPr>
                <w:sz w:val="16"/>
                <w:szCs w:val="16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  <w:r w:rsidRPr="005262CC">
              <w:rPr>
                <w:sz w:val="16"/>
                <w:szCs w:val="16"/>
              </w:rPr>
              <w:t>Wilton Medical Arts Laboratory Supervisor</w:t>
            </w:r>
          </w:p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  <w:r w:rsidRPr="005262CC">
              <w:rPr>
                <w:sz w:val="16"/>
                <w:szCs w:val="16"/>
              </w:rPr>
              <w:t>Rhea Jamro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  <w:r w:rsidRPr="005262CC">
              <w:rPr>
                <w:sz w:val="16"/>
                <w:szCs w:val="16"/>
              </w:rPr>
              <w:t>Date</w:t>
            </w:r>
          </w:p>
        </w:tc>
      </w:tr>
      <w:tr w:rsidR="006C4E3F" w:rsidRPr="005262CC" w:rsidTr="006C4E3F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</w:tr>
      <w:tr w:rsidR="006C4E3F" w:rsidRPr="005262CC" w:rsidTr="006C4E3F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6" w:type="dxa"/>
            <w:tcBorders>
              <w:top w:val="nil"/>
              <w:left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nil"/>
              <w:left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</w:tr>
      <w:tr w:rsidR="006C4E3F" w:rsidRPr="005262CC" w:rsidTr="006C4E3F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6" w:type="dxa"/>
            <w:tcBorders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  <w:r w:rsidRPr="005262CC">
              <w:rPr>
                <w:sz w:val="16"/>
                <w:szCs w:val="16"/>
              </w:rPr>
              <w:t>Laboratory Administrative Director</w:t>
            </w:r>
          </w:p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  <w:r w:rsidRPr="005262CC">
              <w:rPr>
                <w:sz w:val="16"/>
                <w:szCs w:val="16"/>
              </w:rPr>
              <w:t>Richard Vandell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  <w:r w:rsidRPr="005262CC">
              <w:rPr>
                <w:sz w:val="16"/>
                <w:szCs w:val="16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Saratoga Hospital </w:t>
            </w:r>
            <w:r w:rsidRPr="005262CC">
              <w:rPr>
                <w:sz w:val="16"/>
                <w:szCs w:val="16"/>
              </w:rPr>
              <w:t>Laboratory Medical Director</w:t>
            </w:r>
          </w:p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  <w:r w:rsidRPr="005262CC">
              <w:rPr>
                <w:sz w:val="16"/>
                <w:szCs w:val="16"/>
              </w:rPr>
              <w:t>William E. Field II, MD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  <w:r w:rsidRPr="005262CC">
              <w:rPr>
                <w:sz w:val="16"/>
                <w:szCs w:val="16"/>
              </w:rPr>
              <w:t>Date</w:t>
            </w:r>
          </w:p>
        </w:tc>
      </w:tr>
      <w:tr w:rsidR="006C4E3F" w:rsidRPr="005262CC" w:rsidTr="006C4E3F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</w:tr>
      <w:tr w:rsidR="006C4E3F" w:rsidRPr="005262CC" w:rsidTr="006C4E3F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6" w:type="dxa"/>
            <w:tcBorders>
              <w:top w:val="nil"/>
              <w:left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</w:tr>
      <w:tr w:rsidR="006C4E3F" w:rsidRPr="005262CC" w:rsidTr="006C4E3F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6" w:type="dxa"/>
            <w:tcBorders>
              <w:left w:val="nil"/>
              <w:bottom w:val="nil"/>
              <w:right w:val="nil"/>
            </w:tcBorders>
          </w:tcPr>
          <w:p w:rsidR="006C4E3F" w:rsidRDefault="006C4E3F" w:rsidP="006C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Wilton Medical Arts Laboratory Medical Director</w:t>
            </w:r>
          </w:p>
          <w:p w:rsidR="006C4E3F" w:rsidRPr="005262CC" w:rsidRDefault="006C4E3F" w:rsidP="006C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Josenia Tan, M.D.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  <w:r w:rsidRPr="005262CC">
              <w:rPr>
                <w:sz w:val="16"/>
                <w:szCs w:val="16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C4E3F" w:rsidRPr="005262CC" w:rsidRDefault="006C4E3F" w:rsidP="000A2101">
            <w:pPr>
              <w:jc w:val="center"/>
              <w:rPr>
                <w:sz w:val="16"/>
                <w:szCs w:val="16"/>
              </w:rPr>
            </w:pPr>
          </w:p>
        </w:tc>
      </w:tr>
    </w:tbl>
    <w:p w:rsidR="006C4E3F" w:rsidRPr="004776F6" w:rsidRDefault="006C4E3F" w:rsidP="007F0F9C"/>
    <w:sectPr w:rsidR="006C4E3F" w:rsidRPr="004776F6" w:rsidSect="0061193E">
      <w:footerReference w:type="default" r:id="rId8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4E0" w:rsidRDefault="008464E0" w:rsidP="009864B0">
      <w:r>
        <w:separator/>
      </w:r>
    </w:p>
  </w:endnote>
  <w:endnote w:type="continuationSeparator" w:id="0">
    <w:p w:rsidR="008464E0" w:rsidRDefault="008464E0" w:rsidP="0098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55473926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8464E0" w:rsidRPr="00427800" w:rsidRDefault="00BA4478" w:rsidP="006019A9">
            <w:pPr>
              <w:pStyle w:val="Footer"/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FILENAME  \p  \* MERGEFORMAT </w:instrText>
            </w:r>
            <w:r>
              <w:rPr>
                <w:sz w:val="16"/>
                <w:szCs w:val="16"/>
              </w:rPr>
              <w:fldChar w:fldCharType="separate"/>
            </w:r>
            <w:r w:rsidR="0075477B">
              <w:rPr>
                <w:noProof/>
                <w:sz w:val="16"/>
                <w:szCs w:val="16"/>
              </w:rPr>
              <w:t>L:\Lab\Lab\Procedures-Final\Phlebotomy\Procedures\Phlebotomy Adverse Reaction Procedure 1.8.15.docx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</w:t>
            </w:r>
            <w:r w:rsidR="008464E0" w:rsidRPr="0061193E">
              <w:rPr>
                <w:sz w:val="16"/>
                <w:szCs w:val="16"/>
              </w:rPr>
              <w:t xml:space="preserve">Page </w:t>
            </w:r>
            <w:r w:rsidR="008464E0" w:rsidRPr="0061193E">
              <w:rPr>
                <w:b/>
                <w:sz w:val="16"/>
                <w:szCs w:val="16"/>
              </w:rPr>
              <w:fldChar w:fldCharType="begin"/>
            </w:r>
            <w:r w:rsidR="008464E0" w:rsidRPr="0061193E">
              <w:rPr>
                <w:b/>
                <w:sz w:val="16"/>
                <w:szCs w:val="16"/>
              </w:rPr>
              <w:instrText xml:space="preserve"> PAGE </w:instrText>
            </w:r>
            <w:r w:rsidR="008464E0" w:rsidRPr="0061193E">
              <w:rPr>
                <w:b/>
                <w:sz w:val="16"/>
                <w:szCs w:val="16"/>
              </w:rPr>
              <w:fldChar w:fldCharType="separate"/>
            </w:r>
            <w:r w:rsidR="0075477B">
              <w:rPr>
                <w:b/>
                <w:noProof/>
                <w:sz w:val="16"/>
                <w:szCs w:val="16"/>
              </w:rPr>
              <w:t>2</w:t>
            </w:r>
            <w:r w:rsidR="008464E0" w:rsidRPr="0061193E">
              <w:rPr>
                <w:b/>
                <w:sz w:val="16"/>
                <w:szCs w:val="16"/>
              </w:rPr>
              <w:fldChar w:fldCharType="end"/>
            </w:r>
            <w:r w:rsidR="008464E0" w:rsidRPr="0061193E">
              <w:rPr>
                <w:sz w:val="16"/>
                <w:szCs w:val="16"/>
              </w:rPr>
              <w:t xml:space="preserve"> of </w:t>
            </w:r>
            <w:r w:rsidR="008464E0" w:rsidRPr="0061193E">
              <w:rPr>
                <w:b/>
                <w:sz w:val="16"/>
                <w:szCs w:val="16"/>
              </w:rPr>
              <w:fldChar w:fldCharType="begin"/>
            </w:r>
            <w:r w:rsidR="008464E0" w:rsidRPr="0061193E">
              <w:rPr>
                <w:b/>
                <w:sz w:val="16"/>
                <w:szCs w:val="16"/>
              </w:rPr>
              <w:instrText xml:space="preserve"> NUMPAGES  </w:instrText>
            </w:r>
            <w:r w:rsidR="008464E0" w:rsidRPr="0061193E">
              <w:rPr>
                <w:b/>
                <w:sz w:val="16"/>
                <w:szCs w:val="16"/>
              </w:rPr>
              <w:fldChar w:fldCharType="separate"/>
            </w:r>
            <w:r w:rsidR="0075477B">
              <w:rPr>
                <w:b/>
                <w:noProof/>
                <w:sz w:val="16"/>
                <w:szCs w:val="16"/>
              </w:rPr>
              <w:t>2</w:t>
            </w:r>
            <w:r w:rsidR="008464E0" w:rsidRPr="0061193E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8464E0" w:rsidRPr="0061193E" w:rsidRDefault="00A40CD5">
    <w:pPr>
      <w:pStyle w:val="Footer"/>
      <w:rPr>
        <w:sz w:val="16"/>
        <w:szCs w:val="16"/>
      </w:rPr>
    </w:pPr>
    <w:r>
      <w:rPr>
        <w:sz w:val="16"/>
        <w:szCs w:val="16"/>
      </w:rPr>
      <w:t>SOP#:PB1</w:t>
    </w:r>
    <w:r w:rsidR="00BA4478">
      <w:rPr>
        <w:sz w:val="16"/>
        <w:szCs w:val="16"/>
      </w:rPr>
      <w:t>4</w:t>
    </w:r>
    <w:r>
      <w:rPr>
        <w:sz w:val="16"/>
        <w:szCs w:val="16"/>
      </w:rPr>
      <w:t>.1</w:t>
    </w:r>
  </w:p>
  <w:p w:rsidR="008464E0" w:rsidRPr="0061193E" w:rsidRDefault="008464E0">
    <w:pPr>
      <w:pStyle w:val="Footer"/>
      <w:rPr>
        <w:sz w:val="16"/>
        <w:szCs w:val="16"/>
      </w:rPr>
    </w:pPr>
    <w:r>
      <w:rPr>
        <w:sz w:val="16"/>
        <w:szCs w:val="16"/>
      </w:rPr>
      <w:t xml:space="preserve">Date Printed: </w:t>
    </w:r>
    <w:r w:rsidR="00A40CD5">
      <w:rPr>
        <w:sz w:val="16"/>
        <w:szCs w:val="16"/>
      </w:rPr>
      <w:t>01/</w:t>
    </w:r>
    <w:r w:rsidR="00BA4478">
      <w:rPr>
        <w:sz w:val="16"/>
        <w:szCs w:val="16"/>
      </w:rPr>
      <w:t>15</w:t>
    </w:r>
    <w:r w:rsidR="00A40CD5">
      <w:rPr>
        <w:sz w:val="16"/>
        <w:szCs w:val="16"/>
      </w:rPr>
      <w:t>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4E0" w:rsidRDefault="008464E0" w:rsidP="009864B0">
      <w:r>
        <w:separator/>
      </w:r>
    </w:p>
  </w:footnote>
  <w:footnote w:type="continuationSeparator" w:id="0">
    <w:p w:rsidR="008464E0" w:rsidRDefault="008464E0" w:rsidP="00986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079"/>
    <w:multiLevelType w:val="hybridMultilevel"/>
    <w:tmpl w:val="9C0AA9FC"/>
    <w:lvl w:ilvl="0" w:tplc="947CE2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6632A"/>
    <w:multiLevelType w:val="hybridMultilevel"/>
    <w:tmpl w:val="14AEB1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4A7D90"/>
    <w:multiLevelType w:val="hybridMultilevel"/>
    <w:tmpl w:val="798A1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A1FF6"/>
    <w:multiLevelType w:val="hybridMultilevel"/>
    <w:tmpl w:val="2CDE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06743"/>
    <w:multiLevelType w:val="hybridMultilevel"/>
    <w:tmpl w:val="67E8957A"/>
    <w:lvl w:ilvl="0" w:tplc="AEF22D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660D3"/>
    <w:multiLevelType w:val="hybridMultilevel"/>
    <w:tmpl w:val="817046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DECDF0">
      <w:start w:val="1"/>
      <w:numFmt w:val="bullet"/>
      <w:lvlText w:val=""/>
      <w:lvlJc w:val="left"/>
      <w:pPr>
        <w:tabs>
          <w:tab w:val="num" w:pos="1440"/>
        </w:tabs>
        <w:ind w:left="1296" w:hanging="216"/>
      </w:pPr>
      <w:rPr>
        <w:rFonts w:ascii="Symbol" w:hAnsi="Symbol" w:hint="default"/>
      </w:rPr>
    </w:lvl>
    <w:lvl w:ilvl="2" w:tplc="55FABBE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AD0B88"/>
    <w:multiLevelType w:val="hybridMultilevel"/>
    <w:tmpl w:val="B71E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74A12"/>
    <w:multiLevelType w:val="hybridMultilevel"/>
    <w:tmpl w:val="C3BA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17206"/>
    <w:multiLevelType w:val="hybridMultilevel"/>
    <w:tmpl w:val="0F00D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A7ECB"/>
    <w:multiLevelType w:val="hybridMultilevel"/>
    <w:tmpl w:val="244856EA"/>
    <w:lvl w:ilvl="0" w:tplc="69DECDF0">
      <w:start w:val="1"/>
      <w:numFmt w:val="bullet"/>
      <w:lvlText w:val=""/>
      <w:lvlJc w:val="left"/>
      <w:pPr>
        <w:tabs>
          <w:tab w:val="num" w:pos="1440"/>
        </w:tabs>
        <w:ind w:left="129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55FABBE8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DB14B96"/>
    <w:multiLevelType w:val="hybridMultilevel"/>
    <w:tmpl w:val="EDBA7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842F8"/>
    <w:multiLevelType w:val="hybridMultilevel"/>
    <w:tmpl w:val="CC8A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B23897"/>
    <w:multiLevelType w:val="hybridMultilevel"/>
    <w:tmpl w:val="EB5E2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06F9E"/>
    <w:multiLevelType w:val="hybridMultilevel"/>
    <w:tmpl w:val="A8BA5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8230C"/>
    <w:multiLevelType w:val="hybridMultilevel"/>
    <w:tmpl w:val="75C2E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C3CDD"/>
    <w:multiLevelType w:val="hybridMultilevel"/>
    <w:tmpl w:val="6F44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33A24"/>
    <w:multiLevelType w:val="hybridMultilevel"/>
    <w:tmpl w:val="7C3A3D72"/>
    <w:lvl w:ilvl="0" w:tplc="38FC69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F2F2F2" w:themeColor="background1" w:themeShade="F2"/>
        <w:u w:color="F2F2F2" w:themeColor="background1" w:themeShade="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45E2C"/>
    <w:multiLevelType w:val="hybridMultilevel"/>
    <w:tmpl w:val="B2AC0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B3327F"/>
    <w:multiLevelType w:val="hybridMultilevel"/>
    <w:tmpl w:val="880CD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4E7CC1"/>
    <w:multiLevelType w:val="hybridMultilevel"/>
    <w:tmpl w:val="AD669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E93E00"/>
    <w:multiLevelType w:val="hybridMultilevel"/>
    <w:tmpl w:val="7FEC0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5D58A8"/>
    <w:multiLevelType w:val="hybridMultilevel"/>
    <w:tmpl w:val="C45211BC"/>
    <w:lvl w:ilvl="0" w:tplc="69DECDF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69DECDF0">
      <w:start w:val="1"/>
      <w:numFmt w:val="bullet"/>
      <w:lvlText w:val=""/>
      <w:lvlJc w:val="left"/>
      <w:pPr>
        <w:tabs>
          <w:tab w:val="num" w:pos="2160"/>
        </w:tabs>
        <w:ind w:left="2016" w:hanging="216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3824CD"/>
    <w:multiLevelType w:val="hybridMultilevel"/>
    <w:tmpl w:val="6DFCF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3F65E5"/>
    <w:multiLevelType w:val="hybridMultilevel"/>
    <w:tmpl w:val="BD40DB9A"/>
    <w:lvl w:ilvl="0" w:tplc="0E3EB4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AF3BAA"/>
    <w:multiLevelType w:val="hybridMultilevel"/>
    <w:tmpl w:val="37948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CF523E"/>
    <w:multiLevelType w:val="hybridMultilevel"/>
    <w:tmpl w:val="EB5E2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7B5F6B"/>
    <w:multiLevelType w:val="hybridMultilevel"/>
    <w:tmpl w:val="A8BA5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961B44"/>
    <w:multiLevelType w:val="hybridMultilevel"/>
    <w:tmpl w:val="68F632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CE5870"/>
    <w:multiLevelType w:val="hybridMultilevel"/>
    <w:tmpl w:val="2332800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D3759E"/>
    <w:multiLevelType w:val="hybridMultilevel"/>
    <w:tmpl w:val="2A80C7A2"/>
    <w:lvl w:ilvl="0" w:tplc="6B06442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C40C96"/>
    <w:multiLevelType w:val="hybridMultilevel"/>
    <w:tmpl w:val="1BFAA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02183A"/>
    <w:multiLevelType w:val="hybridMultilevel"/>
    <w:tmpl w:val="74C4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CE1E4E"/>
    <w:multiLevelType w:val="hybridMultilevel"/>
    <w:tmpl w:val="A6C69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902C29"/>
    <w:multiLevelType w:val="hybridMultilevel"/>
    <w:tmpl w:val="BF664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A91CA5"/>
    <w:multiLevelType w:val="hybridMultilevel"/>
    <w:tmpl w:val="29D2E0F4"/>
    <w:lvl w:ilvl="0" w:tplc="A4863C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F44355"/>
    <w:multiLevelType w:val="hybridMultilevel"/>
    <w:tmpl w:val="9B800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0E34AF"/>
    <w:multiLevelType w:val="hybridMultilevel"/>
    <w:tmpl w:val="C986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30463D"/>
    <w:multiLevelType w:val="hybridMultilevel"/>
    <w:tmpl w:val="C70E0510"/>
    <w:lvl w:ilvl="0" w:tplc="24961682">
      <w:numFmt w:val="decimal"/>
      <w:lvlText w:val="%1"/>
      <w:lvlJc w:val="left"/>
      <w:pPr>
        <w:ind w:left="720" w:hanging="360"/>
      </w:pPr>
      <w:rPr>
        <w:rFonts w:hint="default"/>
        <w:color w:val="FFFFFF" w:themeColor="background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657D3D"/>
    <w:multiLevelType w:val="hybridMultilevel"/>
    <w:tmpl w:val="A6C69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3527C7"/>
    <w:multiLevelType w:val="hybridMultilevel"/>
    <w:tmpl w:val="7DF24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BA6D08"/>
    <w:multiLevelType w:val="hybridMultilevel"/>
    <w:tmpl w:val="2BB89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1"/>
  </w:num>
  <w:num w:numId="4">
    <w:abstractNumId w:val="27"/>
  </w:num>
  <w:num w:numId="5">
    <w:abstractNumId w:val="28"/>
  </w:num>
  <w:num w:numId="6">
    <w:abstractNumId w:val="25"/>
  </w:num>
  <w:num w:numId="7">
    <w:abstractNumId w:val="15"/>
  </w:num>
  <w:num w:numId="8">
    <w:abstractNumId w:val="36"/>
  </w:num>
  <w:num w:numId="9">
    <w:abstractNumId w:val="29"/>
  </w:num>
  <w:num w:numId="10">
    <w:abstractNumId w:val="37"/>
  </w:num>
  <w:num w:numId="11">
    <w:abstractNumId w:val="4"/>
  </w:num>
  <w:num w:numId="12">
    <w:abstractNumId w:val="23"/>
  </w:num>
  <w:num w:numId="13">
    <w:abstractNumId w:val="16"/>
  </w:num>
  <w:num w:numId="14">
    <w:abstractNumId w:val="12"/>
  </w:num>
  <w:num w:numId="15">
    <w:abstractNumId w:val="19"/>
  </w:num>
  <w:num w:numId="16">
    <w:abstractNumId w:val="32"/>
  </w:num>
  <w:num w:numId="17">
    <w:abstractNumId w:val="20"/>
  </w:num>
  <w:num w:numId="18">
    <w:abstractNumId w:val="39"/>
  </w:num>
  <w:num w:numId="19">
    <w:abstractNumId w:val="38"/>
  </w:num>
  <w:num w:numId="20">
    <w:abstractNumId w:val="14"/>
  </w:num>
  <w:num w:numId="21">
    <w:abstractNumId w:val="11"/>
  </w:num>
  <w:num w:numId="22">
    <w:abstractNumId w:val="33"/>
  </w:num>
  <w:num w:numId="23">
    <w:abstractNumId w:val="30"/>
  </w:num>
  <w:num w:numId="24">
    <w:abstractNumId w:val="1"/>
  </w:num>
  <w:num w:numId="25">
    <w:abstractNumId w:val="7"/>
  </w:num>
  <w:num w:numId="26">
    <w:abstractNumId w:val="35"/>
  </w:num>
  <w:num w:numId="27">
    <w:abstractNumId w:val="34"/>
  </w:num>
  <w:num w:numId="28">
    <w:abstractNumId w:val="31"/>
  </w:num>
  <w:num w:numId="29">
    <w:abstractNumId w:val="0"/>
  </w:num>
  <w:num w:numId="30">
    <w:abstractNumId w:val="2"/>
  </w:num>
  <w:num w:numId="31">
    <w:abstractNumId w:val="18"/>
  </w:num>
  <w:num w:numId="32">
    <w:abstractNumId w:val="3"/>
  </w:num>
  <w:num w:numId="33">
    <w:abstractNumId w:val="6"/>
  </w:num>
  <w:num w:numId="34">
    <w:abstractNumId w:val="24"/>
  </w:num>
  <w:num w:numId="35">
    <w:abstractNumId w:val="10"/>
  </w:num>
  <w:num w:numId="36">
    <w:abstractNumId w:val="8"/>
  </w:num>
  <w:num w:numId="37">
    <w:abstractNumId w:val="17"/>
  </w:num>
  <w:num w:numId="38">
    <w:abstractNumId w:val="22"/>
  </w:num>
  <w:num w:numId="39">
    <w:abstractNumId w:val="40"/>
  </w:num>
  <w:num w:numId="40">
    <w:abstractNumId w:val="13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A6"/>
    <w:rsid w:val="0000657C"/>
    <w:rsid w:val="00011AFC"/>
    <w:rsid w:val="0001218C"/>
    <w:rsid w:val="00036271"/>
    <w:rsid w:val="000E4F1A"/>
    <w:rsid w:val="000E742D"/>
    <w:rsid w:val="001018A6"/>
    <w:rsid w:val="001057CA"/>
    <w:rsid w:val="00117B14"/>
    <w:rsid w:val="00175DEF"/>
    <w:rsid w:val="001C2031"/>
    <w:rsid w:val="001D1A5F"/>
    <w:rsid w:val="001D3D82"/>
    <w:rsid w:val="001E3587"/>
    <w:rsid w:val="001E37B8"/>
    <w:rsid w:val="001F1BE7"/>
    <w:rsid w:val="002321C8"/>
    <w:rsid w:val="002327C3"/>
    <w:rsid w:val="002A61A1"/>
    <w:rsid w:val="002B3D65"/>
    <w:rsid w:val="002D0BD2"/>
    <w:rsid w:val="002E0FC4"/>
    <w:rsid w:val="003301B5"/>
    <w:rsid w:val="00363B67"/>
    <w:rsid w:val="00376794"/>
    <w:rsid w:val="00397FE8"/>
    <w:rsid w:val="003B46A5"/>
    <w:rsid w:val="003B584F"/>
    <w:rsid w:val="00427800"/>
    <w:rsid w:val="0045307E"/>
    <w:rsid w:val="004776F6"/>
    <w:rsid w:val="004B2B11"/>
    <w:rsid w:val="004C1F3D"/>
    <w:rsid w:val="004C4720"/>
    <w:rsid w:val="004F556E"/>
    <w:rsid w:val="00510B54"/>
    <w:rsid w:val="0051360F"/>
    <w:rsid w:val="00535A97"/>
    <w:rsid w:val="00547ED5"/>
    <w:rsid w:val="0059139B"/>
    <w:rsid w:val="005B4954"/>
    <w:rsid w:val="006019A9"/>
    <w:rsid w:val="0061193E"/>
    <w:rsid w:val="00622D17"/>
    <w:rsid w:val="006561DC"/>
    <w:rsid w:val="0066029C"/>
    <w:rsid w:val="00693F14"/>
    <w:rsid w:val="006C4E3F"/>
    <w:rsid w:val="006E5A04"/>
    <w:rsid w:val="007034B2"/>
    <w:rsid w:val="0075477B"/>
    <w:rsid w:val="00773C4A"/>
    <w:rsid w:val="00790744"/>
    <w:rsid w:val="00790C5F"/>
    <w:rsid w:val="007955D4"/>
    <w:rsid w:val="007C5A90"/>
    <w:rsid w:val="007F0F9C"/>
    <w:rsid w:val="008123E7"/>
    <w:rsid w:val="00837568"/>
    <w:rsid w:val="008427D3"/>
    <w:rsid w:val="008464E0"/>
    <w:rsid w:val="008704CD"/>
    <w:rsid w:val="00897B84"/>
    <w:rsid w:val="008B5FC2"/>
    <w:rsid w:val="00946385"/>
    <w:rsid w:val="00957D7B"/>
    <w:rsid w:val="00967CF1"/>
    <w:rsid w:val="009864B0"/>
    <w:rsid w:val="009872F3"/>
    <w:rsid w:val="009B20E3"/>
    <w:rsid w:val="00A003D4"/>
    <w:rsid w:val="00A03D6F"/>
    <w:rsid w:val="00A064F7"/>
    <w:rsid w:val="00A161A1"/>
    <w:rsid w:val="00A40CD5"/>
    <w:rsid w:val="00A51562"/>
    <w:rsid w:val="00A5432D"/>
    <w:rsid w:val="00A6191D"/>
    <w:rsid w:val="00A83B57"/>
    <w:rsid w:val="00A944F0"/>
    <w:rsid w:val="00AF1203"/>
    <w:rsid w:val="00AF2D37"/>
    <w:rsid w:val="00B213F7"/>
    <w:rsid w:val="00B266F4"/>
    <w:rsid w:val="00B66431"/>
    <w:rsid w:val="00B74D6E"/>
    <w:rsid w:val="00B82790"/>
    <w:rsid w:val="00BA4478"/>
    <w:rsid w:val="00BD3DED"/>
    <w:rsid w:val="00BD6274"/>
    <w:rsid w:val="00BF4347"/>
    <w:rsid w:val="00C15196"/>
    <w:rsid w:val="00C5026E"/>
    <w:rsid w:val="00C522D4"/>
    <w:rsid w:val="00C5498B"/>
    <w:rsid w:val="00C5610A"/>
    <w:rsid w:val="00CA5BE2"/>
    <w:rsid w:val="00CB602F"/>
    <w:rsid w:val="00D06F45"/>
    <w:rsid w:val="00D170DA"/>
    <w:rsid w:val="00D2278E"/>
    <w:rsid w:val="00D35A9D"/>
    <w:rsid w:val="00D41BD2"/>
    <w:rsid w:val="00D47ED7"/>
    <w:rsid w:val="00D6415A"/>
    <w:rsid w:val="00D76FE4"/>
    <w:rsid w:val="00DC3784"/>
    <w:rsid w:val="00DC3ABD"/>
    <w:rsid w:val="00DC6A68"/>
    <w:rsid w:val="00E27F5C"/>
    <w:rsid w:val="00E619B6"/>
    <w:rsid w:val="00E83EAE"/>
    <w:rsid w:val="00EA03FE"/>
    <w:rsid w:val="00EA4BA1"/>
    <w:rsid w:val="00EB745C"/>
    <w:rsid w:val="00EC1DE7"/>
    <w:rsid w:val="00F10E9E"/>
    <w:rsid w:val="00F12471"/>
    <w:rsid w:val="00F27BEC"/>
    <w:rsid w:val="00F336D1"/>
    <w:rsid w:val="00F66178"/>
    <w:rsid w:val="00F754B8"/>
    <w:rsid w:val="00FF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Default"/>
    <w:next w:val="Default"/>
    <w:link w:val="Heading7Char"/>
    <w:qFormat/>
    <w:rsid w:val="001018A6"/>
    <w:pPr>
      <w:keepNext/>
      <w:ind w:left="720" w:firstLine="1"/>
      <w:outlineLvl w:val="6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1018A6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Default">
    <w:name w:val="Default"/>
    <w:rsid w:val="001018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PlainText">
    <w:name w:val="WW-Plain Text"/>
    <w:basedOn w:val="Default"/>
    <w:rsid w:val="001018A6"/>
  </w:style>
  <w:style w:type="paragraph" w:styleId="BodyTextIndent">
    <w:name w:val="Body Text Indent"/>
    <w:basedOn w:val="Normal"/>
    <w:link w:val="BodyTextIndentChar"/>
    <w:rsid w:val="00D76FE4"/>
    <w:pPr>
      <w:ind w:left="2520"/>
    </w:pPr>
    <w:rPr>
      <w:b/>
      <w:bCs/>
      <w:i/>
      <w:i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76FE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TableGrid">
    <w:name w:val="Table Grid"/>
    <w:basedOn w:val="TableNormal"/>
    <w:uiPriority w:val="59"/>
    <w:rsid w:val="00A161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864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4B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864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4B0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1E3587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E358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62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91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556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336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6C4E3F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6C4E3F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Default"/>
    <w:next w:val="Default"/>
    <w:link w:val="Heading7Char"/>
    <w:qFormat/>
    <w:rsid w:val="001018A6"/>
    <w:pPr>
      <w:keepNext/>
      <w:ind w:left="720" w:firstLine="1"/>
      <w:outlineLvl w:val="6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1018A6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Default">
    <w:name w:val="Default"/>
    <w:rsid w:val="001018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PlainText">
    <w:name w:val="WW-Plain Text"/>
    <w:basedOn w:val="Default"/>
    <w:rsid w:val="001018A6"/>
  </w:style>
  <w:style w:type="paragraph" w:styleId="BodyTextIndent">
    <w:name w:val="Body Text Indent"/>
    <w:basedOn w:val="Normal"/>
    <w:link w:val="BodyTextIndentChar"/>
    <w:rsid w:val="00D76FE4"/>
    <w:pPr>
      <w:ind w:left="2520"/>
    </w:pPr>
    <w:rPr>
      <w:b/>
      <w:bCs/>
      <w:i/>
      <w:i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76FE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TableGrid">
    <w:name w:val="Table Grid"/>
    <w:basedOn w:val="TableNormal"/>
    <w:uiPriority w:val="59"/>
    <w:rsid w:val="00A161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864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4B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864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4B0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1E3587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E358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62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91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556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336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6C4E3F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6C4E3F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Saratoga Hospital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TBaldwin8.17.11</cp:lastModifiedBy>
  <cp:revision>6</cp:revision>
  <cp:lastPrinted>2015-02-10T15:53:00Z</cp:lastPrinted>
  <dcterms:created xsi:type="dcterms:W3CDTF">2015-01-22T12:42:00Z</dcterms:created>
  <dcterms:modified xsi:type="dcterms:W3CDTF">2015-02-10T15:55:00Z</dcterms:modified>
</cp:coreProperties>
</file>