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1A1" w:rsidRDefault="00BF0448" w:rsidP="005B4396">
      <w:pPr>
        <w:jc w:val="center"/>
      </w:pPr>
      <w:r w:rsidRPr="00BF0448">
        <w:rPr>
          <w:noProof/>
        </w:rPr>
        <w:drawing>
          <wp:inline distT="0" distB="0" distL="0" distR="0">
            <wp:extent cx="5038725" cy="29732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59181" cy="2985288"/>
                    </a:xfrm>
                    <a:prstGeom prst="rect">
                      <a:avLst/>
                    </a:prstGeom>
                    <a:noFill/>
                    <a:ln>
                      <a:noFill/>
                    </a:ln>
                  </pic:spPr>
                </pic:pic>
              </a:graphicData>
            </a:graphic>
          </wp:inline>
        </w:drawing>
      </w:r>
    </w:p>
    <w:p w:rsidR="00BF0448" w:rsidRPr="00CB7101" w:rsidRDefault="00BF0448" w:rsidP="005B4396">
      <w:pPr>
        <w:jc w:val="center"/>
        <w:rPr>
          <w:sz w:val="40"/>
          <w:szCs w:val="40"/>
        </w:rPr>
      </w:pPr>
      <w:r w:rsidRPr="00CB7101">
        <w:rPr>
          <w:sz w:val="40"/>
          <w:szCs w:val="40"/>
        </w:rPr>
        <w:t>Stain Precipitate-misidentified as Degenerating Cell</w:t>
      </w:r>
    </w:p>
    <w:p w:rsidR="00BF0448" w:rsidRDefault="00BF0448" w:rsidP="005B4396">
      <w:pPr>
        <w:jc w:val="center"/>
      </w:pPr>
      <w:r w:rsidRPr="00BF0448">
        <w:rPr>
          <w:noProof/>
        </w:rPr>
        <w:drawing>
          <wp:inline distT="0" distB="0" distL="0" distR="0">
            <wp:extent cx="4990486" cy="334327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7886" cy="3348233"/>
                    </a:xfrm>
                    <a:prstGeom prst="rect">
                      <a:avLst/>
                    </a:prstGeom>
                    <a:noFill/>
                    <a:ln>
                      <a:noFill/>
                    </a:ln>
                  </pic:spPr>
                </pic:pic>
              </a:graphicData>
            </a:graphic>
          </wp:inline>
        </w:drawing>
      </w:r>
    </w:p>
    <w:p w:rsidR="00BF0448" w:rsidRPr="00CB7101" w:rsidRDefault="00BF0448" w:rsidP="005B4396">
      <w:pPr>
        <w:jc w:val="center"/>
        <w:rPr>
          <w:sz w:val="40"/>
          <w:szCs w:val="40"/>
        </w:rPr>
      </w:pPr>
      <w:r w:rsidRPr="00CB7101">
        <w:rPr>
          <w:sz w:val="40"/>
          <w:szCs w:val="40"/>
        </w:rPr>
        <w:t>Degenerating Cell</w:t>
      </w:r>
    </w:p>
    <w:p w:rsidR="005B4396" w:rsidRDefault="005B4396" w:rsidP="005B4396">
      <w:pPr>
        <w:jc w:val="center"/>
        <w:rPr>
          <w:sz w:val="24"/>
          <w:szCs w:val="24"/>
        </w:rPr>
      </w:pPr>
      <w:r w:rsidRPr="00CB7101">
        <w:rPr>
          <w:sz w:val="24"/>
          <w:szCs w:val="24"/>
        </w:rPr>
        <w:t>The top picture is a slide missed on our recent CAP survey.  We identified it as a degenerating cell.  The proper answer was stain precipitate.  Notice how large the object is in relation to the RBC in the picture.  Also note that there is no distinction that shows a difference in color or texture within the precipitate that would suggest a nucleus and cytoplasm were ever there.  As you can see in the bottom picture, the cells that are breaking apart are still an appropriate size for a WBC, and there is still some distinction in color and texture between the nucleus and cytoplasm.</w:t>
      </w:r>
    </w:p>
    <w:p w:rsidR="00CB7101" w:rsidRDefault="00CB7101" w:rsidP="00CB7101">
      <w:r w:rsidRPr="00A14C39">
        <w:rPr>
          <w:noProof/>
        </w:rPr>
        <w:lastRenderedPageBreak/>
        <w:drawing>
          <wp:inline distT="0" distB="0" distL="0" distR="0" wp14:anchorId="7A3DCE40" wp14:editId="301E79AB">
            <wp:extent cx="5943600" cy="3953595"/>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953595"/>
                    </a:xfrm>
                    <a:prstGeom prst="rect">
                      <a:avLst/>
                    </a:prstGeom>
                    <a:noFill/>
                    <a:ln>
                      <a:noFill/>
                    </a:ln>
                  </pic:spPr>
                </pic:pic>
              </a:graphicData>
            </a:graphic>
          </wp:inline>
        </w:drawing>
      </w:r>
    </w:p>
    <w:p w:rsidR="00CB7101" w:rsidRDefault="00CB7101" w:rsidP="00CB7101">
      <w:pPr>
        <w:autoSpaceDE w:val="0"/>
        <w:autoSpaceDN w:val="0"/>
        <w:adjustRightInd w:val="0"/>
        <w:spacing w:after="0" w:line="240" w:lineRule="auto"/>
        <w:rPr>
          <w:rFonts w:cs="Arial"/>
          <w:sz w:val="24"/>
          <w:szCs w:val="24"/>
        </w:rPr>
      </w:pPr>
      <w:r w:rsidRPr="00923DE0">
        <w:rPr>
          <w:rFonts w:cs="Arial"/>
          <w:sz w:val="24"/>
          <w:szCs w:val="24"/>
        </w:rPr>
        <w:t>This peripheral blood smear is from an 82-year-old woman with an eight-month history of increasing fatigue and pallor. Laboratory data includes: WBC = 2.8 x 109/L; RBC = 2.98 x 1012/L; HGB = 7.9 g/</w:t>
      </w:r>
      <w:proofErr w:type="spellStart"/>
      <w:r w:rsidRPr="00923DE0">
        <w:rPr>
          <w:rFonts w:cs="Arial"/>
          <w:sz w:val="24"/>
          <w:szCs w:val="24"/>
        </w:rPr>
        <w:t>dL</w:t>
      </w:r>
      <w:proofErr w:type="spellEnd"/>
      <w:r w:rsidRPr="00923DE0">
        <w:rPr>
          <w:rFonts w:cs="Arial"/>
          <w:sz w:val="24"/>
          <w:szCs w:val="24"/>
        </w:rPr>
        <w:t>; HCT = 29.2%;</w:t>
      </w:r>
      <w:r w:rsidR="00923DE0" w:rsidRPr="00923DE0">
        <w:rPr>
          <w:rFonts w:cs="Arial"/>
          <w:sz w:val="24"/>
          <w:szCs w:val="24"/>
        </w:rPr>
        <w:t xml:space="preserve"> </w:t>
      </w:r>
      <w:r w:rsidRPr="00923DE0">
        <w:rPr>
          <w:rFonts w:cs="Arial"/>
          <w:sz w:val="24"/>
          <w:szCs w:val="24"/>
          <w:highlight w:val="yellow"/>
        </w:rPr>
        <w:t xml:space="preserve">MCV = 121 </w:t>
      </w:r>
      <w:proofErr w:type="spellStart"/>
      <w:r w:rsidRPr="00923DE0">
        <w:rPr>
          <w:rFonts w:cs="Arial"/>
          <w:sz w:val="24"/>
          <w:szCs w:val="24"/>
          <w:highlight w:val="yellow"/>
        </w:rPr>
        <w:t>fL</w:t>
      </w:r>
      <w:proofErr w:type="spellEnd"/>
      <w:r w:rsidRPr="00923DE0">
        <w:rPr>
          <w:rFonts w:cs="Arial"/>
          <w:sz w:val="24"/>
          <w:szCs w:val="24"/>
        </w:rPr>
        <w:t xml:space="preserve">; MCHC = 34.1 </w:t>
      </w:r>
      <w:proofErr w:type="spellStart"/>
      <w:r w:rsidRPr="00923DE0">
        <w:rPr>
          <w:rFonts w:cs="Arial"/>
          <w:sz w:val="24"/>
          <w:szCs w:val="24"/>
        </w:rPr>
        <w:t>g.dL</w:t>
      </w:r>
      <w:proofErr w:type="spellEnd"/>
      <w:r w:rsidRPr="00923DE0">
        <w:rPr>
          <w:rFonts w:cs="Arial"/>
          <w:sz w:val="24"/>
          <w:szCs w:val="24"/>
        </w:rPr>
        <w:t xml:space="preserve">; RDW = 26; and PLT = 120 x 109/L. Additional testing showed a </w:t>
      </w:r>
      <w:r w:rsidRPr="00923DE0">
        <w:rPr>
          <w:rFonts w:cs="Arial"/>
          <w:sz w:val="24"/>
          <w:szCs w:val="24"/>
          <w:highlight w:val="yellow"/>
        </w:rPr>
        <w:t xml:space="preserve">vitamin B12 level of &lt;150 </w:t>
      </w:r>
      <w:proofErr w:type="spellStart"/>
      <w:r w:rsidRPr="00923DE0">
        <w:rPr>
          <w:rFonts w:cs="Arial"/>
          <w:sz w:val="24"/>
          <w:szCs w:val="24"/>
          <w:highlight w:val="yellow"/>
        </w:rPr>
        <w:t>pg</w:t>
      </w:r>
      <w:proofErr w:type="spellEnd"/>
      <w:r w:rsidRPr="00923DE0">
        <w:rPr>
          <w:rFonts w:cs="Arial"/>
          <w:sz w:val="24"/>
          <w:szCs w:val="24"/>
          <w:highlight w:val="yellow"/>
        </w:rPr>
        <w:t>/mL</w:t>
      </w:r>
      <w:r w:rsidRPr="00923DE0">
        <w:rPr>
          <w:rFonts w:cs="Arial"/>
          <w:sz w:val="24"/>
          <w:szCs w:val="24"/>
        </w:rPr>
        <w:t xml:space="preserve"> (normal range 240-930 </w:t>
      </w:r>
      <w:proofErr w:type="spellStart"/>
      <w:r w:rsidRPr="00923DE0">
        <w:rPr>
          <w:rFonts w:cs="Arial"/>
          <w:sz w:val="24"/>
          <w:szCs w:val="24"/>
        </w:rPr>
        <w:t>pg</w:t>
      </w:r>
      <w:proofErr w:type="spellEnd"/>
      <w:r w:rsidRPr="00923DE0">
        <w:rPr>
          <w:rFonts w:cs="Arial"/>
          <w:sz w:val="24"/>
          <w:szCs w:val="24"/>
        </w:rPr>
        <w:t>/mL) and the presence of anti-intrinsic factor autoantibodies.</w:t>
      </w:r>
    </w:p>
    <w:p w:rsidR="00923DE0" w:rsidRPr="00923DE0" w:rsidRDefault="00923DE0" w:rsidP="00CB7101">
      <w:pPr>
        <w:autoSpaceDE w:val="0"/>
        <w:autoSpaceDN w:val="0"/>
        <w:adjustRightInd w:val="0"/>
        <w:spacing w:after="0" w:line="240" w:lineRule="auto"/>
        <w:rPr>
          <w:rFonts w:cs="Arial"/>
          <w:sz w:val="24"/>
          <w:szCs w:val="24"/>
        </w:rPr>
      </w:pPr>
    </w:p>
    <w:p w:rsidR="00923DE0" w:rsidRDefault="00923DE0" w:rsidP="00CB7101">
      <w:pPr>
        <w:autoSpaceDE w:val="0"/>
        <w:autoSpaceDN w:val="0"/>
        <w:adjustRightInd w:val="0"/>
        <w:spacing w:after="0" w:line="240" w:lineRule="auto"/>
        <w:rPr>
          <w:rFonts w:cs="Arial"/>
          <w:sz w:val="24"/>
          <w:szCs w:val="24"/>
        </w:rPr>
      </w:pPr>
      <w:r w:rsidRPr="00923DE0">
        <w:rPr>
          <w:rFonts w:cs="Arial"/>
          <w:sz w:val="24"/>
          <w:szCs w:val="24"/>
        </w:rPr>
        <w:t>Our lab identified these cells as</w:t>
      </w:r>
      <w:r>
        <w:rPr>
          <w:rFonts w:cs="Arial"/>
          <w:sz w:val="24"/>
          <w:szCs w:val="24"/>
        </w:rPr>
        <w:t xml:space="preserve"> </w:t>
      </w:r>
      <w:proofErr w:type="spellStart"/>
      <w:r>
        <w:rPr>
          <w:rFonts w:cs="Arial"/>
          <w:sz w:val="24"/>
          <w:szCs w:val="24"/>
        </w:rPr>
        <w:t>macrocytes</w:t>
      </w:r>
      <w:proofErr w:type="spellEnd"/>
      <w:r>
        <w:rPr>
          <w:rFonts w:cs="Arial"/>
          <w:sz w:val="24"/>
          <w:szCs w:val="24"/>
        </w:rPr>
        <w:t xml:space="preserve">, oval or round (aka macro </w:t>
      </w:r>
      <w:proofErr w:type="spellStart"/>
      <w:r>
        <w:rPr>
          <w:rFonts w:cs="Arial"/>
          <w:sz w:val="24"/>
          <w:szCs w:val="24"/>
        </w:rPr>
        <w:t>ovalocytes</w:t>
      </w:r>
      <w:proofErr w:type="spellEnd"/>
      <w:r>
        <w:rPr>
          <w:rFonts w:cs="Arial"/>
          <w:sz w:val="24"/>
          <w:szCs w:val="24"/>
        </w:rPr>
        <w:t xml:space="preserve">) in the CAP survey, but the answer according to CAP was simply </w:t>
      </w:r>
      <w:proofErr w:type="spellStart"/>
      <w:r>
        <w:rPr>
          <w:rFonts w:cs="Arial"/>
          <w:sz w:val="24"/>
          <w:szCs w:val="24"/>
        </w:rPr>
        <w:t>ovalocytes</w:t>
      </w:r>
      <w:proofErr w:type="spellEnd"/>
      <w:r>
        <w:rPr>
          <w:rFonts w:cs="Arial"/>
          <w:sz w:val="24"/>
          <w:szCs w:val="24"/>
        </w:rPr>
        <w:t xml:space="preserve">. The highlighted portions above are the reasons we chose our answer. Below is the explanation from CAP. According to CAP, these cells are still not large or rounded enough to be considered macro </w:t>
      </w:r>
      <w:proofErr w:type="spellStart"/>
      <w:r>
        <w:rPr>
          <w:rFonts w:cs="Arial"/>
          <w:sz w:val="24"/>
          <w:szCs w:val="24"/>
        </w:rPr>
        <w:t>ovalocytes</w:t>
      </w:r>
      <w:proofErr w:type="spellEnd"/>
      <w:r>
        <w:rPr>
          <w:rFonts w:cs="Arial"/>
          <w:sz w:val="24"/>
          <w:szCs w:val="24"/>
        </w:rPr>
        <w:t>, and the central pallor is too small (hemoglobin not concentrated enough).</w:t>
      </w:r>
    </w:p>
    <w:p w:rsidR="00923DE0" w:rsidRPr="00923DE0" w:rsidRDefault="00923DE0" w:rsidP="00CB7101">
      <w:pPr>
        <w:autoSpaceDE w:val="0"/>
        <w:autoSpaceDN w:val="0"/>
        <w:adjustRightInd w:val="0"/>
        <w:spacing w:after="0" w:line="240" w:lineRule="auto"/>
        <w:rPr>
          <w:rFonts w:cs="Arial"/>
          <w:sz w:val="24"/>
          <w:szCs w:val="24"/>
        </w:rPr>
      </w:pPr>
    </w:p>
    <w:p w:rsidR="00CB7101" w:rsidRPr="00923DE0" w:rsidRDefault="00923DE0" w:rsidP="00CB7101">
      <w:pPr>
        <w:autoSpaceDE w:val="0"/>
        <w:autoSpaceDN w:val="0"/>
        <w:adjustRightInd w:val="0"/>
        <w:spacing w:after="0" w:line="240" w:lineRule="auto"/>
        <w:rPr>
          <w:rFonts w:cs="Arial"/>
          <w:sz w:val="24"/>
          <w:szCs w:val="24"/>
        </w:rPr>
      </w:pPr>
      <w:r>
        <w:rPr>
          <w:rFonts w:cs="Arial"/>
          <w:sz w:val="24"/>
          <w:szCs w:val="24"/>
        </w:rPr>
        <w:t>“</w:t>
      </w:r>
      <w:r w:rsidR="00CB7101" w:rsidRPr="00923DE0">
        <w:rPr>
          <w:rFonts w:cs="Arial"/>
          <w:sz w:val="24"/>
          <w:szCs w:val="24"/>
        </w:rPr>
        <w:t xml:space="preserve">The arrowed cells are </w:t>
      </w:r>
      <w:proofErr w:type="spellStart"/>
      <w:r w:rsidR="00CB7101" w:rsidRPr="00923DE0">
        <w:rPr>
          <w:rFonts w:cs="Arial"/>
          <w:sz w:val="24"/>
          <w:szCs w:val="24"/>
        </w:rPr>
        <w:t>ovalocytes</w:t>
      </w:r>
      <w:proofErr w:type="spellEnd"/>
      <w:r w:rsidR="00CB7101" w:rsidRPr="00923DE0">
        <w:rPr>
          <w:rFonts w:cs="Arial"/>
          <w:sz w:val="24"/>
          <w:szCs w:val="24"/>
        </w:rPr>
        <w:t>, as correctly identified by 77.1% of referees and 81.6% of participants.</w:t>
      </w:r>
    </w:p>
    <w:p w:rsidR="00CB7101" w:rsidRDefault="00CB7101" w:rsidP="00CB7101">
      <w:pPr>
        <w:autoSpaceDE w:val="0"/>
        <w:autoSpaceDN w:val="0"/>
        <w:adjustRightInd w:val="0"/>
        <w:spacing w:after="0" w:line="240" w:lineRule="auto"/>
        <w:rPr>
          <w:rFonts w:cs="Arial"/>
          <w:sz w:val="24"/>
          <w:szCs w:val="24"/>
        </w:rPr>
      </w:pPr>
      <w:r w:rsidRPr="00923DE0">
        <w:rPr>
          <w:rFonts w:cs="Arial"/>
          <w:sz w:val="24"/>
          <w:szCs w:val="24"/>
        </w:rPr>
        <w:t xml:space="preserve">A significant number of referees (22.9%) and participants (17.7%) identified the arrowed cells as </w:t>
      </w:r>
      <w:proofErr w:type="spellStart"/>
      <w:r w:rsidRPr="00923DE0">
        <w:rPr>
          <w:rFonts w:cs="Arial"/>
          <w:sz w:val="24"/>
          <w:szCs w:val="24"/>
        </w:rPr>
        <w:t>macrocytes</w:t>
      </w:r>
      <w:proofErr w:type="spellEnd"/>
      <w:r w:rsidRPr="00923DE0">
        <w:rPr>
          <w:rFonts w:cs="Arial"/>
          <w:sz w:val="24"/>
          <w:szCs w:val="24"/>
        </w:rPr>
        <w:t xml:space="preserve">, oval or round. As noted in the glossary, there is often confusion in identification of oval </w:t>
      </w:r>
      <w:proofErr w:type="spellStart"/>
      <w:r w:rsidRPr="00923DE0">
        <w:rPr>
          <w:rFonts w:cs="Arial"/>
          <w:sz w:val="24"/>
          <w:szCs w:val="24"/>
        </w:rPr>
        <w:t>macrocytes</w:t>
      </w:r>
      <w:proofErr w:type="spellEnd"/>
      <w:r w:rsidRPr="00923DE0">
        <w:rPr>
          <w:rFonts w:cs="Arial"/>
          <w:sz w:val="24"/>
          <w:szCs w:val="24"/>
        </w:rPr>
        <w:t xml:space="preserve"> and </w:t>
      </w:r>
      <w:proofErr w:type="spellStart"/>
      <w:r w:rsidRPr="00923DE0">
        <w:rPr>
          <w:rFonts w:cs="Arial"/>
          <w:sz w:val="24"/>
          <w:szCs w:val="24"/>
        </w:rPr>
        <w:t>ovalocytes</w:t>
      </w:r>
      <w:proofErr w:type="spellEnd"/>
      <w:r w:rsidRPr="00923DE0">
        <w:rPr>
          <w:rFonts w:cs="Arial"/>
          <w:sz w:val="24"/>
          <w:szCs w:val="24"/>
        </w:rPr>
        <w:t xml:space="preserve">. Oval </w:t>
      </w:r>
      <w:proofErr w:type="spellStart"/>
      <w:r w:rsidRPr="00923DE0">
        <w:rPr>
          <w:rFonts w:cs="Arial"/>
          <w:sz w:val="24"/>
          <w:szCs w:val="24"/>
        </w:rPr>
        <w:t>macrocytes</w:t>
      </w:r>
      <w:proofErr w:type="spellEnd"/>
      <w:r w:rsidRPr="00923DE0">
        <w:rPr>
          <w:rFonts w:cs="Arial"/>
          <w:sz w:val="24"/>
          <w:szCs w:val="24"/>
        </w:rPr>
        <w:t xml:space="preserve"> are usually much larger than </w:t>
      </w:r>
      <w:proofErr w:type="spellStart"/>
      <w:r w:rsidRPr="00923DE0">
        <w:rPr>
          <w:rFonts w:cs="Arial"/>
          <w:sz w:val="24"/>
          <w:szCs w:val="24"/>
        </w:rPr>
        <w:t>ovalocytes</w:t>
      </w:r>
      <w:proofErr w:type="spellEnd"/>
      <w:r w:rsidRPr="00923DE0">
        <w:rPr>
          <w:rFonts w:cs="Arial"/>
          <w:sz w:val="24"/>
          <w:szCs w:val="24"/>
        </w:rPr>
        <w:t xml:space="preserve">, have more rounded cell contours (sides) than </w:t>
      </w:r>
      <w:proofErr w:type="spellStart"/>
      <w:r w:rsidRPr="00923DE0">
        <w:rPr>
          <w:rFonts w:cs="Arial"/>
          <w:sz w:val="24"/>
          <w:szCs w:val="24"/>
        </w:rPr>
        <w:t>ovalocytes</w:t>
      </w:r>
      <w:proofErr w:type="spellEnd"/>
      <w:r w:rsidRPr="00923DE0">
        <w:rPr>
          <w:rFonts w:cs="Arial"/>
          <w:sz w:val="24"/>
          <w:szCs w:val="24"/>
        </w:rPr>
        <w:t xml:space="preserve"> and the hemoglobin is often </w:t>
      </w:r>
      <w:proofErr w:type="spellStart"/>
      <w:r w:rsidRPr="00923DE0">
        <w:rPr>
          <w:rFonts w:cs="Arial"/>
          <w:sz w:val="24"/>
          <w:szCs w:val="24"/>
        </w:rPr>
        <w:t>concerntrated</w:t>
      </w:r>
      <w:proofErr w:type="spellEnd"/>
      <w:r w:rsidRPr="00923DE0">
        <w:rPr>
          <w:rFonts w:cs="Arial"/>
          <w:sz w:val="24"/>
          <w:szCs w:val="24"/>
        </w:rPr>
        <w:t xml:space="preserve"> at the ends of the cells. Oval </w:t>
      </w:r>
      <w:proofErr w:type="spellStart"/>
      <w:r w:rsidRPr="00923DE0">
        <w:rPr>
          <w:rFonts w:cs="Arial"/>
          <w:sz w:val="24"/>
          <w:szCs w:val="24"/>
        </w:rPr>
        <w:t>macrocytes</w:t>
      </w:r>
      <w:proofErr w:type="spellEnd"/>
      <w:r w:rsidRPr="00923DE0">
        <w:rPr>
          <w:rFonts w:cs="Arial"/>
          <w:sz w:val="24"/>
          <w:szCs w:val="24"/>
        </w:rPr>
        <w:t xml:space="preserve"> are associated with abnormal red cell maturation, such as in myelodysplastic syndromes or following chemotherapy. In addition, patients with Vitamin B12 or folate deficiency (as in the presented case) will have oval </w:t>
      </w:r>
      <w:proofErr w:type="spellStart"/>
      <w:r w:rsidRPr="00923DE0">
        <w:rPr>
          <w:rFonts w:cs="Arial"/>
          <w:sz w:val="24"/>
          <w:szCs w:val="24"/>
        </w:rPr>
        <w:t>macrocytes</w:t>
      </w:r>
      <w:proofErr w:type="spellEnd"/>
      <w:r w:rsidRPr="00923DE0">
        <w:rPr>
          <w:rFonts w:cs="Arial"/>
          <w:sz w:val="24"/>
          <w:szCs w:val="24"/>
        </w:rPr>
        <w:t xml:space="preserve">. Distinguishing between </w:t>
      </w:r>
      <w:proofErr w:type="spellStart"/>
      <w:r w:rsidRPr="00923DE0">
        <w:rPr>
          <w:rFonts w:cs="Arial"/>
          <w:sz w:val="24"/>
          <w:szCs w:val="24"/>
        </w:rPr>
        <w:t>ovalocytes</w:t>
      </w:r>
      <w:proofErr w:type="spellEnd"/>
      <w:r w:rsidRPr="00923DE0">
        <w:rPr>
          <w:rFonts w:cs="Arial"/>
          <w:sz w:val="24"/>
          <w:szCs w:val="24"/>
        </w:rPr>
        <w:t xml:space="preserve"> and oval </w:t>
      </w:r>
      <w:proofErr w:type="spellStart"/>
      <w:r w:rsidRPr="00923DE0">
        <w:rPr>
          <w:rFonts w:cs="Arial"/>
          <w:sz w:val="24"/>
          <w:szCs w:val="24"/>
        </w:rPr>
        <w:t>macrocytes</w:t>
      </w:r>
      <w:proofErr w:type="spellEnd"/>
      <w:r w:rsidRPr="00923DE0">
        <w:rPr>
          <w:rFonts w:cs="Arial"/>
          <w:sz w:val="24"/>
          <w:szCs w:val="24"/>
        </w:rPr>
        <w:t xml:space="preserve"> requires close attention to subtle morphologic features but, as evidenced by the answers of the participants and referees, is often difficult.</w:t>
      </w:r>
      <w:r w:rsidR="00923DE0">
        <w:rPr>
          <w:rFonts w:cs="Arial"/>
          <w:sz w:val="24"/>
          <w:szCs w:val="24"/>
        </w:rPr>
        <w:t>”</w:t>
      </w:r>
    </w:p>
    <w:p w:rsidR="00B018E3" w:rsidRDefault="00B018E3" w:rsidP="00CB7101">
      <w:pPr>
        <w:autoSpaceDE w:val="0"/>
        <w:autoSpaceDN w:val="0"/>
        <w:adjustRightInd w:val="0"/>
        <w:spacing w:after="0" w:line="240" w:lineRule="auto"/>
        <w:rPr>
          <w:rFonts w:cs="Arial"/>
          <w:sz w:val="24"/>
          <w:szCs w:val="24"/>
        </w:rPr>
      </w:pPr>
    </w:p>
    <w:p w:rsidR="00B018E3" w:rsidRDefault="00B018E3" w:rsidP="00B018E3">
      <w:pPr>
        <w:autoSpaceDE w:val="0"/>
        <w:autoSpaceDN w:val="0"/>
        <w:adjustRightInd w:val="0"/>
        <w:spacing w:after="0" w:line="240" w:lineRule="auto"/>
        <w:rPr>
          <w:rFonts w:cs="Arial"/>
          <w:sz w:val="24"/>
          <w:szCs w:val="24"/>
        </w:rPr>
      </w:pPr>
      <w:r>
        <w:rPr>
          <w:rFonts w:cs="Arial"/>
          <w:sz w:val="24"/>
          <w:szCs w:val="24"/>
        </w:rPr>
        <w:t>In our patient</w:t>
      </w:r>
      <w:r>
        <w:rPr>
          <w:rFonts w:cs="Arial"/>
          <w:sz w:val="24"/>
          <w:szCs w:val="24"/>
        </w:rPr>
        <w:t xml:space="preserve"> differentials, these would</w:t>
      </w:r>
      <w:r>
        <w:rPr>
          <w:rFonts w:cs="Arial"/>
          <w:sz w:val="24"/>
          <w:szCs w:val="24"/>
        </w:rPr>
        <w:t xml:space="preserve"> be classified as macro </w:t>
      </w:r>
      <w:proofErr w:type="spellStart"/>
      <w:r>
        <w:rPr>
          <w:rFonts w:cs="Arial"/>
          <w:sz w:val="24"/>
          <w:szCs w:val="24"/>
        </w:rPr>
        <w:t>ovalocytes</w:t>
      </w:r>
      <w:proofErr w:type="spellEnd"/>
      <w:r>
        <w:rPr>
          <w:rFonts w:cs="Arial"/>
          <w:sz w:val="24"/>
          <w:szCs w:val="24"/>
        </w:rPr>
        <w:t xml:space="preserve"> (MACO) due to their size and shape. </w:t>
      </w:r>
      <w:r>
        <w:rPr>
          <w:rFonts w:cs="Arial"/>
          <w:sz w:val="24"/>
          <w:szCs w:val="24"/>
        </w:rPr>
        <w:t xml:space="preserve">We do not have a separate classification for </w:t>
      </w:r>
      <w:proofErr w:type="spellStart"/>
      <w:r>
        <w:rPr>
          <w:rFonts w:cs="Arial"/>
          <w:sz w:val="24"/>
          <w:szCs w:val="24"/>
        </w:rPr>
        <w:t>ovalocyte</w:t>
      </w:r>
      <w:proofErr w:type="spellEnd"/>
      <w:r>
        <w:rPr>
          <w:rFonts w:cs="Arial"/>
          <w:sz w:val="24"/>
          <w:szCs w:val="24"/>
        </w:rPr>
        <w:t xml:space="preserve">. </w:t>
      </w:r>
      <w:r>
        <w:rPr>
          <w:rFonts w:cs="Arial"/>
          <w:sz w:val="24"/>
          <w:szCs w:val="24"/>
        </w:rPr>
        <w:t xml:space="preserve">These would never be called </w:t>
      </w:r>
      <w:proofErr w:type="spellStart"/>
      <w:r>
        <w:rPr>
          <w:rFonts w:cs="Arial"/>
          <w:sz w:val="24"/>
          <w:szCs w:val="24"/>
        </w:rPr>
        <w:t>elliptocytes</w:t>
      </w:r>
      <w:proofErr w:type="spellEnd"/>
      <w:r>
        <w:rPr>
          <w:rFonts w:cs="Arial"/>
          <w:sz w:val="24"/>
          <w:szCs w:val="24"/>
        </w:rPr>
        <w:t xml:space="preserve"> because they are too large</w:t>
      </w:r>
      <w:r>
        <w:rPr>
          <w:rFonts w:cs="Arial"/>
          <w:sz w:val="24"/>
          <w:szCs w:val="24"/>
        </w:rPr>
        <w:t xml:space="preserve"> and rounded</w:t>
      </w:r>
      <w:bookmarkStart w:id="0" w:name="_GoBack"/>
      <w:bookmarkEnd w:id="0"/>
      <w:r>
        <w:rPr>
          <w:rFonts w:cs="Arial"/>
          <w:sz w:val="24"/>
          <w:szCs w:val="24"/>
        </w:rPr>
        <w:t>.</w:t>
      </w:r>
    </w:p>
    <w:p w:rsidR="00B018E3" w:rsidRPr="00923DE0" w:rsidRDefault="00B018E3" w:rsidP="00CB7101">
      <w:pPr>
        <w:autoSpaceDE w:val="0"/>
        <w:autoSpaceDN w:val="0"/>
        <w:adjustRightInd w:val="0"/>
        <w:spacing w:after="0" w:line="240" w:lineRule="auto"/>
        <w:rPr>
          <w:rFonts w:cs="Arial"/>
          <w:sz w:val="24"/>
          <w:szCs w:val="24"/>
        </w:rPr>
      </w:pPr>
    </w:p>
    <w:sectPr w:rsidR="00B018E3" w:rsidRPr="00923DE0" w:rsidSect="005B4396">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3BA9" w:rsidRDefault="005A3BA9" w:rsidP="005B4396">
      <w:pPr>
        <w:spacing w:after="0" w:line="240" w:lineRule="auto"/>
      </w:pPr>
      <w:r>
        <w:separator/>
      </w:r>
    </w:p>
  </w:endnote>
  <w:endnote w:type="continuationSeparator" w:id="0">
    <w:p w:rsidR="005A3BA9" w:rsidRDefault="005A3BA9" w:rsidP="005B4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3BA9" w:rsidRDefault="005A3BA9" w:rsidP="005B4396">
      <w:pPr>
        <w:spacing w:after="0" w:line="240" w:lineRule="auto"/>
      </w:pPr>
      <w:r>
        <w:separator/>
      </w:r>
    </w:p>
  </w:footnote>
  <w:footnote w:type="continuationSeparator" w:id="0">
    <w:p w:rsidR="005A3BA9" w:rsidRDefault="005A3BA9" w:rsidP="005B43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1931051"/>
      <w:docPartObj>
        <w:docPartGallery w:val="Page Numbers (Top of Page)"/>
        <w:docPartUnique/>
      </w:docPartObj>
    </w:sdtPr>
    <w:sdtEndPr>
      <w:rPr>
        <w:noProof/>
      </w:rPr>
    </w:sdtEndPr>
    <w:sdtContent>
      <w:p w:rsidR="00CB7101" w:rsidRDefault="00CB7101">
        <w:pPr>
          <w:pStyle w:val="Header"/>
          <w:jc w:val="center"/>
        </w:pPr>
        <w:r>
          <w:fldChar w:fldCharType="begin"/>
        </w:r>
        <w:r>
          <w:instrText xml:space="preserve"> PAGE   \* MERGEFORMAT </w:instrText>
        </w:r>
        <w:r>
          <w:fldChar w:fldCharType="separate"/>
        </w:r>
        <w:r w:rsidR="00B018E3">
          <w:rPr>
            <w:noProof/>
          </w:rPr>
          <w:t>2</w:t>
        </w:r>
        <w:r>
          <w:rPr>
            <w:noProof/>
          </w:rPr>
          <w:fldChar w:fldCharType="end"/>
        </w:r>
      </w:p>
    </w:sdtContent>
  </w:sdt>
  <w:p w:rsidR="00CB7101" w:rsidRDefault="00CB71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448"/>
    <w:rsid w:val="005A3BA9"/>
    <w:rsid w:val="005B4396"/>
    <w:rsid w:val="00923DE0"/>
    <w:rsid w:val="009931A1"/>
    <w:rsid w:val="00B018E3"/>
    <w:rsid w:val="00BF0448"/>
    <w:rsid w:val="00CB71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516A04-A386-415D-9A90-1608CA5E6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43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4396"/>
  </w:style>
  <w:style w:type="paragraph" w:styleId="Footer">
    <w:name w:val="footer"/>
    <w:basedOn w:val="Normal"/>
    <w:link w:val="FooterChar"/>
    <w:uiPriority w:val="99"/>
    <w:unhideWhenUsed/>
    <w:rsid w:val="005B43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43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2</Pages>
  <Words>408</Words>
  <Characters>2332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Cone Health</Company>
  <LinksUpToDate>false</LinksUpToDate>
  <CharactersWithSpaces>2735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Dyson, Quanisha</dc:creator>
  <cp:keywords/>
  <dc:description/>
  <cp:lastModifiedBy>Bohannon, Brad</cp:lastModifiedBy>
  <cp:revision>3</cp:revision>
  <dcterms:created xsi:type="dcterms:W3CDTF">2015-11-05T13:13:00Z</dcterms:created>
  <dcterms:modified xsi:type="dcterms:W3CDTF">2015-11-05T13:31:00Z</dcterms:modified>
</cp:coreProperties>
</file>