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2D" w:rsidRDefault="004C3BBF" w:rsidP="00494F47">
      <w:pPr>
        <w:pStyle w:val="Header"/>
        <w:pBdr>
          <w:top w:val="single" w:sz="6" w:space="1" w:color="auto"/>
          <w:left w:val="single" w:sz="6" w:space="1" w:color="auto"/>
          <w:bottom w:val="single" w:sz="36" w:space="12" w:color="auto"/>
          <w:right w:val="single" w:sz="36" w:space="1" w:color="auto"/>
        </w:pBdr>
        <w:rPr>
          <w:rFonts w:ascii="Arial" w:hAnsi="Arial" w:cs="Arial"/>
          <w:sz w:val="28"/>
        </w:rPr>
      </w:pPr>
      <w:r w:rsidRPr="004C3BBF">
        <w:rPr>
          <w:rFonts w:ascii="Arial" w:hAnsi="Arial" w:cs="Arial"/>
        </w:rPr>
        <w:t>TITLE</w:t>
      </w:r>
      <w:r w:rsidR="00494F47">
        <w:rPr>
          <w:rFonts w:ascii="Arial" w:hAnsi="Arial" w:cs="Arial"/>
        </w:rPr>
        <w:t xml:space="preserve">:  </w:t>
      </w:r>
      <w:r w:rsidR="00222278">
        <w:rPr>
          <w:rFonts w:ascii="Arial" w:hAnsi="Arial" w:cs="Arial"/>
          <w:sz w:val="28"/>
        </w:rPr>
        <w:t xml:space="preserve">Quality Control Plan </w:t>
      </w:r>
      <w:r w:rsidR="00EF1538">
        <w:rPr>
          <w:rFonts w:ascii="Arial" w:hAnsi="Arial" w:cs="Arial"/>
          <w:sz w:val="28"/>
        </w:rPr>
        <w:t xml:space="preserve">(QCP) </w:t>
      </w:r>
      <w:r w:rsidR="004F75AA">
        <w:rPr>
          <w:rFonts w:ascii="Arial" w:hAnsi="Arial" w:cs="Arial"/>
          <w:sz w:val="28"/>
        </w:rPr>
        <w:t>and Quality Assessment</w:t>
      </w:r>
      <w:r w:rsidR="00A55D2D">
        <w:rPr>
          <w:rFonts w:ascii="Arial" w:hAnsi="Arial" w:cs="Arial"/>
          <w:sz w:val="28"/>
        </w:rPr>
        <w:t xml:space="preserve"> Plan</w:t>
      </w:r>
      <w:r w:rsidR="004F75AA">
        <w:rPr>
          <w:rFonts w:ascii="Arial" w:hAnsi="Arial" w:cs="Arial"/>
          <w:sz w:val="28"/>
        </w:rPr>
        <w:t xml:space="preserve"> (QA</w:t>
      </w:r>
      <w:r w:rsidR="00A55D2D">
        <w:rPr>
          <w:rFonts w:ascii="Arial" w:hAnsi="Arial" w:cs="Arial"/>
          <w:sz w:val="28"/>
        </w:rPr>
        <w:t>P</w:t>
      </w:r>
      <w:r w:rsidR="004F75AA">
        <w:rPr>
          <w:rFonts w:ascii="Arial" w:hAnsi="Arial" w:cs="Arial"/>
          <w:sz w:val="28"/>
        </w:rPr>
        <w:t>)</w:t>
      </w:r>
    </w:p>
    <w:p w:rsidR="004C3BBF" w:rsidRPr="004C3BBF" w:rsidRDefault="00A55D2D" w:rsidP="00494F47">
      <w:pPr>
        <w:pStyle w:val="Header"/>
        <w:pBdr>
          <w:top w:val="single" w:sz="6" w:space="1" w:color="auto"/>
          <w:left w:val="single" w:sz="6" w:space="1" w:color="auto"/>
          <w:bottom w:val="single" w:sz="36" w:space="12" w:color="auto"/>
          <w:right w:val="single" w:sz="36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                        </w:t>
      </w:r>
      <w:proofErr w:type="gramStart"/>
      <w:r>
        <w:rPr>
          <w:rFonts w:ascii="Arial" w:hAnsi="Arial" w:cs="Arial"/>
          <w:sz w:val="28"/>
        </w:rPr>
        <w:t>of</w:t>
      </w:r>
      <w:proofErr w:type="gramEnd"/>
      <w:r>
        <w:rPr>
          <w:rFonts w:ascii="Arial" w:hAnsi="Arial" w:cs="Arial"/>
          <w:sz w:val="28"/>
        </w:rPr>
        <w:t xml:space="preserve"> the Individualized Quality Control Program (IQCP)</w:t>
      </w:r>
    </w:p>
    <w:p w:rsidR="004C3BBF" w:rsidRDefault="004C3BBF">
      <w:pPr>
        <w:jc w:val="both"/>
        <w:rPr>
          <w:rFonts w:ascii="Arial" w:hAnsi="Arial" w:cs="Arial"/>
          <w:b w:val="0"/>
        </w:rPr>
      </w:pPr>
    </w:p>
    <w:p w:rsidR="007D4C8A" w:rsidRDefault="007D4C8A">
      <w:pPr>
        <w:jc w:val="both"/>
        <w:rPr>
          <w:rFonts w:ascii="Arial" w:hAnsi="Arial" w:cs="Arial"/>
          <w:b w:val="0"/>
        </w:rPr>
      </w:pPr>
    </w:p>
    <w:p w:rsidR="004F75AA" w:rsidRPr="00A55D2D" w:rsidRDefault="00494F47" w:rsidP="00A55D2D">
      <w:pPr>
        <w:rPr>
          <w:rFonts w:ascii="Arial" w:hAnsi="Arial" w:cs="Arial"/>
          <w:b w:val="0"/>
        </w:rPr>
      </w:pPr>
      <w:r w:rsidRPr="00A55D2D">
        <w:rPr>
          <w:rFonts w:ascii="Arial" w:hAnsi="Arial" w:cs="Arial"/>
        </w:rPr>
        <w:t>PURPOSE:</w:t>
      </w:r>
      <w:r w:rsidRPr="00A55D2D">
        <w:rPr>
          <w:rFonts w:ascii="Arial" w:hAnsi="Arial" w:cs="Arial"/>
        </w:rPr>
        <w:tab/>
      </w:r>
      <w:r w:rsidR="004F75AA" w:rsidRPr="00A55D2D">
        <w:rPr>
          <w:rFonts w:ascii="Arial" w:hAnsi="Arial" w:cs="Arial"/>
          <w:b w:val="0"/>
        </w:rPr>
        <w:t xml:space="preserve">The </w:t>
      </w:r>
      <w:r w:rsidR="004F75AA" w:rsidRPr="00A55D2D">
        <w:rPr>
          <w:rFonts w:ascii="Arial" w:eastAsia="ヒラギノ角ゴ Pro W3" w:hAnsi="Arial" w:cs="Arial"/>
          <w:b w:val="0"/>
          <w:bCs/>
          <w:kern w:val="24"/>
        </w:rPr>
        <w:t xml:space="preserve">Quality Control Plan - defines all aspects monitored based on risk assessment. </w:t>
      </w:r>
      <w:r w:rsidR="00A55D2D">
        <w:rPr>
          <w:rFonts w:ascii="Arial" w:eastAsia="ヒラギノ角ゴ Pro W3" w:hAnsi="Arial" w:cs="Arial"/>
          <w:b w:val="0"/>
          <w:bCs/>
          <w:kern w:val="24"/>
        </w:rPr>
        <w:t xml:space="preserve">The </w:t>
      </w:r>
      <w:r w:rsidR="00A55D2D" w:rsidRPr="00A55D2D">
        <w:rPr>
          <w:rFonts w:ascii="Arial" w:hAnsi="Arial" w:cs="Arial"/>
          <w:b w:val="0"/>
        </w:rPr>
        <w:t>Quality Control Plan (QCP</w:t>
      </w:r>
      <w:proofErr w:type="gramStart"/>
      <w:r w:rsidR="00A55D2D" w:rsidRPr="00A55D2D">
        <w:rPr>
          <w:rFonts w:ascii="Arial" w:hAnsi="Arial" w:cs="Arial"/>
          <w:b w:val="0"/>
        </w:rPr>
        <w:t xml:space="preserve">) </w:t>
      </w:r>
      <w:r w:rsidR="00A55D2D">
        <w:rPr>
          <w:rFonts w:ascii="Arial" w:hAnsi="Arial" w:cs="Arial"/>
          <w:b w:val="0"/>
        </w:rPr>
        <w:t xml:space="preserve"> is</w:t>
      </w:r>
      <w:proofErr w:type="gramEnd"/>
      <w:r w:rsidR="00A55D2D">
        <w:rPr>
          <w:rFonts w:ascii="Arial" w:hAnsi="Arial" w:cs="Arial"/>
          <w:b w:val="0"/>
        </w:rPr>
        <w:t xml:space="preserve"> </w:t>
      </w:r>
      <w:r w:rsidR="00A55D2D" w:rsidRPr="00A55D2D">
        <w:rPr>
          <w:rFonts w:ascii="Arial" w:hAnsi="Arial" w:cs="Arial"/>
          <w:b w:val="0"/>
        </w:rPr>
        <w:t>the laboratory’s</w:t>
      </w:r>
      <w:r w:rsidR="00A55D2D">
        <w:rPr>
          <w:rFonts w:ascii="Arial" w:hAnsi="Arial" w:cs="Arial"/>
          <w:b w:val="0"/>
        </w:rPr>
        <w:t xml:space="preserve"> standard operating procedure</w:t>
      </w:r>
      <w:r w:rsidR="00A55D2D" w:rsidRPr="00A55D2D">
        <w:rPr>
          <w:rFonts w:ascii="Arial" w:hAnsi="Arial" w:cs="Arial"/>
          <w:b w:val="0"/>
        </w:rPr>
        <w:t xml:space="preserve"> describing the practices and resources to ensure quality for a test system.  </w:t>
      </w:r>
      <w:r w:rsidR="00A55D2D">
        <w:rPr>
          <w:rFonts w:ascii="Arial" w:hAnsi="Arial" w:cs="Arial"/>
          <w:b w:val="0"/>
        </w:rPr>
        <w:t>T</w:t>
      </w:r>
      <w:r w:rsidR="00A55D2D" w:rsidRPr="00A55D2D">
        <w:rPr>
          <w:rFonts w:ascii="Arial" w:hAnsi="Arial" w:cs="Arial"/>
          <w:b w:val="0"/>
        </w:rPr>
        <w:t>he Quality Assessment Plan (QAP) is the laboratory’s policy for monitoring the effectiveness of the IQCP.</w:t>
      </w:r>
    </w:p>
    <w:p w:rsidR="00222278" w:rsidRPr="00222278" w:rsidRDefault="00222278" w:rsidP="00222278">
      <w:pPr>
        <w:rPr>
          <w:rFonts w:ascii="Arial" w:hAnsi="Arial" w:cs="Arial"/>
          <w:b w:val="0"/>
        </w:rPr>
      </w:pPr>
      <w:r w:rsidRPr="00222278">
        <w:rPr>
          <w:rFonts w:ascii="Arial" w:hAnsi="Arial" w:cs="Arial"/>
          <w:b w:val="0"/>
        </w:rPr>
        <w:t xml:space="preserve">           </w:t>
      </w:r>
    </w:p>
    <w:p w:rsidR="00222278" w:rsidRPr="00222278" w:rsidRDefault="00494F47" w:rsidP="00222278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222278">
        <w:rPr>
          <w:rFonts w:ascii="Arial" w:hAnsi="Arial" w:cs="Arial"/>
        </w:rPr>
        <w:t xml:space="preserve">SCOPE:  </w:t>
      </w:r>
      <w:r w:rsidR="004F75AA" w:rsidRPr="004F75AA">
        <w:rPr>
          <w:rFonts w:ascii="Arial" w:hAnsi="Arial" w:cs="Arial"/>
          <w:b w:val="0"/>
        </w:rPr>
        <w:t>Applies to a</w:t>
      </w:r>
      <w:r w:rsidR="00222278" w:rsidRPr="004F75AA">
        <w:rPr>
          <w:rFonts w:ascii="Arial" w:hAnsi="Arial" w:cs="Arial"/>
          <w:b w:val="0"/>
        </w:rPr>
        <w:t>ll</w:t>
      </w:r>
      <w:r w:rsidR="00222278" w:rsidRPr="00222278">
        <w:rPr>
          <w:rFonts w:ascii="Arial" w:hAnsi="Arial" w:cs="Arial"/>
          <w:b w:val="0"/>
        </w:rPr>
        <w:t xml:space="preserve"> non-waived testing within the laboratory that does not have two or more levels of controls run e</w:t>
      </w:r>
      <w:r w:rsidR="004F75AA">
        <w:rPr>
          <w:rFonts w:ascii="Arial" w:hAnsi="Arial" w:cs="Arial"/>
          <w:b w:val="0"/>
        </w:rPr>
        <w:t xml:space="preserve">ach day of testing.  </w:t>
      </w:r>
    </w:p>
    <w:p w:rsidR="00494F47" w:rsidRPr="00494F47" w:rsidRDefault="00494F47" w:rsidP="00494F47">
      <w:pPr>
        <w:rPr>
          <w:rFonts w:ascii="Arial" w:hAnsi="Arial" w:cs="Arial"/>
          <w:b w:val="0"/>
        </w:rPr>
      </w:pPr>
    </w:p>
    <w:p w:rsidR="00494F47" w:rsidRDefault="00494F47" w:rsidP="00494F47">
      <w:pPr>
        <w:rPr>
          <w:rFonts w:ascii="Arial" w:hAnsi="Arial" w:cs="Arial"/>
          <w:b w:val="0"/>
        </w:rPr>
      </w:pPr>
      <w:r w:rsidRPr="00494F47">
        <w:rPr>
          <w:rFonts w:ascii="Arial" w:hAnsi="Arial" w:cs="Arial"/>
        </w:rPr>
        <w:t>PROCEDURE</w:t>
      </w:r>
      <w:r w:rsidRPr="001864E9">
        <w:rPr>
          <w:rFonts w:ascii="Arial" w:hAnsi="Arial" w:cs="Arial"/>
        </w:rPr>
        <w:t xml:space="preserve">: </w:t>
      </w:r>
      <w:r w:rsidRPr="001864E9">
        <w:rPr>
          <w:rFonts w:ascii="Arial" w:hAnsi="Arial" w:cs="Arial"/>
          <w:b w:val="0"/>
        </w:rPr>
        <w:t xml:space="preserve"> </w:t>
      </w:r>
      <w:r w:rsidR="004F75AA">
        <w:rPr>
          <w:rFonts w:ascii="Arial" w:hAnsi="Arial" w:cs="Arial"/>
          <w:b w:val="0"/>
        </w:rPr>
        <w:t xml:space="preserve"> </w:t>
      </w:r>
      <w:r w:rsidR="007D4C8A" w:rsidRPr="00222278">
        <w:rPr>
          <w:rFonts w:ascii="Arial" w:hAnsi="Arial" w:cs="Arial"/>
          <w:b w:val="0"/>
        </w:rPr>
        <w:t xml:space="preserve"> </w:t>
      </w:r>
      <w:r w:rsidR="00C108CE">
        <w:rPr>
          <w:rFonts w:ascii="Arial" w:hAnsi="Arial" w:cs="Arial"/>
          <w:b w:val="0"/>
        </w:rPr>
        <w:t xml:space="preserve">The Quality Control Plan is followed for each </w:t>
      </w:r>
      <w:r w:rsidR="000344D8">
        <w:rPr>
          <w:rFonts w:ascii="Arial" w:hAnsi="Arial" w:cs="Arial"/>
          <w:b w:val="0"/>
        </w:rPr>
        <w:t>test/test system</w:t>
      </w:r>
      <w:r w:rsidR="00C108CE">
        <w:rPr>
          <w:rFonts w:ascii="Arial" w:hAnsi="Arial" w:cs="Arial"/>
          <w:b w:val="0"/>
        </w:rPr>
        <w:t xml:space="preserve"> as outlined in </w:t>
      </w:r>
      <w:r w:rsidR="000344D8">
        <w:rPr>
          <w:rFonts w:ascii="Arial" w:hAnsi="Arial" w:cs="Arial"/>
          <w:b w:val="0"/>
        </w:rPr>
        <w:t xml:space="preserve">the Quality Control Plan </w:t>
      </w:r>
      <w:r w:rsidR="00C108CE">
        <w:rPr>
          <w:rFonts w:ascii="Arial" w:hAnsi="Arial" w:cs="Arial"/>
          <w:b w:val="0"/>
        </w:rPr>
        <w:t>chart</w:t>
      </w:r>
      <w:r w:rsidR="000344D8">
        <w:rPr>
          <w:rFonts w:ascii="Arial" w:hAnsi="Arial" w:cs="Arial"/>
          <w:b w:val="0"/>
        </w:rPr>
        <w:t>s below</w:t>
      </w:r>
      <w:r w:rsidR="00C108CE">
        <w:rPr>
          <w:rFonts w:ascii="Arial" w:hAnsi="Arial" w:cs="Arial"/>
          <w:b w:val="0"/>
        </w:rPr>
        <w:t>. Routine troubleshooting and investigation must be performed and documented for any outliers as outlined in the specific quality control procedures for each test/test system.</w:t>
      </w:r>
    </w:p>
    <w:p w:rsidR="000344D8" w:rsidRDefault="000344D8" w:rsidP="00494F47">
      <w:pPr>
        <w:rPr>
          <w:rFonts w:ascii="Arial" w:hAnsi="Arial" w:cs="Arial"/>
          <w:b w:val="0"/>
        </w:rPr>
      </w:pPr>
    </w:p>
    <w:p w:rsidR="000344D8" w:rsidRDefault="000344D8" w:rsidP="000344D8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Quality Assessment Plan for each test/test system is outlined in the charts below and includes the </w:t>
      </w:r>
      <w:proofErr w:type="spellStart"/>
      <w:r>
        <w:rPr>
          <w:rFonts w:ascii="Arial" w:hAnsi="Arial" w:cs="Arial"/>
          <w:b w:val="0"/>
        </w:rPr>
        <w:t>activiy</w:t>
      </w:r>
      <w:proofErr w:type="spellEnd"/>
      <w:r>
        <w:rPr>
          <w:rFonts w:ascii="Arial" w:hAnsi="Arial" w:cs="Arial"/>
          <w:b w:val="0"/>
        </w:rPr>
        <w:t xml:space="preserve"> to monitor and the frequency. </w:t>
      </w:r>
      <w:r w:rsidRPr="00AF2652">
        <w:rPr>
          <w:rFonts w:ascii="Arial" w:hAnsi="Arial" w:cs="Arial"/>
          <w:b w:val="0"/>
        </w:rPr>
        <w:t>If and when error(s) occurs, that is unacceptable, a formal</w:t>
      </w:r>
      <w:r>
        <w:rPr>
          <w:rFonts w:ascii="Arial" w:hAnsi="Arial" w:cs="Arial"/>
          <w:b w:val="0"/>
        </w:rPr>
        <w:t xml:space="preserve"> investigation must take place</w:t>
      </w:r>
      <w:r w:rsidRPr="00AF2652">
        <w:rPr>
          <w:rFonts w:ascii="Arial" w:hAnsi="Arial" w:cs="Arial"/>
          <w:b w:val="0"/>
        </w:rPr>
        <w:t xml:space="preserve"> to see if there are any steps that could be either added or change existing ones to better </w:t>
      </w:r>
      <w:r w:rsidRPr="00AF2652">
        <w:rPr>
          <w:rFonts w:ascii="Arial" w:hAnsi="Arial" w:cs="Arial"/>
          <w:b w:val="0"/>
          <w:i/>
        </w:rPr>
        <w:t>reduce*</w:t>
      </w:r>
      <w:r w:rsidRPr="00AF2652">
        <w:rPr>
          <w:rFonts w:ascii="Arial" w:hAnsi="Arial" w:cs="Arial"/>
          <w:b w:val="0"/>
        </w:rPr>
        <w:t xml:space="preserve"> error and suite testing needs.</w:t>
      </w:r>
      <w:r>
        <w:rPr>
          <w:rFonts w:ascii="Arial" w:hAnsi="Arial" w:cs="Arial"/>
          <w:b w:val="0"/>
        </w:rPr>
        <w:t xml:space="preserve"> </w:t>
      </w:r>
    </w:p>
    <w:p w:rsidR="004943EB" w:rsidRDefault="004943EB" w:rsidP="000344D8">
      <w:pPr>
        <w:rPr>
          <w:rFonts w:ascii="Arial" w:hAnsi="Arial" w:cs="Arial"/>
          <w:b w:val="0"/>
        </w:rPr>
      </w:pPr>
    </w:p>
    <w:p w:rsidR="00FA0960" w:rsidRDefault="00FA0960" w:rsidP="00FA0960">
      <w:pPr>
        <w:rPr>
          <w:rFonts w:ascii="Arial" w:hAnsi="Arial" w:cs="Arial"/>
          <w:u w:val="single"/>
        </w:rPr>
      </w:pPr>
    </w:p>
    <w:p w:rsidR="00FA0960" w:rsidRDefault="00FA0960" w:rsidP="00FA0960">
      <w:pPr>
        <w:rPr>
          <w:rFonts w:ascii="Arial" w:hAnsi="Arial" w:cs="Arial"/>
          <w:u w:val="single"/>
        </w:rPr>
      </w:pPr>
      <w:proofErr w:type="spellStart"/>
      <w:r w:rsidRPr="00094AF2">
        <w:rPr>
          <w:rFonts w:ascii="Arial" w:hAnsi="Arial" w:cs="Arial"/>
          <w:u w:val="single"/>
        </w:rPr>
        <w:t>Alere</w:t>
      </w:r>
      <w:proofErr w:type="spellEnd"/>
      <w:r w:rsidRPr="00094AF2">
        <w:rPr>
          <w:rFonts w:ascii="Arial" w:hAnsi="Arial" w:cs="Arial"/>
          <w:u w:val="single"/>
        </w:rPr>
        <w:t xml:space="preserve"> Determine Rapid HIV-1/2 Ag/Ab Combo</w:t>
      </w:r>
    </w:p>
    <w:p w:rsidR="00FA0960" w:rsidRPr="00094AF2" w:rsidRDefault="00FA0960" w:rsidP="00FA0960">
      <w:pPr>
        <w:rPr>
          <w:rFonts w:ascii="Arial" w:hAnsi="Arial" w:cs="Arial"/>
          <w:b w:val="0"/>
          <w:u w:val="single"/>
        </w:rPr>
      </w:pPr>
    </w:p>
    <w:p w:rsidR="00FA0960" w:rsidRPr="005513AE" w:rsidRDefault="00FA0960" w:rsidP="00FA0960">
      <w:pPr>
        <w:jc w:val="center"/>
        <w:rPr>
          <w:rFonts w:ascii="Arial" w:hAnsi="Arial" w:cs="Arial"/>
        </w:rPr>
      </w:pPr>
      <w:r w:rsidRPr="005513AE">
        <w:rPr>
          <w:rFonts w:ascii="Arial" w:hAnsi="Arial" w:cs="Arial"/>
        </w:rPr>
        <w:t xml:space="preserve">Quality </w:t>
      </w:r>
      <w:r>
        <w:rPr>
          <w:rFonts w:ascii="Arial" w:hAnsi="Arial" w:cs="Arial"/>
        </w:rPr>
        <w:t xml:space="preserve">Control </w:t>
      </w:r>
      <w:r w:rsidRPr="005513AE">
        <w:rPr>
          <w:rFonts w:ascii="Arial" w:hAnsi="Arial" w:cs="Arial"/>
        </w:rPr>
        <w:t>Plan: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155"/>
        <w:gridCol w:w="2070"/>
        <w:gridCol w:w="5850"/>
      </w:tblGrid>
      <w:tr w:rsidR="00FA0960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</w:rPr>
            </w:pPr>
            <w:r w:rsidRPr="00094AF2">
              <w:rPr>
                <w:rFonts w:ascii="Arial" w:hAnsi="Arial" w:cs="Arial"/>
              </w:rPr>
              <w:t>Type of Quality Control</w:t>
            </w:r>
          </w:p>
        </w:tc>
        <w:tc>
          <w:tcPr>
            <w:tcW w:w="2070" w:type="dxa"/>
          </w:tcPr>
          <w:p w:rsidR="00FA0960" w:rsidRPr="00094AF2" w:rsidRDefault="00FA0960" w:rsidP="00297D30">
            <w:pPr>
              <w:rPr>
                <w:rFonts w:ascii="Arial" w:hAnsi="Arial" w:cs="Arial"/>
              </w:rPr>
            </w:pPr>
            <w:r w:rsidRPr="00094AF2">
              <w:rPr>
                <w:rFonts w:ascii="Arial" w:hAnsi="Arial" w:cs="Arial"/>
              </w:rPr>
              <w:t>Frequency</w:t>
            </w:r>
          </w:p>
        </w:tc>
        <w:tc>
          <w:tcPr>
            <w:tcW w:w="5850" w:type="dxa"/>
          </w:tcPr>
          <w:p w:rsidR="00FA0960" w:rsidRPr="00094AF2" w:rsidRDefault="00FA0960" w:rsidP="00297D30">
            <w:pPr>
              <w:rPr>
                <w:rFonts w:ascii="Arial" w:hAnsi="Arial" w:cs="Arial"/>
              </w:rPr>
            </w:pPr>
            <w:r w:rsidRPr="00094AF2">
              <w:rPr>
                <w:rFonts w:ascii="Arial" w:hAnsi="Arial" w:cs="Arial"/>
              </w:rPr>
              <w:t>Criteria for Acceptability</w:t>
            </w:r>
          </w:p>
          <w:p w:rsidR="00FA0960" w:rsidRPr="00094AF2" w:rsidRDefault="00FA0960" w:rsidP="00297D30">
            <w:pPr>
              <w:rPr>
                <w:rFonts w:ascii="Arial" w:hAnsi="Arial" w:cs="Arial"/>
              </w:rPr>
            </w:pPr>
            <w:r w:rsidRPr="00094AF2">
              <w:rPr>
                <w:rFonts w:ascii="Arial" w:hAnsi="Arial" w:cs="Arial"/>
              </w:rPr>
              <w:t>(Range of Acceptable Values)</w:t>
            </w:r>
          </w:p>
        </w:tc>
      </w:tr>
      <w:tr w:rsidR="00FA0960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Temperature Checks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Room temp lab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Room temp storage room</w:t>
            </w:r>
          </w:p>
        </w:tc>
        <w:tc>
          <w:tcPr>
            <w:tcW w:w="207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Daily</w:t>
            </w:r>
          </w:p>
        </w:tc>
        <w:tc>
          <w:tcPr>
            <w:tcW w:w="58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Between 15 – 30</w:t>
            </w:r>
            <w:r w:rsidRPr="00094AF2">
              <w:rPr>
                <w:rFonts w:ascii="Cambria Math" w:hAnsi="Cambria Math" w:cs="Cambria Math"/>
                <w:b w:val="0"/>
              </w:rPr>
              <w:t>⁰</w:t>
            </w:r>
            <w:r w:rsidRPr="00094AF2">
              <w:rPr>
                <w:rFonts w:ascii="Arial" w:hAnsi="Arial" w:cs="Arial"/>
                <w:b w:val="0"/>
              </w:rPr>
              <w:t xml:space="preserve">C 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Between 2 – 30</w:t>
            </w:r>
            <w:r w:rsidRPr="00094AF2">
              <w:rPr>
                <w:rFonts w:ascii="Cambria Math" w:hAnsi="Cambria Math" w:cs="Cambria Math"/>
                <w:b w:val="0"/>
              </w:rPr>
              <w:t>⁰</w:t>
            </w:r>
            <w:r w:rsidRPr="00094AF2">
              <w:rPr>
                <w:rFonts w:ascii="Arial" w:hAnsi="Arial" w:cs="Arial"/>
                <w:b w:val="0"/>
              </w:rPr>
              <w:t xml:space="preserve">C 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</w:tr>
      <w:tr w:rsidR="00FA0960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Verify specimen acceptable (cloudy samples are centrifuged)</w:t>
            </w:r>
          </w:p>
        </w:tc>
        <w:tc>
          <w:tcPr>
            <w:tcW w:w="207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With each specimen</w:t>
            </w:r>
          </w:p>
        </w:tc>
        <w:tc>
          <w:tcPr>
            <w:tcW w:w="5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73"/>
            </w:tblGrid>
            <w:tr w:rsidR="00FA0960" w:rsidRPr="00094AF2" w:rsidTr="00297D30">
              <w:trPr>
                <w:trHeight w:val="36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Refer to Specimen type and handling in sop 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</w:tr>
      <w:tr w:rsidR="00FA0960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Verify patient ID</w:t>
            </w:r>
          </w:p>
        </w:tc>
        <w:tc>
          <w:tcPr>
            <w:tcW w:w="207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With each step of process</w:t>
            </w:r>
          </w:p>
        </w:tc>
        <w:tc>
          <w:tcPr>
            <w:tcW w:w="5850" w:type="dxa"/>
          </w:tcPr>
          <w:p w:rsidR="00FA0960" w:rsidRPr="00094AF2" w:rsidRDefault="00FA0960" w:rsidP="00297D30">
            <w:pPr>
              <w:spacing w:line="241" w:lineRule="atLeast"/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Follow written procedures regarding specimen labeling and entry of patient results in LIS</w:t>
            </w:r>
          </w:p>
        </w:tc>
      </w:tr>
      <w:tr w:rsidR="00FA0960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Internal QC</w:t>
            </w:r>
          </w:p>
        </w:tc>
        <w:tc>
          <w:tcPr>
            <w:tcW w:w="207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5850" w:type="dxa"/>
          </w:tcPr>
          <w:p w:rsidR="00FA0960" w:rsidRPr="00094AF2" w:rsidRDefault="00FA0960" w:rsidP="00297D30">
            <w:pPr>
              <w:spacing w:line="241" w:lineRule="atLeast"/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Internal control must be valid, Result is observed and recorded for each specimen.</w:t>
            </w:r>
          </w:p>
        </w:tc>
      </w:tr>
      <w:tr w:rsidR="00FA0960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lastRenderedPageBreak/>
              <w:t>External QC – 2 levels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4"/>
            </w:tblGrid>
            <w:tr w:rsidR="00FA0960" w:rsidRPr="00094AF2" w:rsidTr="00297D30">
              <w:trPr>
                <w:trHeight w:val="168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</w:rPr>
                    <w:t>At least every 31 days, when a new operator performs testing, a new test kit lot/shipment is to be used, if the temperature of the test storage area falls outside of 2 - 30</w:t>
                  </w:r>
                  <w:r w:rsidRPr="00094AF2">
                    <w:rPr>
                      <w:rFonts w:ascii="Calibri" w:hAnsi="Calibri" w:cs="Arial"/>
                      <w:b w:val="0"/>
                    </w:rPr>
                    <w:t>⁰</w:t>
                  </w:r>
                  <w:r w:rsidRPr="00094AF2">
                    <w:rPr>
                      <w:rFonts w:ascii="Arial" w:hAnsi="Arial" w:cs="Arial"/>
                      <w:b w:val="0"/>
                    </w:rPr>
                    <w:t>C, or if the temperature of the testing area falls outside of 15 - 30</w:t>
                  </w:r>
                  <w:r w:rsidRPr="00094AF2">
                    <w:rPr>
                      <w:rFonts w:ascii="Calibri" w:hAnsi="Calibri" w:cs="Arial"/>
                      <w:b w:val="0"/>
                    </w:rPr>
                    <w:t>⁰</w:t>
                  </w:r>
                  <w:r w:rsidRPr="00094AF2">
                    <w:rPr>
                      <w:rFonts w:ascii="Arial" w:hAnsi="Arial" w:cs="Arial"/>
                      <w:b w:val="0"/>
                    </w:rPr>
                    <w:t xml:space="preserve">C </w:t>
                  </w: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assay positive and negative levels of quality control. </w:t>
                  </w:r>
                </w:p>
                <w:p w:rsidR="00FA0960" w:rsidRPr="00094AF2" w:rsidRDefault="00FA0960" w:rsidP="00297D30">
                  <w:pPr>
                    <w:numPr>
                      <w:ilvl w:val="0"/>
                      <w:numId w:val="16"/>
                    </w:numPr>
                    <w:overflowPunct/>
                    <w:textAlignment w:val="auto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8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34"/>
            </w:tblGrid>
            <w:tr w:rsidR="00FA0960" w:rsidRPr="00094AF2" w:rsidTr="00297D30">
              <w:trPr>
                <w:trHeight w:val="60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Acceptable ranges – POSITIVE and NEGATIVE  </w:t>
                  </w:r>
                </w:p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 </w:t>
                  </w:r>
                </w:p>
                <w:p w:rsidR="00FA0960" w:rsidRPr="00094AF2" w:rsidRDefault="00FA0960" w:rsidP="00297D30">
                  <w:pPr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b w:val="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>Results must be recorded on quality control and reagent lot verification log sheet prior to reporting results.</w:t>
                  </w:r>
                  <w:r w:rsidRPr="00094AF2">
                    <w:rPr>
                      <w:rFonts w:ascii="Arial" w:hAnsi="Arial" w:cs="Arial"/>
                      <w:b w:val="0"/>
                    </w:rPr>
                    <w:t xml:space="preserve">  </w:t>
                  </w:r>
                </w:p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</w:tr>
      <w:tr w:rsidR="00FA0960" w:rsidRPr="00094AF2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Result Reporting</w:t>
            </w:r>
          </w:p>
        </w:tc>
        <w:tc>
          <w:tcPr>
            <w:tcW w:w="207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Each result at time of entry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Each result during worksheet review</w:t>
            </w:r>
          </w:p>
        </w:tc>
        <w:tc>
          <w:tcPr>
            <w:tcW w:w="58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Follow written procedures and record results appropriately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Results on worksheet must match value entered in LIS</w:t>
            </w:r>
          </w:p>
        </w:tc>
      </w:tr>
    </w:tbl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155"/>
        <w:gridCol w:w="2070"/>
        <w:gridCol w:w="5850"/>
      </w:tblGrid>
      <w:tr w:rsidR="00FA0960" w:rsidRPr="00094AF2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4"/>
            </w:tblGrid>
            <w:tr w:rsidR="00FA0960" w:rsidRPr="00094AF2" w:rsidTr="00297D30">
              <w:trPr>
                <w:trHeight w:val="36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With each new testing personnel and when indicated. 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6"/>
            </w:tblGrid>
            <w:tr w:rsidR="00FA0960" w:rsidRPr="00094AF2" w:rsidTr="00297D30">
              <w:trPr>
                <w:trHeight w:val="36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Successful demonstration of test performance. </w:t>
                  </w:r>
                </w:p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Document training activities 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</w:tr>
      <w:tr w:rsidR="00FA0960" w:rsidRPr="00094AF2" w:rsidTr="00297D30">
        <w:tc>
          <w:tcPr>
            <w:tcW w:w="2155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4"/>
            </w:tblGrid>
            <w:tr w:rsidR="00FA0960" w:rsidRPr="00094AF2" w:rsidTr="00297D30">
              <w:trPr>
                <w:trHeight w:val="36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Six months and one year after initial training, annually thereafter. 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34"/>
            </w:tblGrid>
            <w:tr w:rsidR="00FA0960" w:rsidRPr="00094AF2" w:rsidTr="00297D30">
              <w:trPr>
                <w:trHeight w:val="360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 w:val="0"/>
                      <w:color w:val="000000"/>
                    </w:rPr>
                    <w:t xml:space="preserve">All testing personnel must successfully meet all six CLIA elements for competency assessment 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</w:tr>
    </w:tbl>
    <w:p w:rsidR="00FA0960" w:rsidRDefault="00FA0960" w:rsidP="00FA0960">
      <w:pPr>
        <w:rPr>
          <w:rFonts w:ascii="Arial" w:hAnsi="Arial" w:cs="Arial"/>
          <w:b w:val="0"/>
        </w:rPr>
      </w:pPr>
    </w:p>
    <w:p w:rsidR="00FA0960" w:rsidRPr="009C3ABB" w:rsidRDefault="00FA0960" w:rsidP="00FA0960">
      <w:pPr>
        <w:rPr>
          <w:rFonts w:ascii="Myriad Pro" w:hAnsi="Myriad Pro" w:cs="Myriad Pro"/>
          <w:color w:val="000000"/>
        </w:rPr>
      </w:pPr>
    </w:p>
    <w:p w:rsidR="00FA0960" w:rsidRDefault="00FA0960" w:rsidP="00FA0960">
      <w:pPr>
        <w:jc w:val="center"/>
        <w:rPr>
          <w:rFonts w:ascii="Arial" w:hAnsi="Arial" w:cs="Arial"/>
        </w:rPr>
      </w:pPr>
    </w:p>
    <w:p w:rsidR="00FA0960" w:rsidRDefault="00FA0960" w:rsidP="00FA0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Quality Assessment Plan</w:t>
      </w:r>
    </w:p>
    <w:p w:rsidR="00FA0960" w:rsidRPr="00C108CE" w:rsidRDefault="00FA0960" w:rsidP="00FA096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551"/>
        <w:gridCol w:w="2853"/>
        <w:gridCol w:w="2715"/>
      </w:tblGrid>
      <w:tr w:rsidR="00FA0960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</w:rPr>
            </w:pPr>
            <w:r w:rsidRPr="00094AF2">
              <w:rPr>
                <w:rFonts w:ascii="Arial" w:hAnsi="Arial" w:cs="Arial"/>
              </w:rPr>
              <w:t>QA Activity to Monitor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</w:rPr>
            </w:pPr>
            <w:r w:rsidRPr="00094AF2">
              <w:rPr>
                <w:rFonts w:ascii="Arial" w:hAnsi="Arial" w:cs="Arial"/>
              </w:rPr>
              <w:t>Frequency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7"/>
            </w:tblGrid>
            <w:tr w:rsidR="00FA0960" w:rsidRPr="00094AF2" w:rsidTr="00297D30">
              <w:trPr>
                <w:trHeight w:val="483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Cs/>
                      <w:color w:val="000000"/>
                    </w:rPr>
                    <w:t xml:space="preserve">ASSESSMENT OF QA ACTIVITY </w:t>
                  </w:r>
                </w:p>
                <w:p w:rsidR="00FA0960" w:rsidRPr="00094AF2" w:rsidRDefault="00FA0960" w:rsidP="00297D30">
                  <w:pPr>
                    <w:spacing w:line="241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Cs/>
                      <w:color w:val="000000"/>
                    </w:rPr>
                    <w:t xml:space="preserve">(Was there variation from established policy and procedures?) 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9"/>
            </w:tblGrid>
            <w:tr w:rsidR="00FA0960" w:rsidRPr="00094AF2" w:rsidTr="00297D30">
              <w:trPr>
                <w:trHeight w:val="243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94AF2">
                    <w:rPr>
                      <w:rFonts w:ascii="Arial" w:hAnsi="Arial" w:cs="Arial"/>
                      <w:bCs/>
                      <w:color w:val="000000"/>
                    </w:rPr>
                    <w:t>CORRECTIVE ACTION (WHEN INDICATED)</w:t>
                  </w: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</w:rPr>
            </w:pPr>
          </w:p>
        </w:tc>
      </w:tr>
      <w:tr w:rsidR="00FA0960" w:rsidTr="00297D30">
        <w:tc>
          <w:tcPr>
            <w:tcW w:w="2231" w:type="dxa"/>
          </w:tcPr>
          <w:p w:rsidR="00FA0960" w:rsidRPr="00094AF2" w:rsidRDefault="00FA0960" w:rsidP="00297D30">
            <w:pPr>
              <w:spacing w:line="241" w:lineRule="atLeast"/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Review package inserts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Each new lot to ensure any changes are incorporated into procedures.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Checked Monthly to ensure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Package insert is kept and filed for each new lot received.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Pull new sheet if new lot is not located.</w:t>
            </w:r>
          </w:p>
        </w:tc>
      </w:tr>
      <w:tr w:rsidR="00FA0960" w:rsidTr="00297D30">
        <w:tc>
          <w:tcPr>
            <w:tcW w:w="22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A0960" w:rsidRPr="00094AF2" w:rsidTr="00297D30">
              <w:trPr>
                <w:trHeight w:val="363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Review QC, lot to lot logs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Monthly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Logs are signed off after review and issues noted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Review at Quality meeting and adjust QCP if issues arise</w:t>
            </w:r>
          </w:p>
        </w:tc>
      </w:tr>
      <w:tr w:rsidR="00FA0960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Review PT surveys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A0960" w:rsidRPr="00094AF2" w:rsidTr="00297D30">
              <w:trPr>
                <w:trHeight w:val="123"/>
              </w:trPr>
              <w:tc>
                <w:tcPr>
                  <w:tcW w:w="0" w:type="auto"/>
                </w:tcPr>
                <w:p w:rsidR="00FA0960" w:rsidRPr="00094AF2" w:rsidRDefault="00FA0960" w:rsidP="00297D30">
                  <w:pPr>
                    <w:spacing w:line="241" w:lineRule="atLeast"/>
                    <w:jc w:val="center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</w:tc>
            </w:tr>
          </w:tbl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Each survey upon receipt of results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Take note of unacceptable results and follow PT failure process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Review at Quality meeting and adjust QCP if issues arise</w:t>
            </w:r>
          </w:p>
        </w:tc>
      </w:tr>
      <w:tr w:rsidR="00FA0960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Verify patient id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 xml:space="preserve">With each specimen – 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Each shift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Monitor during competency assessment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 xml:space="preserve">During review of manual worksheets – 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Correct identified errors, errors monitored. Adjust QCP if issues arise</w:t>
            </w:r>
          </w:p>
        </w:tc>
      </w:tr>
      <w:tr w:rsidR="00FA0960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  <w:color w:val="00000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Verify all reagents/cassettes are within date range and stored appropriately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Periodically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Daily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 xml:space="preserve">  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When each new lot/shipment arrive and external QC is performed (storage), record dates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Cassette expiration date checked with use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Correct identified errors by removing expired product. Adjust order schedule. Adjust QCP if issues continues.</w:t>
            </w:r>
          </w:p>
        </w:tc>
      </w:tr>
      <w:tr w:rsidR="00FA0960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Result review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 xml:space="preserve">Each shift - </w:t>
            </w:r>
            <w:r w:rsidRPr="00094AF2">
              <w:rPr>
                <w:rFonts w:ascii="Arial" w:hAnsi="Arial" w:cs="Arial"/>
                <w:b w:val="0"/>
                <w:color w:val="000000"/>
              </w:rPr>
              <w:t xml:space="preserve">  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 xml:space="preserve">Review manual result entry. Ensure result printout matches result </w:t>
            </w:r>
            <w:r w:rsidRPr="00094AF2">
              <w:rPr>
                <w:rFonts w:ascii="Arial" w:hAnsi="Arial" w:cs="Arial"/>
                <w:b w:val="0"/>
                <w:color w:val="000000"/>
              </w:rPr>
              <w:lastRenderedPageBreak/>
              <w:t>recorded manually in LIS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lastRenderedPageBreak/>
              <w:t>Errors monitored. Adjust QCP if issues arise</w:t>
            </w:r>
          </w:p>
        </w:tc>
      </w:tr>
      <w:tr w:rsidR="00FA0960" w:rsidRPr="00094AF2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lastRenderedPageBreak/>
              <w:t>Competency Assessment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Annually after first year of employment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  <w:color w:val="000000"/>
              </w:rPr>
              <w:t>Meet all six CLIA elements for competency assessment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 xml:space="preserve">Retrain and no testing performed by that staff member until competence is met. </w:t>
            </w:r>
          </w:p>
        </w:tc>
      </w:tr>
      <w:tr w:rsidR="00FA0960" w:rsidRPr="00094AF2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Discuss QA findings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 xml:space="preserve">Quarterly   </w:t>
            </w: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Quality Meeting – QCP assessment will be discussed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Adjust QCP based on new risks not previously identified</w:t>
            </w:r>
          </w:p>
        </w:tc>
      </w:tr>
      <w:tr w:rsidR="00FA0960" w:rsidRPr="00094AF2" w:rsidTr="00297D30">
        <w:tc>
          <w:tcPr>
            <w:tcW w:w="223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Revise policies and procedures</w:t>
            </w:r>
          </w:p>
        </w:tc>
        <w:tc>
          <w:tcPr>
            <w:tcW w:w="1551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As needed and every 2 years</w:t>
            </w:r>
          </w:p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323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Procedure review performed every 2 years. Inserts are reviewed for changes each lot and other changes are identified from manufacturer or as identified by product notification memos from the manufacturer</w:t>
            </w:r>
          </w:p>
        </w:tc>
        <w:tc>
          <w:tcPr>
            <w:tcW w:w="3150" w:type="dxa"/>
          </w:tcPr>
          <w:p w:rsidR="00FA0960" w:rsidRPr="00094AF2" w:rsidRDefault="00FA0960" w:rsidP="00297D30">
            <w:pPr>
              <w:rPr>
                <w:rFonts w:ascii="Arial" w:hAnsi="Arial" w:cs="Arial"/>
                <w:b w:val="0"/>
              </w:rPr>
            </w:pPr>
            <w:r w:rsidRPr="00094AF2">
              <w:rPr>
                <w:rFonts w:ascii="Arial" w:hAnsi="Arial" w:cs="Arial"/>
                <w:b w:val="0"/>
              </w:rPr>
              <w:t>Adjust QCP based on revisions identified.</w:t>
            </w:r>
          </w:p>
        </w:tc>
      </w:tr>
    </w:tbl>
    <w:p w:rsidR="00FA0960" w:rsidRDefault="00FA0960" w:rsidP="00FA0960">
      <w:pPr>
        <w:rPr>
          <w:rFonts w:ascii="Arial" w:hAnsi="Arial" w:cs="Arial"/>
          <w:b w:val="0"/>
        </w:rPr>
      </w:pPr>
    </w:p>
    <w:p w:rsidR="00FA0960" w:rsidRDefault="00FA0960" w:rsidP="00FA0960">
      <w:pPr>
        <w:rPr>
          <w:rFonts w:ascii="Arial" w:hAnsi="Arial" w:cs="Arial"/>
          <w:b w:val="0"/>
        </w:rPr>
      </w:pPr>
    </w:p>
    <w:p w:rsidR="00A55D2D" w:rsidRDefault="00A55D2D" w:rsidP="00222278">
      <w:pPr>
        <w:rPr>
          <w:rFonts w:ascii="Arial" w:hAnsi="Arial" w:cs="Arial"/>
          <w:b w:val="0"/>
        </w:rPr>
      </w:pPr>
    </w:p>
    <w:p w:rsidR="00A55D2D" w:rsidRDefault="00A55D2D" w:rsidP="00222278">
      <w:pPr>
        <w:rPr>
          <w:rFonts w:ascii="Arial" w:hAnsi="Arial" w:cs="Arial"/>
          <w:b w:val="0"/>
        </w:rPr>
      </w:pPr>
    </w:p>
    <w:p w:rsidR="00A55D2D" w:rsidRDefault="00A55D2D" w:rsidP="00222278">
      <w:pPr>
        <w:rPr>
          <w:rFonts w:ascii="Arial" w:hAnsi="Arial" w:cs="Arial"/>
          <w:b w:val="0"/>
        </w:rPr>
      </w:pPr>
    </w:p>
    <w:p w:rsidR="00222278" w:rsidRDefault="00222278" w:rsidP="00494F47">
      <w:pPr>
        <w:rPr>
          <w:rFonts w:ascii="Arial" w:hAnsi="Arial" w:cs="Arial"/>
          <w:b w:val="0"/>
        </w:rPr>
      </w:pPr>
    </w:p>
    <w:p w:rsidR="004E300A" w:rsidRDefault="004E300A" w:rsidP="00A24320">
      <w:pPr>
        <w:pStyle w:val="NoSpacing"/>
        <w:ind w:left="3330"/>
        <w:rPr>
          <w:rFonts w:ascii="Arial" w:hAnsi="Arial" w:cs="Arial"/>
          <w:b w:val="0"/>
        </w:rPr>
      </w:pP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RELATED PROCEDURES:</w:t>
      </w:r>
    </w:p>
    <w:p w:rsidR="00D92030" w:rsidRDefault="00D9203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SERO-711 </w:t>
      </w:r>
      <w:proofErr w:type="spellStart"/>
      <w:r>
        <w:rPr>
          <w:rFonts w:ascii="Arial" w:hAnsi="Arial" w:cs="Arial"/>
          <w:b w:val="0"/>
        </w:rPr>
        <w:t>Alere</w:t>
      </w:r>
      <w:proofErr w:type="spellEnd"/>
      <w:r>
        <w:rPr>
          <w:rFonts w:ascii="Arial" w:hAnsi="Arial" w:cs="Arial"/>
          <w:b w:val="0"/>
        </w:rPr>
        <w:t xml:space="preserve"> Determine HIV ½ Ag/Ab Combo</w:t>
      </w:r>
    </w:p>
    <w:p w:rsidR="00D36FFD" w:rsidRPr="00AE7586" w:rsidRDefault="00AE758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E7586">
        <w:rPr>
          <w:rFonts w:ascii="Arial" w:hAnsi="Arial" w:cs="Arial"/>
          <w:b w:val="0"/>
        </w:rPr>
        <w:t>QM-150</w:t>
      </w:r>
      <w:r w:rsidR="0091187E" w:rsidRPr="00AE7586">
        <w:rPr>
          <w:rFonts w:ascii="Arial" w:hAnsi="Arial" w:cs="Arial"/>
          <w:b w:val="0"/>
        </w:rPr>
        <w:t xml:space="preserve"> IQCP</w:t>
      </w: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MATERIALS/ADDENDUM:</w:t>
      </w:r>
      <w:r w:rsidR="0091187E">
        <w:rPr>
          <w:rFonts w:ascii="Arial" w:hAnsi="Arial" w:cs="Arial"/>
        </w:rPr>
        <w:t xml:space="preserve"> </w:t>
      </w: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Risk Assessment for each test/test system</w:t>
      </w: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Individualized </w:t>
      </w:r>
      <w:proofErr w:type="spellStart"/>
      <w:r>
        <w:rPr>
          <w:rFonts w:ascii="Arial" w:hAnsi="Arial" w:cs="Arial"/>
          <w:b w:val="0"/>
        </w:rPr>
        <w:t>Qualy</w:t>
      </w:r>
      <w:proofErr w:type="spellEnd"/>
      <w:r>
        <w:rPr>
          <w:rFonts w:ascii="Arial" w:hAnsi="Arial" w:cs="Arial"/>
          <w:b w:val="0"/>
        </w:rPr>
        <w:t xml:space="preserve"> Control Plan Summary for each test/test system</w:t>
      </w:r>
    </w:p>
    <w:p w:rsidR="0091187E" w:rsidRP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91187E">
        <w:rPr>
          <w:rFonts w:ascii="Arial" w:hAnsi="Arial" w:cs="Arial"/>
          <w:b w:val="0"/>
        </w:rPr>
        <w:t>List of Individualized Quality Control Plans</w:t>
      </w: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REFERENCES:</w:t>
      </w:r>
    </w:p>
    <w:p w:rsidR="0091187E" w:rsidRDefault="0091187E" w:rsidP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Current CAP Checklist</w:t>
      </w:r>
    </w:p>
    <w:p w:rsidR="0091187E" w:rsidRPr="0091187E" w:rsidRDefault="0091187E" w:rsidP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Published Power Point Presentation for CAP by </w:t>
      </w:r>
      <w:r w:rsidRPr="0091187E">
        <w:rPr>
          <w:rFonts w:ascii="Arial" w:hAnsi="Arial" w:cs="Arial"/>
          <w:b w:val="0"/>
          <w:bCs/>
        </w:rPr>
        <w:t xml:space="preserve">Lyn </w:t>
      </w:r>
      <w:proofErr w:type="spellStart"/>
      <w:r w:rsidRPr="0091187E">
        <w:rPr>
          <w:rFonts w:ascii="Arial" w:hAnsi="Arial" w:cs="Arial"/>
          <w:b w:val="0"/>
          <w:bCs/>
        </w:rPr>
        <w:t>Wielgos</w:t>
      </w:r>
      <w:proofErr w:type="spellEnd"/>
      <w:proofErr w:type="gramStart"/>
      <w:r w:rsidRPr="0091187E">
        <w:rPr>
          <w:rFonts w:ascii="Arial" w:hAnsi="Arial" w:cs="Arial"/>
          <w:b w:val="0"/>
          <w:bCs/>
        </w:rPr>
        <w:t>,  MT</w:t>
      </w:r>
      <w:proofErr w:type="gramEnd"/>
      <w:r w:rsidRPr="0091187E">
        <w:rPr>
          <w:rFonts w:ascii="Arial" w:hAnsi="Arial" w:cs="Arial"/>
          <w:b w:val="0"/>
          <w:bCs/>
        </w:rPr>
        <w:t>(ASCP)</w:t>
      </w:r>
      <w:r>
        <w:rPr>
          <w:rFonts w:ascii="Arial" w:hAnsi="Arial" w:cs="Arial"/>
          <w:b w:val="0"/>
          <w:bCs/>
        </w:rPr>
        <w:t>, December 8, 2015</w:t>
      </w:r>
    </w:p>
    <w:p w:rsidR="0091187E" w:rsidRP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45BA7" w:rsidRPr="00045BA7" w:rsidRDefault="00045BA7" w:rsidP="00045BA7">
      <w:pPr>
        <w:rPr>
          <w:rFonts w:ascii="Arial" w:hAnsi="Arial" w:cs="Arial"/>
          <w:b w:val="0"/>
        </w:rPr>
      </w:pPr>
    </w:p>
    <w:p w:rsidR="006230C3" w:rsidRDefault="006230C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222278" w:rsidRDefault="0022227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222278" w:rsidRDefault="0022227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222278" w:rsidRDefault="0022227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222278" w:rsidRDefault="0022227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222278" w:rsidRDefault="0022227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222278" w:rsidRDefault="0022227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20224" w:rsidRPr="00B20224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FA0960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FA0960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A0960" w:rsidRPr="00B20224" w:rsidTr="00FA0960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A0960" w:rsidRPr="00B20224" w:rsidTr="00FA0960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60" w:rsidRPr="00B20224" w:rsidRDefault="00FA0960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Pr="00780A28" w:rsidRDefault="00A44746" w:rsidP="00A44746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t>HISTORY PAGE</w:t>
      </w:r>
    </w:p>
    <w:p w:rsidR="00A44746" w:rsidRPr="00780A28" w:rsidRDefault="00A44746" w:rsidP="00A44746">
      <w:pPr>
        <w:rPr>
          <w:rFonts w:ascii="Arial" w:hAnsi="Arial" w:cs="Arial"/>
        </w:rPr>
      </w:pPr>
    </w:p>
    <w:p w:rsidR="00A44746" w:rsidRPr="00886BAD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SOP Number:</w:t>
      </w:r>
      <w:r>
        <w:rPr>
          <w:rFonts w:ascii="Arial" w:hAnsi="Arial" w:cs="Arial"/>
        </w:rPr>
        <w:t xml:space="preserve"> </w:t>
      </w:r>
      <w:r w:rsidR="000462AB">
        <w:rPr>
          <w:rFonts w:ascii="Arial" w:hAnsi="Arial" w:cs="Arial"/>
          <w:b w:val="0"/>
        </w:rPr>
        <w:t>QM-</w:t>
      </w:r>
      <w:r w:rsidR="001B0DB2">
        <w:rPr>
          <w:rFonts w:ascii="Arial" w:hAnsi="Arial" w:cs="Arial"/>
          <w:b w:val="0"/>
        </w:rPr>
        <w:t>151</w:t>
      </w:r>
    </w:p>
    <w:p w:rsidR="00097FDD" w:rsidRPr="00097FDD" w:rsidRDefault="00A44746" w:rsidP="00097FDD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SOP Title:</w:t>
      </w:r>
      <w:r>
        <w:rPr>
          <w:rFonts w:ascii="Arial" w:hAnsi="Arial" w:cs="Arial"/>
        </w:rPr>
        <w:t xml:space="preserve"> </w:t>
      </w:r>
      <w:r w:rsidR="00097FDD" w:rsidRPr="00097FDD">
        <w:rPr>
          <w:rFonts w:ascii="Arial" w:hAnsi="Arial" w:cs="Arial"/>
          <w:b w:val="0"/>
        </w:rPr>
        <w:t>Quality Control Plan (QCP) and Quality Assessment Plan (QAP)</w:t>
      </w:r>
    </w:p>
    <w:p w:rsidR="00097FDD" w:rsidRPr="00097FDD" w:rsidRDefault="00097FDD" w:rsidP="00097FDD">
      <w:pPr>
        <w:rPr>
          <w:rFonts w:ascii="Arial" w:hAnsi="Arial" w:cs="Arial"/>
          <w:b w:val="0"/>
        </w:rPr>
      </w:pPr>
      <w:r w:rsidRPr="00097FDD">
        <w:rPr>
          <w:rFonts w:ascii="Arial" w:hAnsi="Arial" w:cs="Arial"/>
          <w:b w:val="0"/>
        </w:rPr>
        <w:t xml:space="preserve">                           </w:t>
      </w:r>
      <w:proofErr w:type="gramStart"/>
      <w:r w:rsidRPr="00097FDD">
        <w:rPr>
          <w:rFonts w:ascii="Arial" w:hAnsi="Arial" w:cs="Arial"/>
          <w:b w:val="0"/>
        </w:rPr>
        <w:t>of</w:t>
      </w:r>
      <w:proofErr w:type="gramEnd"/>
      <w:r w:rsidRPr="00097FDD">
        <w:rPr>
          <w:rFonts w:ascii="Arial" w:hAnsi="Arial" w:cs="Arial"/>
          <w:b w:val="0"/>
        </w:rPr>
        <w:t xml:space="preserve"> the Individualized Quality Control Program (IQCP)</w:t>
      </w:r>
    </w:p>
    <w:p w:rsidR="00A44746" w:rsidRPr="00886BAD" w:rsidRDefault="00A44746" w:rsidP="00A44746">
      <w:pPr>
        <w:rPr>
          <w:rFonts w:ascii="Arial" w:hAnsi="Arial" w:cs="Arial"/>
          <w:b w:val="0"/>
        </w:rPr>
      </w:pPr>
      <w:bookmarkStart w:id="0" w:name="_GoBack"/>
      <w:bookmarkEnd w:id="0"/>
      <w:r w:rsidRPr="00780A28">
        <w:rPr>
          <w:rFonts w:ascii="Arial" w:hAnsi="Arial" w:cs="Arial"/>
        </w:rPr>
        <w:t>Written By:</w:t>
      </w:r>
      <w:r>
        <w:rPr>
          <w:rFonts w:ascii="Arial" w:hAnsi="Arial" w:cs="Arial"/>
        </w:rPr>
        <w:t xml:space="preserve"> </w:t>
      </w:r>
      <w:r w:rsidR="001C67D1">
        <w:rPr>
          <w:rFonts w:ascii="Arial" w:hAnsi="Arial" w:cs="Arial"/>
          <w:b w:val="0"/>
        </w:rPr>
        <w:t>Wendy Turner</w:t>
      </w:r>
    </w:p>
    <w:p w:rsidR="00A44746" w:rsidRPr="00780A28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 xml:space="preserve">Manual in which Hard Copy of this SOP is located: </w:t>
      </w:r>
      <w:r w:rsidR="000462AB">
        <w:rPr>
          <w:rFonts w:ascii="Arial" w:hAnsi="Arial" w:cs="Arial"/>
          <w:b w:val="0"/>
        </w:rPr>
        <w:t>Quality Management</w:t>
      </w:r>
    </w:p>
    <w:p w:rsidR="00A44746" w:rsidRPr="00780A28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 xml:space="preserve">Distribution: </w:t>
      </w:r>
      <w:r>
        <w:rPr>
          <w:rFonts w:ascii="Arial" w:hAnsi="Arial" w:cs="Arial"/>
          <w:b w:val="0"/>
        </w:rPr>
        <w:t>no other locations</w:t>
      </w:r>
    </w:p>
    <w:p w:rsidR="00A44746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</w:t>
      </w:r>
      <w:r w:rsidR="001C67D1">
        <w:rPr>
          <w:rFonts w:ascii="Arial" w:hAnsi="Arial" w:cs="Arial"/>
          <w:b w:val="0"/>
        </w:rPr>
        <w:t xml:space="preserve"> </w:t>
      </w:r>
    </w:p>
    <w:p w:rsidR="001C67D1" w:rsidRPr="00780A28" w:rsidRDefault="001C67D1" w:rsidP="00A44746">
      <w:pPr>
        <w:rPr>
          <w:rFonts w:ascii="Arial" w:hAnsi="Arial" w:cs="Arial"/>
        </w:rPr>
      </w:pPr>
    </w:p>
    <w:p w:rsidR="00A44746" w:rsidRPr="00780A28" w:rsidRDefault="00A44746" w:rsidP="00A44746">
      <w:pPr>
        <w:rPr>
          <w:rFonts w:ascii="Arial" w:hAnsi="Arial" w:cs="Arial"/>
        </w:rPr>
      </w:pPr>
    </w:p>
    <w:p w:rsidR="00A44746" w:rsidRPr="00780A28" w:rsidRDefault="00A44746" w:rsidP="00A44746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A44746" w:rsidRPr="00780A28" w:rsidTr="008263AE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A44746" w:rsidRPr="00780A28" w:rsidTr="001C67D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46" w:rsidRPr="00364589" w:rsidRDefault="00A44746" w:rsidP="0036458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1C67D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8263AE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  <w:tr w:rsidR="00A44746" w:rsidRPr="00780A28" w:rsidTr="008263AE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  <w:tr w:rsidR="00A44746" w:rsidRPr="00780A28" w:rsidTr="008263AE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  <w:tr w:rsidR="00A44746" w:rsidRPr="00780A28" w:rsidTr="008263A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</w:tbl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A44746" w:rsidSect="003C2C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E0" w:rsidRDefault="00A612E0">
      <w:r>
        <w:separator/>
      </w:r>
    </w:p>
  </w:endnote>
  <w:endnote w:type="continuationSeparator" w:id="0">
    <w:p w:rsidR="00A612E0" w:rsidRDefault="00A6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E0" w:rsidRPr="00045BA7" w:rsidRDefault="00A612E0">
    <w:pPr>
      <w:rPr>
        <w:rFonts w:ascii="Arial" w:hAnsi="Arial" w:cs="Arial"/>
        <w:b w:val="0"/>
        <w:sz w:val="22"/>
        <w:szCs w:val="22"/>
      </w:rPr>
    </w:pPr>
    <w:r>
      <w:tab/>
    </w:r>
    <w:r>
      <w:tab/>
    </w:r>
    <w:sdt>
      <w:sdtPr>
        <w:rPr>
          <w:rFonts w:ascii="Arial" w:hAnsi="Arial" w:cs="Arial"/>
          <w:b w:val="0"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45BA7">
          <w:rPr>
            <w:rFonts w:ascii="Arial" w:hAnsi="Arial" w:cs="Arial"/>
            <w:b w:val="0"/>
            <w:sz w:val="22"/>
            <w:szCs w:val="22"/>
          </w:rPr>
          <w:t xml:space="preserve">                                                                                            Page </w:t>
        </w:r>
        <w:r w:rsidRPr="00045BA7">
          <w:rPr>
            <w:rFonts w:ascii="Arial" w:hAnsi="Arial" w:cs="Arial"/>
            <w:b w:val="0"/>
            <w:sz w:val="22"/>
            <w:szCs w:val="22"/>
          </w:rPr>
          <w:fldChar w:fldCharType="begin"/>
        </w:r>
        <w:r w:rsidRPr="00045BA7">
          <w:rPr>
            <w:rFonts w:ascii="Arial" w:hAnsi="Arial" w:cs="Arial"/>
            <w:b w:val="0"/>
            <w:sz w:val="22"/>
            <w:szCs w:val="22"/>
          </w:rPr>
          <w:instrText xml:space="preserve"> PAGE </w:instrText>
        </w:r>
        <w:r w:rsidRPr="00045BA7">
          <w:rPr>
            <w:rFonts w:ascii="Arial" w:hAnsi="Arial" w:cs="Arial"/>
            <w:b w:val="0"/>
            <w:sz w:val="22"/>
            <w:szCs w:val="22"/>
          </w:rPr>
          <w:fldChar w:fldCharType="separate"/>
        </w:r>
        <w:r w:rsidR="00FA0960">
          <w:rPr>
            <w:rFonts w:ascii="Arial" w:hAnsi="Arial" w:cs="Arial"/>
            <w:b w:val="0"/>
            <w:noProof/>
            <w:sz w:val="22"/>
            <w:szCs w:val="22"/>
          </w:rPr>
          <w:t>6</w:t>
        </w:r>
        <w:r w:rsidRPr="00045BA7">
          <w:rPr>
            <w:rFonts w:ascii="Arial" w:hAnsi="Arial" w:cs="Arial"/>
            <w:b w:val="0"/>
            <w:sz w:val="22"/>
            <w:szCs w:val="22"/>
          </w:rPr>
          <w:fldChar w:fldCharType="end"/>
        </w:r>
        <w:r w:rsidRPr="00045BA7">
          <w:rPr>
            <w:rFonts w:ascii="Arial" w:hAnsi="Arial" w:cs="Arial"/>
            <w:b w:val="0"/>
            <w:sz w:val="22"/>
            <w:szCs w:val="22"/>
          </w:rPr>
          <w:t xml:space="preserve"> of </w:t>
        </w:r>
        <w:r w:rsidRPr="00045BA7">
          <w:rPr>
            <w:rFonts w:ascii="Arial" w:hAnsi="Arial" w:cs="Arial"/>
            <w:b w:val="0"/>
            <w:sz w:val="22"/>
            <w:szCs w:val="22"/>
          </w:rPr>
          <w:fldChar w:fldCharType="begin"/>
        </w:r>
        <w:r w:rsidRPr="00045BA7">
          <w:rPr>
            <w:rFonts w:ascii="Arial" w:hAnsi="Arial" w:cs="Arial"/>
            <w:b w:val="0"/>
            <w:sz w:val="22"/>
            <w:szCs w:val="22"/>
          </w:rPr>
          <w:instrText xml:space="preserve"> NUMPAGES  </w:instrText>
        </w:r>
        <w:r w:rsidRPr="00045BA7">
          <w:rPr>
            <w:rFonts w:ascii="Arial" w:hAnsi="Arial" w:cs="Arial"/>
            <w:b w:val="0"/>
            <w:sz w:val="22"/>
            <w:szCs w:val="22"/>
          </w:rPr>
          <w:fldChar w:fldCharType="separate"/>
        </w:r>
        <w:r w:rsidR="00FA0960">
          <w:rPr>
            <w:rFonts w:ascii="Arial" w:hAnsi="Arial" w:cs="Arial"/>
            <w:b w:val="0"/>
            <w:noProof/>
            <w:sz w:val="22"/>
            <w:szCs w:val="22"/>
          </w:rPr>
          <w:t>6</w:t>
        </w:r>
        <w:r w:rsidRPr="00045BA7">
          <w:rPr>
            <w:rFonts w:ascii="Arial" w:hAnsi="Arial" w:cs="Arial"/>
            <w:b w:val="0"/>
            <w:sz w:val="22"/>
            <w:szCs w:val="22"/>
          </w:rPr>
          <w:fldChar w:fldCharType="end"/>
        </w:r>
      </w:sdtContent>
    </w:sdt>
  </w:p>
  <w:p w:rsidR="00A612E0" w:rsidRPr="00936401" w:rsidRDefault="00A612E0">
    <w:pPr>
      <w:pStyle w:val="Footer"/>
      <w:rPr>
        <w:rStyle w:val="PageNumber"/>
        <w:rFonts w:ascii="Arial" w:hAnsi="Arial" w:cs="Arial"/>
        <w:b w:val="0"/>
      </w:rPr>
    </w:pPr>
  </w:p>
  <w:p w:rsidR="00A612E0" w:rsidRDefault="00A612E0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E0" w:rsidRDefault="00A612E0">
      <w:r>
        <w:separator/>
      </w:r>
    </w:p>
  </w:footnote>
  <w:footnote w:type="continuationSeparator" w:id="0">
    <w:p w:rsidR="00A612E0" w:rsidRDefault="00A6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52" w:rsidRPr="00B00624" w:rsidRDefault="00630F52" w:rsidP="00630F52">
    <w:pPr>
      <w:pStyle w:val="Header"/>
      <w:rPr>
        <w:rFonts w:ascii="Arial" w:hAnsi="Arial" w:cs="Arial"/>
        <w:b w:val="0"/>
        <w:sz w:val="20"/>
        <w:szCs w:val="20"/>
      </w:rPr>
    </w:pPr>
    <w:r w:rsidRPr="00B00624">
      <w:rPr>
        <w:rFonts w:ascii="Arial" w:hAnsi="Arial" w:cs="Arial"/>
        <w:b w:val="0"/>
        <w:sz w:val="20"/>
        <w:szCs w:val="20"/>
      </w:rPr>
      <w:t xml:space="preserve">Clinical Laboratory                                                       </w:t>
    </w:r>
    <w:r>
      <w:rPr>
        <w:rFonts w:ascii="Arial" w:hAnsi="Arial" w:cs="Arial"/>
        <w:b w:val="0"/>
        <w:sz w:val="20"/>
        <w:szCs w:val="20"/>
      </w:rPr>
      <w:t xml:space="preserve">                           QM-15</w:t>
    </w:r>
    <w:r w:rsidR="004943EB">
      <w:rPr>
        <w:rFonts w:ascii="Arial" w:hAnsi="Arial" w:cs="Arial"/>
        <w:b w:val="0"/>
        <w:sz w:val="20"/>
        <w:szCs w:val="20"/>
      </w:rPr>
      <w:t>1</w:t>
    </w:r>
  </w:p>
  <w:p w:rsidR="00630F52" w:rsidRPr="00B00624" w:rsidRDefault="00630F52" w:rsidP="00630F52">
    <w:pPr>
      <w:pStyle w:val="Header"/>
      <w:rPr>
        <w:rFonts w:ascii="Arial" w:hAnsi="Arial" w:cs="Arial"/>
        <w:b w:val="0"/>
        <w:sz w:val="20"/>
        <w:szCs w:val="20"/>
      </w:rPr>
    </w:pPr>
    <w:proofErr w:type="spellStart"/>
    <w:r>
      <w:rPr>
        <w:rFonts w:ascii="Arial" w:hAnsi="Arial" w:cs="Arial"/>
        <w:b w:val="0"/>
        <w:sz w:val="20"/>
        <w:szCs w:val="20"/>
      </w:rPr>
      <w:t>MedCenter</w:t>
    </w:r>
    <w:proofErr w:type="spellEnd"/>
    <w:r>
      <w:rPr>
        <w:rFonts w:ascii="Arial" w:hAnsi="Arial" w:cs="Arial"/>
        <w:b w:val="0"/>
        <w:sz w:val="20"/>
        <w:szCs w:val="20"/>
      </w:rPr>
      <w:t xml:space="preserve"> </w:t>
    </w:r>
    <w:r w:rsidRPr="00B00624">
      <w:rPr>
        <w:rFonts w:ascii="Arial" w:hAnsi="Arial" w:cs="Arial"/>
        <w:b w:val="0"/>
        <w:sz w:val="20"/>
        <w:szCs w:val="20"/>
      </w:rPr>
      <w:t>Mebane</w:t>
    </w:r>
    <w:r w:rsidRPr="00B00624">
      <w:rPr>
        <w:rFonts w:ascii="Arial" w:hAnsi="Arial" w:cs="Arial"/>
        <w:b w:val="0"/>
        <w:sz w:val="20"/>
        <w:szCs w:val="20"/>
      </w:rPr>
      <w:tab/>
      <w:t xml:space="preserve">                                                                 </w:t>
    </w:r>
    <w:r>
      <w:rPr>
        <w:rFonts w:ascii="Arial" w:hAnsi="Arial" w:cs="Arial"/>
        <w:b w:val="0"/>
        <w:sz w:val="20"/>
        <w:szCs w:val="20"/>
      </w:rPr>
      <w:t xml:space="preserve">           </w:t>
    </w:r>
    <w:r w:rsidRPr="00B00624">
      <w:rPr>
        <w:rFonts w:ascii="Arial" w:hAnsi="Arial" w:cs="Arial"/>
        <w:b w:val="0"/>
        <w:sz w:val="20"/>
        <w:szCs w:val="20"/>
      </w:rPr>
      <w:t xml:space="preserve">     Effective Date: </w:t>
    </w:r>
    <w:r>
      <w:rPr>
        <w:rFonts w:ascii="Arial" w:hAnsi="Arial" w:cs="Arial"/>
        <w:b w:val="0"/>
        <w:sz w:val="20"/>
        <w:szCs w:val="20"/>
      </w:rPr>
      <w:t>1/1/2016</w:t>
    </w:r>
  </w:p>
  <w:p w:rsidR="00A612E0" w:rsidRDefault="00630F52" w:rsidP="00630F52">
    <w:pPr>
      <w:pStyle w:val="Header"/>
      <w:rPr>
        <w:b w:val="0"/>
        <w:sz w:val="20"/>
        <w:szCs w:val="20"/>
      </w:rPr>
    </w:pPr>
    <w:r w:rsidRPr="00B00624">
      <w:rPr>
        <w:rFonts w:ascii="Arial" w:hAnsi="Arial" w:cs="Arial"/>
        <w:b w:val="0"/>
        <w:sz w:val="20"/>
        <w:szCs w:val="20"/>
      </w:rPr>
      <w:t>Mebane, NC 27302</w:t>
    </w:r>
    <w:r w:rsidRPr="00B00624">
      <w:rPr>
        <w:b w:val="0"/>
        <w:sz w:val="20"/>
        <w:szCs w:val="20"/>
      </w:rPr>
      <w:t xml:space="preserve">                                                                      </w:t>
    </w:r>
  </w:p>
  <w:p w:rsidR="00630F52" w:rsidRDefault="00630F52" w:rsidP="0063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727"/>
    <w:multiLevelType w:val="hybridMultilevel"/>
    <w:tmpl w:val="FEBADD08"/>
    <w:lvl w:ilvl="0" w:tplc="68FC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66F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 w:tplc="EE7466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C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67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0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B27298"/>
    <w:multiLevelType w:val="hybridMultilevel"/>
    <w:tmpl w:val="5E82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1C7"/>
    <w:multiLevelType w:val="multilevel"/>
    <w:tmpl w:val="F8B4989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pStyle w:val="Heading2"/>
      <w:lvlText w:val="%2."/>
      <w:lvlJc w:val="left"/>
      <w:pPr>
        <w:ind w:left="1080" w:firstLine="0"/>
      </w:pPr>
      <w:rPr>
        <w:rFonts w:ascii="Arial" w:eastAsiaTheme="majorEastAsia" w:hAnsi="Arial" w:cs="Arial"/>
      </w:rPr>
    </w:lvl>
    <w:lvl w:ilvl="2">
      <w:start w:val="1"/>
      <w:numFmt w:val="decimal"/>
      <w:pStyle w:val="Heading3"/>
      <w:lvlText w:val="%3."/>
      <w:lvlJc w:val="left"/>
      <w:pPr>
        <w:ind w:left="1260" w:firstLine="0"/>
      </w:pPr>
      <w:rPr>
        <w:rFonts w:asciiTheme="majorHAnsi" w:eastAsiaTheme="majorEastAsia" w:hAnsiTheme="majorHAnsi" w:cstheme="majorBidi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4A50E2C"/>
    <w:multiLevelType w:val="hybridMultilevel"/>
    <w:tmpl w:val="E5C07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7FA4"/>
    <w:multiLevelType w:val="hybridMultilevel"/>
    <w:tmpl w:val="FABCB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4312"/>
    <w:multiLevelType w:val="hybridMultilevel"/>
    <w:tmpl w:val="25CA40B6"/>
    <w:lvl w:ilvl="0" w:tplc="4EFED1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D3866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9416F"/>
    <w:multiLevelType w:val="hybridMultilevel"/>
    <w:tmpl w:val="0B842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61998"/>
    <w:multiLevelType w:val="hybridMultilevel"/>
    <w:tmpl w:val="01B2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639A4"/>
    <w:multiLevelType w:val="hybridMultilevel"/>
    <w:tmpl w:val="8F6E27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6DD002B"/>
    <w:multiLevelType w:val="hybridMultilevel"/>
    <w:tmpl w:val="DEF8528A"/>
    <w:lvl w:ilvl="0" w:tplc="AF967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D3866F0E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67AF784E"/>
    <w:multiLevelType w:val="hybridMultilevel"/>
    <w:tmpl w:val="9D28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92A46"/>
    <w:multiLevelType w:val="hybridMultilevel"/>
    <w:tmpl w:val="DC124116"/>
    <w:lvl w:ilvl="0" w:tplc="5F969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C49AE">
      <w:start w:val="5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8CA1EE">
      <w:start w:val="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6D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48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8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2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8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5D41FA"/>
    <w:multiLevelType w:val="hybridMultilevel"/>
    <w:tmpl w:val="883E3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5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27EEA"/>
    <w:rsid w:val="000344D8"/>
    <w:rsid w:val="00045BA7"/>
    <w:rsid w:val="000462AB"/>
    <w:rsid w:val="00071F89"/>
    <w:rsid w:val="00097FDD"/>
    <w:rsid w:val="000C6FE0"/>
    <w:rsid w:val="000D4CAB"/>
    <w:rsid w:val="000D72C0"/>
    <w:rsid w:val="000E666A"/>
    <w:rsid w:val="00114B75"/>
    <w:rsid w:val="00136850"/>
    <w:rsid w:val="00160BDC"/>
    <w:rsid w:val="00164624"/>
    <w:rsid w:val="001B0DB2"/>
    <w:rsid w:val="001C29CD"/>
    <w:rsid w:val="001C67D1"/>
    <w:rsid w:val="00216CF2"/>
    <w:rsid w:val="00222278"/>
    <w:rsid w:val="002224A2"/>
    <w:rsid w:val="002243BC"/>
    <w:rsid w:val="00241593"/>
    <w:rsid w:val="00255F3C"/>
    <w:rsid w:val="00267469"/>
    <w:rsid w:val="002A3930"/>
    <w:rsid w:val="003172F5"/>
    <w:rsid w:val="00335D0B"/>
    <w:rsid w:val="00364589"/>
    <w:rsid w:val="00380CBE"/>
    <w:rsid w:val="003A55A5"/>
    <w:rsid w:val="003B152B"/>
    <w:rsid w:val="003B2BFB"/>
    <w:rsid w:val="003C2174"/>
    <w:rsid w:val="003C2C5B"/>
    <w:rsid w:val="003C3289"/>
    <w:rsid w:val="003C57E7"/>
    <w:rsid w:val="003E0145"/>
    <w:rsid w:val="003F37CE"/>
    <w:rsid w:val="00420D35"/>
    <w:rsid w:val="00424D55"/>
    <w:rsid w:val="004943EB"/>
    <w:rsid w:val="00494F47"/>
    <w:rsid w:val="004C0F00"/>
    <w:rsid w:val="004C2E42"/>
    <w:rsid w:val="004C3BBF"/>
    <w:rsid w:val="004E300A"/>
    <w:rsid w:val="004F75AA"/>
    <w:rsid w:val="00524014"/>
    <w:rsid w:val="005419BC"/>
    <w:rsid w:val="005513AE"/>
    <w:rsid w:val="005677A1"/>
    <w:rsid w:val="005A1417"/>
    <w:rsid w:val="005F7CB0"/>
    <w:rsid w:val="006230C3"/>
    <w:rsid w:val="006275F1"/>
    <w:rsid w:val="00630F52"/>
    <w:rsid w:val="00642813"/>
    <w:rsid w:val="00674B1A"/>
    <w:rsid w:val="00683B27"/>
    <w:rsid w:val="006B4362"/>
    <w:rsid w:val="006C12EC"/>
    <w:rsid w:val="006E27A3"/>
    <w:rsid w:val="006E6F9C"/>
    <w:rsid w:val="006F19D2"/>
    <w:rsid w:val="0073457C"/>
    <w:rsid w:val="00736836"/>
    <w:rsid w:val="007446AE"/>
    <w:rsid w:val="007642F4"/>
    <w:rsid w:val="00776DEB"/>
    <w:rsid w:val="00796954"/>
    <w:rsid w:val="007A1E25"/>
    <w:rsid w:val="007D4C8A"/>
    <w:rsid w:val="007E01E5"/>
    <w:rsid w:val="007E19B5"/>
    <w:rsid w:val="008263AE"/>
    <w:rsid w:val="00836081"/>
    <w:rsid w:val="008366E8"/>
    <w:rsid w:val="00840973"/>
    <w:rsid w:val="00857756"/>
    <w:rsid w:val="00857F81"/>
    <w:rsid w:val="008859C6"/>
    <w:rsid w:val="008E5B8A"/>
    <w:rsid w:val="008F07DF"/>
    <w:rsid w:val="008F3CA9"/>
    <w:rsid w:val="0091187E"/>
    <w:rsid w:val="009262D2"/>
    <w:rsid w:val="00936401"/>
    <w:rsid w:val="00950B5F"/>
    <w:rsid w:val="00970DF5"/>
    <w:rsid w:val="009B6B4A"/>
    <w:rsid w:val="009C6C4F"/>
    <w:rsid w:val="00A24320"/>
    <w:rsid w:val="00A41D09"/>
    <w:rsid w:val="00A44746"/>
    <w:rsid w:val="00A55D2D"/>
    <w:rsid w:val="00A612E0"/>
    <w:rsid w:val="00A64033"/>
    <w:rsid w:val="00AA139E"/>
    <w:rsid w:val="00AD057F"/>
    <w:rsid w:val="00AD5607"/>
    <w:rsid w:val="00AE7586"/>
    <w:rsid w:val="00AF2652"/>
    <w:rsid w:val="00AF530C"/>
    <w:rsid w:val="00B13E2D"/>
    <w:rsid w:val="00B20224"/>
    <w:rsid w:val="00B357A7"/>
    <w:rsid w:val="00B72AA9"/>
    <w:rsid w:val="00B76228"/>
    <w:rsid w:val="00B77B83"/>
    <w:rsid w:val="00BC324F"/>
    <w:rsid w:val="00BD1A8B"/>
    <w:rsid w:val="00BD3095"/>
    <w:rsid w:val="00BE485F"/>
    <w:rsid w:val="00C06C5F"/>
    <w:rsid w:val="00C108CE"/>
    <w:rsid w:val="00C13DFA"/>
    <w:rsid w:val="00C32236"/>
    <w:rsid w:val="00C46998"/>
    <w:rsid w:val="00C62FDA"/>
    <w:rsid w:val="00C6693C"/>
    <w:rsid w:val="00CA6214"/>
    <w:rsid w:val="00CB4F34"/>
    <w:rsid w:val="00CB7AD4"/>
    <w:rsid w:val="00CC0453"/>
    <w:rsid w:val="00D1096A"/>
    <w:rsid w:val="00D17FDD"/>
    <w:rsid w:val="00D30224"/>
    <w:rsid w:val="00D36FFD"/>
    <w:rsid w:val="00D848CB"/>
    <w:rsid w:val="00D92030"/>
    <w:rsid w:val="00DB13D0"/>
    <w:rsid w:val="00E167DA"/>
    <w:rsid w:val="00E212A4"/>
    <w:rsid w:val="00E21D71"/>
    <w:rsid w:val="00E21E73"/>
    <w:rsid w:val="00E272BA"/>
    <w:rsid w:val="00E45299"/>
    <w:rsid w:val="00E466DA"/>
    <w:rsid w:val="00E65D71"/>
    <w:rsid w:val="00E80B5C"/>
    <w:rsid w:val="00E82D39"/>
    <w:rsid w:val="00E925CB"/>
    <w:rsid w:val="00E97B92"/>
    <w:rsid w:val="00EE035D"/>
    <w:rsid w:val="00EF1538"/>
    <w:rsid w:val="00F42697"/>
    <w:rsid w:val="00F44279"/>
    <w:rsid w:val="00F57B61"/>
    <w:rsid w:val="00F7614D"/>
    <w:rsid w:val="00FA0960"/>
    <w:rsid w:val="00FA460D"/>
    <w:rsid w:val="00FB3070"/>
    <w:rsid w:val="00FD2E6C"/>
    <w:rsid w:val="00FE0442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B1BD84B-4065-4443-8AAA-D63C092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F47"/>
    <w:pPr>
      <w:keepNext/>
      <w:numPr>
        <w:numId w:val="1"/>
      </w:numPr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F4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F4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F4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F4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F4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F4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F4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F4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customStyle="1" w:styleId="Grouptext">
    <w:name w:val="Group_text"/>
    <w:rsid w:val="00494F47"/>
    <w:rPr>
      <w:rFonts w:ascii="Arial" w:eastAsia="Arial" w:hAnsi="Arial" w:cs="Arial"/>
      <w:i/>
    </w:rPr>
  </w:style>
  <w:style w:type="paragraph" w:customStyle="1" w:styleId="Note">
    <w:name w:val="Note"/>
    <w:rsid w:val="00494F47"/>
    <w:pPr>
      <w:spacing w:before="120"/>
    </w:pPr>
    <w:rPr>
      <w:rFonts w:ascii="Arial" w:eastAsia="Arial" w:hAnsi="Arial" w:cs="Arial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94F4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F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F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F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F4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F4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F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494F47"/>
    <w:pPr>
      <w:overflowPunct/>
      <w:autoSpaceDE/>
      <w:autoSpaceDN/>
      <w:adjustRightInd/>
      <w:ind w:left="2880" w:hanging="2160"/>
      <w:textAlignment w:val="auto"/>
    </w:pPr>
    <w:rPr>
      <w:rFonts w:ascii="Times New Roman" w:hAnsi="Times New Roman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4F47"/>
    <w:rPr>
      <w:sz w:val="24"/>
    </w:rPr>
  </w:style>
  <w:style w:type="paragraph" w:styleId="ListParagraph">
    <w:name w:val="List Paragraph"/>
    <w:basedOn w:val="Normal"/>
    <w:uiPriority w:val="34"/>
    <w:qFormat/>
    <w:rsid w:val="00494F47"/>
    <w:pPr>
      <w:ind w:left="720"/>
      <w:contextualSpacing/>
    </w:pPr>
    <w:rPr>
      <w:rFonts w:ascii="Times New Roman" w:hAnsi="Times New Roman"/>
      <w:b w:val="0"/>
      <w:szCs w:val="20"/>
    </w:rPr>
  </w:style>
  <w:style w:type="paragraph" w:styleId="List3">
    <w:name w:val="List 3"/>
    <w:basedOn w:val="Normal"/>
    <w:rsid w:val="00494F47"/>
    <w:pPr>
      <w:overflowPunct/>
      <w:autoSpaceDE/>
      <w:autoSpaceDN/>
      <w:adjustRightInd/>
      <w:ind w:left="1080" w:hanging="360"/>
      <w:textAlignment w:val="auto"/>
    </w:pPr>
    <w:rPr>
      <w:rFonts w:ascii="Times New Roman" w:hAnsi="Times New Roman"/>
      <w:b w:val="0"/>
      <w:szCs w:val="20"/>
    </w:rPr>
  </w:style>
  <w:style w:type="paragraph" w:styleId="NoSpacing">
    <w:name w:val="No Spacing"/>
    <w:uiPriority w:val="1"/>
    <w:qFormat/>
    <w:rsid w:val="00674B1A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customStyle="1" w:styleId="a1">
    <w:name w:val="a1"/>
    <w:basedOn w:val="DefaultParagraphFont"/>
    <w:rsid w:val="00674B1A"/>
    <w:rPr>
      <w:bdr w:val="none" w:sz="0" w:space="0" w:color="auto" w:frame="1"/>
    </w:rPr>
  </w:style>
  <w:style w:type="table" w:styleId="TableGrid">
    <w:name w:val="Table Grid"/>
    <w:basedOn w:val="TableNormal"/>
    <w:uiPriority w:val="39"/>
    <w:rsid w:val="005A14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669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69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b w:val="0"/>
    </w:rPr>
  </w:style>
  <w:style w:type="table" w:customStyle="1" w:styleId="TableGrid1">
    <w:name w:val="Table Grid1"/>
    <w:basedOn w:val="TableNormal"/>
    <w:next w:val="TableGrid"/>
    <w:uiPriority w:val="39"/>
    <w:rsid w:val="00C108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30F52"/>
    <w:rPr>
      <w:rFonts w:ascii="CG Times" w:hAnsi="CG 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518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72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92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8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87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0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8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94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02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5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56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92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7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21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7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63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66CCFF"/>
                    <w:bottom w:val="single" w:sz="6" w:space="8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66CCFF"/>
                    <w:bottom w:val="single" w:sz="6" w:space="8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51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2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2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5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9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45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7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26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43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6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76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913D949334C9E548D6B4D5BDB9E" ma:contentTypeVersion="2" ma:contentTypeDescription="Create a new document." ma:contentTypeScope="" ma:versionID="1e10df615a91e09443d1793a029ef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0834E-400E-4F70-BA37-C49122CA91A2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0EFC55-1E39-4E13-AAF9-B8B0CF8CD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B56D8-38DA-4529-BAE8-D755EBBC6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4</TotalTime>
  <Pages>6</Pages>
  <Words>873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Method Implementation</vt:lpstr>
    </vt:vector>
  </TitlesOfParts>
  <Company>Alamance Regional Medical Center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Method Implementation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Turner, Wendy (Lab Dept)</cp:lastModifiedBy>
  <cp:revision>4</cp:revision>
  <cp:lastPrinted>2015-04-17T22:09:00Z</cp:lastPrinted>
  <dcterms:created xsi:type="dcterms:W3CDTF">2015-12-24T18:36:00Z</dcterms:created>
  <dcterms:modified xsi:type="dcterms:W3CDTF">2015-12-24T19:43:00Z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0x010100FC052913D949334C9E548D6B4D5BDB9E</vt:lpwstr>
  </property>
  <property fmtid="{D5CDD505-2E9C-101B-9397-08002B2CF9AE}" pid="3" name="Order">
    <vt:r8>14200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