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5B" w:rsidRPr="003D285B" w:rsidRDefault="003D285B" w:rsidP="003D285B">
      <w:pPr>
        <w:rPr>
          <w:color w:val="000000"/>
          <w:lang w:val="en-US"/>
        </w:rPr>
      </w:pPr>
    </w:p>
    <w:p w:rsidR="003D285B" w:rsidRPr="003D285B" w:rsidRDefault="003D285B" w:rsidP="003D285B">
      <w:pPr>
        <w:rPr>
          <w:color w:val="000000"/>
          <w:lang w:val="en-US"/>
        </w:rPr>
      </w:pPr>
    </w:p>
    <w:p w:rsidR="003D285B" w:rsidRPr="003D285B" w:rsidRDefault="00B44D81" w:rsidP="003D285B">
      <w:pPr>
        <w:jc w:val="center"/>
        <w:rPr>
          <w:b/>
          <w:color w:val="000000"/>
          <w:sz w:val="28"/>
          <w:szCs w:val="20"/>
          <w:lang w:val="en-US"/>
        </w:rPr>
      </w:pPr>
      <w:r w:rsidRPr="00B44D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neHealthLeft_1c" style="position:absolute;left:0;text-align:left;margin-left:0;margin-top:0;width:187.55pt;height:44.1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v:imagedata r:id="rId10" o:title="ConeHealthLeft_1c"/>
            <w10:wrap anchorx="margin" anchory="margin"/>
          </v:shape>
        </w:pict>
      </w:r>
    </w:p>
    <w:p w:rsidR="003D285B" w:rsidRPr="003D285B" w:rsidRDefault="003D285B" w:rsidP="003D285B">
      <w:pPr>
        <w:jc w:val="center"/>
        <w:rPr>
          <w:b/>
          <w:color w:val="000000"/>
          <w:sz w:val="28"/>
          <w:szCs w:val="20"/>
          <w:lang w:val="en-US"/>
        </w:rPr>
      </w:pPr>
      <w:r w:rsidRPr="003D285B">
        <w:rPr>
          <w:b/>
          <w:color w:val="000000"/>
          <w:sz w:val="28"/>
          <w:szCs w:val="20"/>
          <w:lang w:val="en-US"/>
        </w:rPr>
        <w:t>Policies and Procedures</w:t>
      </w:r>
    </w:p>
    <w:p w:rsidR="003D285B" w:rsidRPr="003D285B" w:rsidRDefault="003D285B" w:rsidP="003D285B">
      <w:pPr>
        <w:rPr>
          <w:color w:val="000000"/>
          <w:lang w:val="en-US"/>
        </w:rPr>
      </w:pPr>
    </w:p>
    <w:tbl>
      <w:tblPr>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20" w:type="dxa"/>
          <w:left w:w="120" w:type="dxa"/>
          <w:bottom w:w="120" w:type="dxa"/>
          <w:right w:w="120" w:type="dxa"/>
        </w:tblCellMar>
        <w:tblLook w:val="04A0"/>
      </w:tblPr>
      <w:tblGrid>
        <w:gridCol w:w="2330"/>
        <w:gridCol w:w="1260"/>
        <w:gridCol w:w="900"/>
        <w:gridCol w:w="2216"/>
        <w:gridCol w:w="124"/>
        <w:gridCol w:w="3230"/>
      </w:tblGrid>
      <w:tr w:rsidR="003D285B" w:rsidRPr="008A62C1" w:rsidTr="0029733A">
        <w:tc>
          <w:tcPr>
            <w:tcW w:w="10060" w:type="dxa"/>
            <w:gridSpan w:val="6"/>
            <w:vAlign w:val="center"/>
            <w:hideMark/>
          </w:tcPr>
          <w:p w:rsidR="003D285B" w:rsidRPr="003D285B" w:rsidRDefault="003D285B" w:rsidP="0029733A">
            <w:pPr>
              <w:outlineLvl w:val="1"/>
              <w:rPr>
                <w:b/>
                <w:color w:val="000000"/>
                <w:lang w:val="en-US"/>
              </w:rPr>
            </w:pPr>
            <w:r w:rsidRPr="003D285B">
              <w:rPr>
                <w:b/>
                <w:color w:val="000000"/>
                <w:lang w:val="en-US"/>
              </w:rPr>
              <w:t>Policy Title:</w:t>
            </w:r>
          </w:p>
          <w:p w:rsidR="003D285B" w:rsidRPr="003D285B" w:rsidRDefault="003D285B" w:rsidP="0029733A">
            <w:pPr>
              <w:rPr>
                <w:color w:val="000000"/>
                <w:lang w:val="en-US"/>
              </w:rPr>
            </w:pPr>
            <w:r w:rsidRPr="003D285B">
              <w:rPr>
                <w:color w:val="000000"/>
                <w:lang w:val="en-US"/>
              </w:rPr>
              <w:t>Battery Disposal</w:t>
            </w:r>
          </w:p>
        </w:tc>
      </w:tr>
      <w:tr w:rsidR="003D285B" w:rsidRPr="008A62C1" w:rsidTr="0029733A">
        <w:tc>
          <w:tcPr>
            <w:tcW w:w="2330" w:type="dxa"/>
            <w:vAlign w:val="center"/>
            <w:hideMark/>
          </w:tcPr>
          <w:p w:rsidR="003D285B" w:rsidRPr="003D285B" w:rsidRDefault="003D285B" w:rsidP="0029733A">
            <w:pPr>
              <w:outlineLvl w:val="1"/>
              <w:rPr>
                <w:b/>
                <w:color w:val="000000"/>
                <w:lang w:val="en-US"/>
              </w:rPr>
            </w:pPr>
            <w:r w:rsidRPr="003D285B">
              <w:rPr>
                <w:b/>
                <w:color w:val="000000"/>
                <w:lang w:val="en-US"/>
              </w:rPr>
              <w:t>Department Responsible:</w:t>
            </w:r>
          </w:p>
          <w:p w:rsidR="003D285B" w:rsidRPr="003D285B" w:rsidRDefault="003D285B" w:rsidP="0029733A">
            <w:pPr>
              <w:rPr>
                <w:color w:val="000000"/>
                <w:lang w:val="en-US"/>
              </w:rPr>
            </w:pPr>
            <w:r w:rsidRPr="003D285B">
              <w:rPr>
                <w:color w:val="000000"/>
                <w:lang w:val="en-US"/>
              </w:rPr>
              <w:t>Safety</w:t>
            </w:r>
          </w:p>
        </w:tc>
        <w:tc>
          <w:tcPr>
            <w:tcW w:w="2160" w:type="dxa"/>
            <w:gridSpan w:val="2"/>
            <w:vAlign w:val="center"/>
            <w:hideMark/>
          </w:tcPr>
          <w:p w:rsidR="003D285B" w:rsidRPr="003D285B" w:rsidRDefault="003D285B" w:rsidP="0029733A">
            <w:pPr>
              <w:outlineLvl w:val="1"/>
              <w:rPr>
                <w:b/>
                <w:color w:val="000000"/>
                <w:lang w:val="en-US"/>
              </w:rPr>
            </w:pPr>
            <w:r w:rsidRPr="003D285B">
              <w:rPr>
                <w:b/>
                <w:color w:val="000000"/>
                <w:lang w:val="en-US"/>
              </w:rPr>
              <w:t>Policy Code:</w:t>
            </w:r>
          </w:p>
          <w:p w:rsidR="003D285B" w:rsidRPr="003D285B" w:rsidRDefault="003D285B" w:rsidP="0029733A">
            <w:pPr>
              <w:rPr>
                <w:color w:val="000000"/>
                <w:lang w:val="en-US"/>
              </w:rPr>
            </w:pPr>
            <w:r w:rsidRPr="003D285B">
              <w:rPr>
                <w:color w:val="000000"/>
                <w:lang w:val="en-US"/>
              </w:rPr>
              <w:t>OP-SAF-2007-07</w:t>
            </w:r>
          </w:p>
        </w:tc>
        <w:tc>
          <w:tcPr>
            <w:tcW w:w="2340" w:type="dxa"/>
            <w:gridSpan w:val="2"/>
            <w:vAlign w:val="center"/>
            <w:hideMark/>
          </w:tcPr>
          <w:p w:rsidR="003D285B" w:rsidRPr="003D285B" w:rsidRDefault="003D285B" w:rsidP="0029733A">
            <w:pPr>
              <w:outlineLvl w:val="1"/>
              <w:rPr>
                <w:b/>
                <w:color w:val="000000"/>
                <w:lang w:val="en-US"/>
              </w:rPr>
            </w:pPr>
            <w:r w:rsidRPr="003D285B">
              <w:rPr>
                <w:b/>
                <w:color w:val="000000"/>
                <w:lang w:val="en-US"/>
              </w:rPr>
              <w:t>Effective Date:</w:t>
            </w:r>
          </w:p>
          <w:p w:rsidR="003D285B" w:rsidRPr="003D285B" w:rsidRDefault="003D285B" w:rsidP="0029733A">
            <w:pPr>
              <w:rPr>
                <w:color w:val="000000"/>
                <w:lang w:val="en-US"/>
              </w:rPr>
            </w:pPr>
            <w:r w:rsidRPr="003D285B">
              <w:rPr>
                <w:color w:val="000000"/>
                <w:lang w:val="en-US"/>
              </w:rPr>
              <w:t>January 5, 2016</w:t>
            </w:r>
          </w:p>
        </w:tc>
        <w:tc>
          <w:tcPr>
            <w:tcW w:w="3230" w:type="dxa"/>
            <w:vAlign w:val="center"/>
            <w:hideMark/>
          </w:tcPr>
          <w:p w:rsidR="003D285B" w:rsidRPr="003D285B" w:rsidRDefault="003D285B" w:rsidP="0029733A">
            <w:pPr>
              <w:outlineLvl w:val="1"/>
              <w:rPr>
                <w:b/>
                <w:color w:val="000000"/>
                <w:lang w:val="en-US"/>
              </w:rPr>
            </w:pPr>
            <w:r w:rsidRPr="003D285B">
              <w:rPr>
                <w:b/>
                <w:color w:val="000000"/>
                <w:lang w:val="en-US"/>
              </w:rPr>
              <w:t>Next Review/Revision Date:</w:t>
            </w:r>
          </w:p>
          <w:p w:rsidR="003D285B" w:rsidRPr="003D285B" w:rsidRDefault="003D285B" w:rsidP="0029733A">
            <w:pPr>
              <w:rPr>
                <w:color w:val="000000"/>
                <w:lang w:val="en-US"/>
              </w:rPr>
            </w:pPr>
            <w:r w:rsidRPr="003D285B">
              <w:rPr>
                <w:color w:val="000000"/>
                <w:lang w:val="en-US"/>
              </w:rPr>
              <w:t>January 2019</w:t>
            </w:r>
          </w:p>
        </w:tc>
      </w:tr>
      <w:tr w:rsidR="003D285B" w:rsidRPr="008A62C1" w:rsidTr="0029733A">
        <w:tc>
          <w:tcPr>
            <w:tcW w:w="3590" w:type="dxa"/>
            <w:gridSpan w:val="2"/>
            <w:hideMark/>
          </w:tcPr>
          <w:p w:rsidR="003D285B" w:rsidRPr="003D285B" w:rsidRDefault="003D285B" w:rsidP="0029733A">
            <w:pPr>
              <w:outlineLvl w:val="1"/>
              <w:rPr>
                <w:b/>
                <w:color w:val="000000"/>
                <w:lang w:val="en-US"/>
              </w:rPr>
            </w:pPr>
            <w:r w:rsidRPr="003D285B">
              <w:rPr>
                <w:b/>
                <w:color w:val="000000"/>
                <w:lang w:val="en-US"/>
              </w:rPr>
              <w:t>Title of Person Responsible:</w:t>
            </w:r>
          </w:p>
          <w:p w:rsidR="003D285B" w:rsidRPr="003D285B" w:rsidRDefault="003D285B" w:rsidP="0029733A">
            <w:pPr>
              <w:rPr>
                <w:color w:val="000000"/>
                <w:lang w:val="en-US"/>
              </w:rPr>
            </w:pPr>
            <w:r w:rsidRPr="003D285B">
              <w:rPr>
                <w:color w:val="000000"/>
                <w:lang w:val="en-US"/>
              </w:rPr>
              <w:t>Safety Manager</w:t>
            </w:r>
          </w:p>
        </w:tc>
        <w:tc>
          <w:tcPr>
            <w:tcW w:w="3116" w:type="dxa"/>
            <w:gridSpan w:val="2"/>
            <w:hideMark/>
          </w:tcPr>
          <w:p w:rsidR="003D285B" w:rsidRPr="003D285B" w:rsidRDefault="003D285B" w:rsidP="0029733A">
            <w:pPr>
              <w:outlineLvl w:val="1"/>
              <w:rPr>
                <w:b/>
                <w:color w:val="000000"/>
                <w:lang w:val="en-US"/>
              </w:rPr>
            </w:pPr>
            <w:r w:rsidRPr="003D285B">
              <w:rPr>
                <w:b/>
                <w:color w:val="000000"/>
                <w:lang w:val="en-US"/>
              </w:rPr>
              <w:t>Approval Council:</w:t>
            </w:r>
          </w:p>
          <w:p w:rsidR="003D285B" w:rsidRPr="003D285B" w:rsidRDefault="003D285B" w:rsidP="0029733A">
            <w:pPr>
              <w:rPr>
                <w:color w:val="000000"/>
                <w:lang w:val="en-US"/>
              </w:rPr>
            </w:pPr>
            <w:r w:rsidRPr="003D285B">
              <w:rPr>
                <w:color w:val="000000"/>
                <w:lang w:val="en-US"/>
              </w:rPr>
              <w:t>Leadership Council</w:t>
            </w:r>
          </w:p>
        </w:tc>
        <w:tc>
          <w:tcPr>
            <w:tcW w:w="3354" w:type="dxa"/>
            <w:gridSpan w:val="2"/>
            <w:hideMark/>
          </w:tcPr>
          <w:p w:rsidR="003D285B" w:rsidRPr="003D285B" w:rsidRDefault="003D285B" w:rsidP="0029733A">
            <w:pPr>
              <w:outlineLvl w:val="1"/>
              <w:rPr>
                <w:b/>
                <w:color w:val="000000"/>
                <w:lang w:val="en-US"/>
              </w:rPr>
            </w:pPr>
            <w:r w:rsidRPr="003D285B">
              <w:rPr>
                <w:b/>
                <w:color w:val="000000"/>
                <w:lang w:val="en-US"/>
              </w:rPr>
              <w:t>Date Approved by Council:</w:t>
            </w:r>
          </w:p>
          <w:p w:rsidR="003D285B" w:rsidRPr="003D285B" w:rsidRDefault="003D285B" w:rsidP="0029733A">
            <w:pPr>
              <w:outlineLvl w:val="1"/>
              <w:rPr>
                <w:color w:val="000000"/>
                <w:lang w:val="en-US"/>
              </w:rPr>
            </w:pPr>
            <w:r w:rsidRPr="003D285B">
              <w:rPr>
                <w:color w:val="000000"/>
                <w:lang w:val="en-US"/>
              </w:rPr>
              <w:t>December 9, 2015</w:t>
            </w:r>
          </w:p>
        </w:tc>
      </w:tr>
    </w:tbl>
    <w:p w:rsidR="003D285B" w:rsidRPr="008A62C1" w:rsidRDefault="003D285B" w:rsidP="003D285B"/>
    <w:p w:rsidR="003D285B" w:rsidRPr="008A62C1" w:rsidRDefault="003D285B" w:rsidP="003D285B">
      <w:pPr>
        <w:pStyle w:val="Heading1"/>
      </w:pPr>
      <w:bookmarkStart w:id="0" w:name="PURPOSE"/>
      <w:bookmarkEnd w:id="0"/>
      <w:r w:rsidRPr="008A62C1">
        <w:t>PURPOSE</w:t>
      </w:r>
      <w:r>
        <w:t>:</w:t>
      </w:r>
    </w:p>
    <w:p w:rsidR="003D285B" w:rsidRPr="008A62C1" w:rsidRDefault="003D285B" w:rsidP="003D285B">
      <w:r w:rsidRPr="008A62C1">
        <w:t xml:space="preserve">To provide a safe method of recycling applicable batteries as required by the U.S. Department of Transportation (DOT). </w:t>
      </w:r>
    </w:p>
    <w:p w:rsidR="003D285B" w:rsidRPr="008A62C1" w:rsidRDefault="003D285B" w:rsidP="003D285B"/>
    <w:p w:rsidR="003D285B" w:rsidRPr="008A62C1" w:rsidRDefault="003D285B" w:rsidP="003D285B">
      <w:pPr>
        <w:pStyle w:val="Heading1"/>
      </w:pPr>
      <w:bookmarkStart w:id="1" w:name="POLICY"/>
      <w:bookmarkEnd w:id="1"/>
      <w:r w:rsidRPr="008A62C1">
        <w:t>POLICY</w:t>
      </w:r>
      <w:r>
        <w:t>:</w:t>
      </w:r>
    </w:p>
    <w:p w:rsidR="003D285B" w:rsidRPr="008A62C1" w:rsidRDefault="003D285B" w:rsidP="003D285B">
      <w:r w:rsidRPr="008A62C1">
        <w:t>Cone Health shall dispose of or recycle certain batteries as universal waste. These include:</w:t>
      </w:r>
    </w:p>
    <w:p w:rsidR="003D285B" w:rsidRPr="008A62C1" w:rsidRDefault="003D285B" w:rsidP="003D285B"/>
    <w:tbl>
      <w:tblPr>
        <w:tblW w:w="48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tblPr>
      <w:tblGrid>
        <w:gridCol w:w="3487"/>
        <w:gridCol w:w="6396"/>
      </w:tblGrid>
      <w:tr w:rsidR="003D285B" w:rsidRPr="008A62C1" w:rsidTr="0029733A">
        <w:tc>
          <w:tcPr>
            <w:tcW w:w="1764" w:type="pct"/>
            <w:vAlign w:val="center"/>
            <w:hideMark/>
          </w:tcPr>
          <w:p w:rsidR="003D285B" w:rsidRPr="008A62C1" w:rsidRDefault="003D285B" w:rsidP="0029733A">
            <w:pPr>
              <w:rPr>
                <w:b/>
              </w:rPr>
            </w:pPr>
            <w:r w:rsidRPr="008A62C1">
              <w:rPr>
                <w:b/>
              </w:rPr>
              <w:t>Battery Type</w:t>
            </w:r>
          </w:p>
        </w:tc>
        <w:tc>
          <w:tcPr>
            <w:tcW w:w="3236" w:type="pct"/>
            <w:vAlign w:val="center"/>
            <w:hideMark/>
          </w:tcPr>
          <w:p w:rsidR="003D285B" w:rsidRPr="008A62C1" w:rsidRDefault="003D285B" w:rsidP="0029733A">
            <w:pPr>
              <w:rPr>
                <w:b/>
              </w:rPr>
            </w:pPr>
            <w:r w:rsidRPr="008A62C1">
              <w:rPr>
                <w:b/>
              </w:rPr>
              <w:t>Typical Source(s) of Generation</w:t>
            </w:r>
          </w:p>
        </w:tc>
      </w:tr>
      <w:tr w:rsidR="003D285B" w:rsidRPr="008A62C1" w:rsidTr="0029733A">
        <w:trPr>
          <w:trHeight w:val="432"/>
        </w:trPr>
        <w:tc>
          <w:tcPr>
            <w:tcW w:w="1764" w:type="pct"/>
            <w:vAlign w:val="center"/>
            <w:hideMark/>
          </w:tcPr>
          <w:p w:rsidR="003D285B" w:rsidRPr="008A62C1" w:rsidRDefault="003D285B" w:rsidP="0029733A">
            <w:r w:rsidRPr="008A62C1">
              <w:t xml:space="preserve">Lead </w:t>
            </w:r>
            <w:r>
              <w:t>a</w:t>
            </w:r>
            <w:r w:rsidRPr="008A62C1">
              <w:t>cid</w:t>
            </w:r>
          </w:p>
        </w:tc>
        <w:tc>
          <w:tcPr>
            <w:tcW w:w="3236" w:type="pct"/>
            <w:vAlign w:val="center"/>
            <w:hideMark/>
          </w:tcPr>
          <w:p w:rsidR="003D285B" w:rsidRPr="008A62C1" w:rsidRDefault="003D285B" w:rsidP="0029733A">
            <w:r w:rsidRPr="008A62C1">
              <w:t>automobiles, floor scrubbers, wheelchairs, portable generators</w:t>
            </w:r>
          </w:p>
        </w:tc>
      </w:tr>
      <w:tr w:rsidR="003D285B" w:rsidRPr="008A62C1" w:rsidTr="0029733A">
        <w:trPr>
          <w:trHeight w:val="432"/>
        </w:trPr>
        <w:tc>
          <w:tcPr>
            <w:tcW w:w="1764" w:type="pct"/>
            <w:vAlign w:val="center"/>
            <w:hideMark/>
          </w:tcPr>
          <w:p w:rsidR="003D285B" w:rsidRPr="008A62C1" w:rsidRDefault="003D285B" w:rsidP="0029733A">
            <w:r w:rsidRPr="008A62C1">
              <w:t>Lithium</w:t>
            </w:r>
          </w:p>
        </w:tc>
        <w:tc>
          <w:tcPr>
            <w:tcW w:w="3236" w:type="pct"/>
            <w:vAlign w:val="center"/>
            <w:hideMark/>
          </w:tcPr>
          <w:p w:rsidR="003D285B" w:rsidRPr="008A62C1" w:rsidRDefault="003D285B" w:rsidP="0029733A">
            <w:r w:rsidRPr="008A62C1">
              <w:t>camera, calculators</w:t>
            </w:r>
          </w:p>
        </w:tc>
      </w:tr>
      <w:tr w:rsidR="003D285B" w:rsidRPr="008A62C1" w:rsidTr="0029733A">
        <w:trPr>
          <w:trHeight w:val="432"/>
        </w:trPr>
        <w:tc>
          <w:tcPr>
            <w:tcW w:w="1764" w:type="pct"/>
            <w:vAlign w:val="center"/>
            <w:hideMark/>
          </w:tcPr>
          <w:p w:rsidR="003D285B" w:rsidRPr="008A62C1" w:rsidRDefault="003D285B" w:rsidP="0029733A">
            <w:r w:rsidRPr="008A62C1">
              <w:t xml:space="preserve">Mercury </w:t>
            </w:r>
            <w:r>
              <w:t>o</w:t>
            </w:r>
            <w:r w:rsidRPr="008A62C1">
              <w:t>xide (button cell)</w:t>
            </w:r>
          </w:p>
        </w:tc>
        <w:tc>
          <w:tcPr>
            <w:tcW w:w="3236" w:type="pct"/>
            <w:vAlign w:val="center"/>
            <w:hideMark/>
          </w:tcPr>
          <w:p w:rsidR="003D285B" w:rsidRPr="008A62C1" w:rsidRDefault="003D285B" w:rsidP="0029733A">
            <w:r w:rsidRPr="008A62C1">
              <w:t>hearing aids, oxygen monitors, fetal monitors, portable EKG monitors</w:t>
            </w:r>
          </w:p>
        </w:tc>
      </w:tr>
      <w:tr w:rsidR="003D285B" w:rsidRPr="008A62C1" w:rsidTr="0029733A">
        <w:trPr>
          <w:trHeight w:val="432"/>
        </w:trPr>
        <w:tc>
          <w:tcPr>
            <w:tcW w:w="1764" w:type="pct"/>
            <w:vAlign w:val="center"/>
            <w:hideMark/>
          </w:tcPr>
          <w:p w:rsidR="003D285B" w:rsidRPr="008A62C1" w:rsidRDefault="003D285B" w:rsidP="0029733A">
            <w:r w:rsidRPr="008A62C1">
              <w:t xml:space="preserve">Nickel </w:t>
            </w:r>
            <w:r>
              <w:t>c</w:t>
            </w:r>
            <w:r w:rsidRPr="008A62C1">
              <w:t>admium (rechargeable)</w:t>
            </w:r>
          </w:p>
        </w:tc>
        <w:tc>
          <w:tcPr>
            <w:tcW w:w="3236" w:type="pct"/>
            <w:vAlign w:val="center"/>
            <w:hideMark/>
          </w:tcPr>
          <w:p w:rsidR="003D285B" w:rsidRPr="008A62C1" w:rsidRDefault="003D285B" w:rsidP="0029733A">
            <w:r w:rsidRPr="008A62C1">
              <w:t>calculators, pagers, medical equipment backup power</w:t>
            </w:r>
          </w:p>
        </w:tc>
      </w:tr>
      <w:tr w:rsidR="003D285B" w:rsidRPr="008A62C1" w:rsidTr="0029733A">
        <w:trPr>
          <w:trHeight w:val="432"/>
        </w:trPr>
        <w:tc>
          <w:tcPr>
            <w:tcW w:w="1764" w:type="pct"/>
            <w:vAlign w:val="center"/>
            <w:hideMark/>
          </w:tcPr>
          <w:p w:rsidR="003D285B" w:rsidRPr="008A62C1" w:rsidRDefault="003D285B" w:rsidP="0029733A">
            <w:r w:rsidRPr="008A62C1">
              <w:t xml:space="preserve">Nickel </w:t>
            </w:r>
            <w:r>
              <w:t>m</w:t>
            </w:r>
            <w:r w:rsidRPr="008A62C1">
              <w:t xml:space="preserve">etal </w:t>
            </w:r>
            <w:r>
              <w:t>h</w:t>
            </w:r>
            <w:r w:rsidRPr="008A62C1">
              <w:t>ydride (rechargeable)</w:t>
            </w:r>
          </w:p>
        </w:tc>
        <w:tc>
          <w:tcPr>
            <w:tcW w:w="3236" w:type="pct"/>
            <w:vAlign w:val="center"/>
            <w:hideMark/>
          </w:tcPr>
          <w:p w:rsidR="003D285B" w:rsidRPr="008A62C1" w:rsidRDefault="003D285B" w:rsidP="0029733A">
            <w:r w:rsidRPr="008A62C1">
              <w:t>calculators, pagers, medical equipment backup power</w:t>
            </w:r>
          </w:p>
        </w:tc>
      </w:tr>
      <w:tr w:rsidR="003D285B" w:rsidRPr="008A62C1" w:rsidTr="0029733A">
        <w:trPr>
          <w:trHeight w:val="432"/>
        </w:trPr>
        <w:tc>
          <w:tcPr>
            <w:tcW w:w="1764" w:type="pct"/>
            <w:vAlign w:val="center"/>
            <w:hideMark/>
          </w:tcPr>
          <w:p w:rsidR="003D285B" w:rsidRPr="008A62C1" w:rsidRDefault="003D285B" w:rsidP="0029733A">
            <w:r w:rsidRPr="008A62C1">
              <w:t xml:space="preserve">Silver </w:t>
            </w:r>
            <w:r>
              <w:t>o</w:t>
            </w:r>
            <w:r w:rsidRPr="008A62C1">
              <w:t>xide</w:t>
            </w:r>
          </w:p>
        </w:tc>
        <w:tc>
          <w:tcPr>
            <w:tcW w:w="3236" w:type="pct"/>
            <w:vAlign w:val="center"/>
            <w:hideMark/>
          </w:tcPr>
          <w:p w:rsidR="003D285B" w:rsidRPr="008A62C1" w:rsidRDefault="003D285B" w:rsidP="0029733A">
            <w:r w:rsidRPr="008A62C1">
              <w:t>medical electronics, hearing aids</w:t>
            </w:r>
          </w:p>
        </w:tc>
      </w:tr>
    </w:tbl>
    <w:p w:rsidR="003D285B" w:rsidRPr="008A62C1" w:rsidRDefault="003D285B" w:rsidP="003D285B">
      <w:r w:rsidRPr="008A62C1">
        <w:br/>
        <w:t>Alkaline batteries are common non-rechargeable batteries that are not regulated as hazardous waste and may be disposed of in regular trash.</w:t>
      </w:r>
    </w:p>
    <w:p w:rsidR="003D285B" w:rsidRPr="008A62C1" w:rsidRDefault="003D285B" w:rsidP="003D285B"/>
    <w:p w:rsidR="003D285B" w:rsidRPr="008A62C1" w:rsidRDefault="003D285B" w:rsidP="003D285B">
      <w:pPr>
        <w:pStyle w:val="Heading1"/>
      </w:pPr>
      <w:bookmarkStart w:id="2" w:name="PROCEDURE"/>
      <w:bookmarkEnd w:id="2"/>
      <w:r w:rsidRPr="008A62C1">
        <w:t>PROCEDURE</w:t>
      </w:r>
      <w:r>
        <w:t>:</w:t>
      </w:r>
    </w:p>
    <w:p w:rsidR="003D285B" w:rsidRPr="008A62C1" w:rsidRDefault="003D285B" w:rsidP="003D285B">
      <w:r w:rsidRPr="008A62C1">
        <w:t xml:space="preserve">Each individual battery that is collected for recycling shall be placed in an individual plastic bag designed for that purpose. Departments can obtain the plastic bags from </w:t>
      </w:r>
      <w:r>
        <w:t xml:space="preserve">the </w:t>
      </w:r>
      <w:r w:rsidRPr="008A62C1">
        <w:t>Storeroom (Materials Management). Once the battery is sealed inside of the plastic bag, it can then be placed in the department’s battery collection container.</w:t>
      </w:r>
    </w:p>
    <w:p w:rsidR="003D285B" w:rsidRDefault="003D285B" w:rsidP="003D285B"/>
    <w:p w:rsidR="003D285B" w:rsidRPr="008A62C1" w:rsidRDefault="003D285B" w:rsidP="003D285B">
      <w:r w:rsidRPr="008A62C1">
        <w:t xml:space="preserve">All facilities within </w:t>
      </w:r>
      <w:r w:rsidR="008B3935">
        <w:t>Cone</w:t>
      </w:r>
      <w:r w:rsidRPr="008A62C1">
        <w:t xml:space="preserve"> Health </w:t>
      </w:r>
      <w:bookmarkStart w:id="3" w:name="_GoBack"/>
      <w:bookmarkEnd w:id="3"/>
      <w:r w:rsidRPr="008A62C1">
        <w:t>that collect batteries identified in this policy for any length of time prior to disposal shall have a container for collecting and holding until pickup by an approved vendor.</w:t>
      </w:r>
    </w:p>
    <w:p w:rsidR="003D285B" w:rsidRDefault="003D285B" w:rsidP="003D285B"/>
    <w:p w:rsidR="003D285B" w:rsidRPr="008A62C1" w:rsidRDefault="003D285B" w:rsidP="003D285B">
      <w:r w:rsidRPr="008A62C1">
        <w:t>The container in which the batteries are held must be marked or labeled “Waste Batteries.” The container must also indicate an accumulation start date by marking or labeling the date the first battery was placed in the container. Containers must be structurally sound, closeable, and lack evidence of leakage, spillage, or damage that could cause leakage. Used batteries shall not be stored longer than 12 months.</w:t>
      </w:r>
    </w:p>
    <w:p w:rsidR="003D285B" w:rsidRDefault="003D285B" w:rsidP="003D285B"/>
    <w:p w:rsidR="003D285B" w:rsidRPr="008A62C1" w:rsidRDefault="003D285B" w:rsidP="003D285B">
      <w:r w:rsidRPr="008A62C1">
        <w:t xml:space="preserve">Departments such as Facilities that collect other </w:t>
      </w:r>
      <w:r>
        <w:t>u</w:t>
      </w:r>
      <w:r w:rsidRPr="008A62C1">
        <w:t xml:space="preserve">niversal </w:t>
      </w:r>
      <w:r>
        <w:t>w</w:t>
      </w:r>
      <w:r w:rsidRPr="008A62C1">
        <w:t>aste shall label their containers “Universal Waste” and also write the contents on the container or specific label.</w:t>
      </w:r>
    </w:p>
    <w:p w:rsidR="003D285B" w:rsidRDefault="003D285B" w:rsidP="003D285B"/>
    <w:p w:rsidR="003D285B" w:rsidRPr="008A62C1" w:rsidRDefault="003D285B" w:rsidP="003D285B">
      <w:r w:rsidRPr="008A62C1">
        <w:t xml:space="preserve">The Facilities </w:t>
      </w:r>
      <w:r>
        <w:t>D</w:t>
      </w:r>
      <w:r w:rsidRPr="008A62C1">
        <w:t xml:space="preserve">epartments on </w:t>
      </w:r>
      <w:r>
        <w:t>h</w:t>
      </w:r>
      <w:r w:rsidRPr="008A62C1">
        <w:t>ospital campuses shall receive and store batteries identified in this policy. Periodically, they shall contact a waste battery handling company to pick up and dispose of the batteries. Departments that have collected batteries for a period of t</w:t>
      </w:r>
      <w:r>
        <w:t>ime (less than one year) shall</w:t>
      </w:r>
      <w:r w:rsidRPr="008A62C1">
        <w:t xml:space="preserve"> take them to the Facilities </w:t>
      </w:r>
      <w:r>
        <w:t>D</w:t>
      </w:r>
      <w:r w:rsidRPr="008A62C1">
        <w:t>epartment on their campus.</w:t>
      </w:r>
    </w:p>
    <w:p w:rsidR="003D285B" w:rsidRDefault="003D285B" w:rsidP="003D285B"/>
    <w:p w:rsidR="003D285B" w:rsidRPr="008A62C1" w:rsidRDefault="003D285B" w:rsidP="003D285B">
      <w:r w:rsidRPr="008A62C1">
        <w:t xml:space="preserve">Campuses that do not have a Facilities </w:t>
      </w:r>
      <w:r>
        <w:t>D</w:t>
      </w:r>
      <w:r w:rsidRPr="008A62C1">
        <w:t>epartment shall contact our approved battery disposal company to pick up and dispose of batteries on a periodic basis.</w:t>
      </w:r>
    </w:p>
    <w:p w:rsidR="003D285B" w:rsidRDefault="003D285B" w:rsidP="003D285B"/>
    <w:p w:rsidR="003D285B" w:rsidRPr="008A62C1" w:rsidRDefault="003D285B" w:rsidP="003D285B">
      <w:r w:rsidRPr="008A62C1">
        <w:t>We currently utilize IBS Environmental Services for recycling of batteries. Their address is P.O. Box 1263, Lenoir, NC 28645</w:t>
      </w:r>
      <w:r>
        <w:t xml:space="preserve">; </w:t>
      </w:r>
      <w:r w:rsidRPr="008A62C1">
        <w:t xml:space="preserve">telephone </w:t>
      </w:r>
      <w:r>
        <w:t>number</w:t>
      </w:r>
      <w:r w:rsidRPr="008A62C1">
        <w:t xml:space="preserve"> is 828-396-4319</w:t>
      </w:r>
      <w:r>
        <w:t>;</w:t>
      </w:r>
      <w:r w:rsidRPr="008A62C1">
        <w:t xml:space="preserve"> and fax is 828-396-2367.</w:t>
      </w:r>
    </w:p>
    <w:p w:rsidR="003D285B" w:rsidRDefault="003D285B" w:rsidP="003D285B"/>
    <w:p w:rsidR="003D285B" w:rsidRPr="008A62C1" w:rsidRDefault="003D285B" w:rsidP="003D285B">
      <w:r w:rsidRPr="008A62C1">
        <w:t>Departments such as Environmental Services and Bio</w:t>
      </w:r>
      <w:r>
        <w:t>medical Equipment</w:t>
      </w:r>
      <w:r w:rsidRPr="008A62C1">
        <w:t xml:space="preserve"> that utilize lead-acid batteries in powered equipment will turn in or “trade” with a vendor when purchasing new batteries. Any lead-acid batteries that are stored</w:t>
      </w:r>
      <w:r>
        <w:t xml:space="preserve"> (</w:t>
      </w:r>
      <w:r w:rsidRPr="008A62C1">
        <w:t>that is, not traded out immediately</w:t>
      </w:r>
      <w:r>
        <w:t>)</w:t>
      </w:r>
      <w:r w:rsidRPr="008A62C1">
        <w:t xml:space="preserve"> must be stored together and labeled as “Waste Batteries” and </w:t>
      </w:r>
      <w:r>
        <w:t xml:space="preserve">must </w:t>
      </w:r>
      <w:r w:rsidRPr="008A62C1">
        <w:t>be marked with an accumulation start date. Store lead-acid batteries in a secured, covered location that is designed to contain leaks and temperature extremes. Keep batteries away from open flames or other ignitable sources. Do not stack lead-acid batteries since they may crack and leak acid and other hazardous components. Keep batteries off the ground to prevent them from coming in contact with water, which may result in contaminated runoff. Do not store batteries around floor drains or storm drains.</w:t>
      </w:r>
    </w:p>
    <w:p w:rsidR="003D285B" w:rsidRPr="008A62C1" w:rsidRDefault="003D285B" w:rsidP="003D285B"/>
    <w:p w:rsidR="003D285B" w:rsidRPr="008A62C1" w:rsidRDefault="003D285B" w:rsidP="003D285B">
      <w:pPr>
        <w:pStyle w:val="Heading1"/>
      </w:pPr>
      <w:bookmarkStart w:id="4" w:name="REFERENCES"/>
      <w:bookmarkEnd w:id="4"/>
      <w:r w:rsidRPr="008A62C1">
        <w:t>REFERENCES</w:t>
      </w:r>
      <w:r>
        <w:t>:</w:t>
      </w:r>
    </w:p>
    <w:p w:rsidR="003D285B" w:rsidRPr="008A62C1" w:rsidRDefault="003D285B" w:rsidP="003D285B">
      <w:r w:rsidRPr="008A62C1">
        <w:t>Hazardous Material Regulations (HMR) 49 CFR Parts 171-180</w:t>
      </w:r>
    </w:p>
    <w:p w:rsidR="003D285B" w:rsidRPr="008A62C1" w:rsidRDefault="003D285B" w:rsidP="003D285B"/>
    <w:p w:rsidR="003D285B" w:rsidRPr="008A62C1" w:rsidRDefault="003D285B" w:rsidP="003D285B">
      <w:pPr>
        <w:outlineLvl w:val="0"/>
        <w:rPr>
          <w:b/>
          <w:caps/>
          <w:lang w:val="en-US"/>
        </w:rPr>
      </w:pPr>
      <w:bookmarkStart w:id="5" w:name="REVIEWED.2FREVISED_DATES"/>
      <w:bookmarkEnd w:id="5"/>
      <w:r w:rsidRPr="008A62C1">
        <w:rPr>
          <w:b/>
          <w:caps/>
          <w:lang w:val="en-US"/>
        </w:rPr>
        <w:t>PREVIOUS REVISION/REVIEW DATES:</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320"/>
        <w:gridCol w:w="1320"/>
        <w:gridCol w:w="5335"/>
      </w:tblGrid>
      <w:tr w:rsidR="003D285B" w:rsidRPr="008A62C1" w:rsidTr="0029733A">
        <w:trPr>
          <w:cantSplit/>
          <w:tblHeader/>
        </w:trPr>
        <w:tc>
          <w:tcPr>
            <w:tcW w:w="1086" w:type="pct"/>
            <w:shd w:val="clear" w:color="auto" w:fill="auto"/>
          </w:tcPr>
          <w:p w:rsidR="003D285B" w:rsidRPr="008A62C1" w:rsidRDefault="003D285B" w:rsidP="0029733A">
            <w:pPr>
              <w:rPr>
                <w:i/>
                <w:lang w:val="en-US"/>
              </w:rPr>
            </w:pPr>
            <w:r w:rsidRPr="008A62C1">
              <w:rPr>
                <w:i/>
                <w:lang w:val="en-US"/>
              </w:rPr>
              <w:t>Date</w:t>
            </w:r>
          </w:p>
        </w:tc>
        <w:tc>
          <w:tcPr>
            <w:tcW w:w="648" w:type="pct"/>
            <w:shd w:val="clear" w:color="auto" w:fill="auto"/>
          </w:tcPr>
          <w:p w:rsidR="003D285B" w:rsidRPr="008A62C1" w:rsidRDefault="003D285B" w:rsidP="0029733A">
            <w:pPr>
              <w:jc w:val="center"/>
              <w:rPr>
                <w:i/>
                <w:lang w:val="en-US"/>
              </w:rPr>
            </w:pPr>
            <w:r w:rsidRPr="008A62C1">
              <w:rPr>
                <w:i/>
                <w:lang w:val="en-US"/>
              </w:rPr>
              <w:t>Reviewed</w:t>
            </w:r>
          </w:p>
        </w:tc>
        <w:tc>
          <w:tcPr>
            <w:tcW w:w="648" w:type="pct"/>
            <w:shd w:val="clear" w:color="auto" w:fill="auto"/>
          </w:tcPr>
          <w:p w:rsidR="003D285B" w:rsidRPr="008A62C1" w:rsidRDefault="003D285B" w:rsidP="0029733A">
            <w:pPr>
              <w:jc w:val="center"/>
              <w:rPr>
                <w:i/>
                <w:lang w:val="en-US"/>
              </w:rPr>
            </w:pPr>
            <w:r w:rsidRPr="008A62C1">
              <w:rPr>
                <w:i/>
                <w:lang w:val="en-US"/>
              </w:rPr>
              <w:t>Revised</w:t>
            </w:r>
          </w:p>
        </w:tc>
        <w:tc>
          <w:tcPr>
            <w:tcW w:w="2618" w:type="pct"/>
          </w:tcPr>
          <w:p w:rsidR="003D285B" w:rsidRPr="008A62C1" w:rsidRDefault="003D285B" w:rsidP="0029733A">
            <w:pPr>
              <w:rPr>
                <w:i/>
                <w:lang w:val="en-US"/>
              </w:rPr>
            </w:pPr>
            <w:r w:rsidRPr="008A62C1">
              <w:rPr>
                <w:i/>
                <w:lang w:val="en-US"/>
              </w:rPr>
              <w:t>Notes</w:t>
            </w:r>
          </w:p>
        </w:tc>
      </w:tr>
      <w:tr w:rsidR="003D285B" w:rsidRPr="008A62C1" w:rsidTr="0029733A">
        <w:trPr>
          <w:cantSplit/>
          <w:trHeight w:val="288"/>
        </w:trPr>
        <w:tc>
          <w:tcPr>
            <w:tcW w:w="1086" w:type="pct"/>
            <w:shd w:val="clear" w:color="auto" w:fill="auto"/>
          </w:tcPr>
          <w:p w:rsidR="003D285B" w:rsidRPr="008A62C1" w:rsidRDefault="003D285B" w:rsidP="0029733A">
            <w:pPr>
              <w:rPr>
                <w:lang w:val="en-US"/>
              </w:rPr>
            </w:pPr>
            <w:r>
              <w:rPr>
                <w:lang w:val="en-US"/>
              </w:rPr>
              <w:t>November, 2007</w:t>
            </w:r>
          </w:p>
        </w:tc>
        <w:tc>
          <w:tcPr>
            <w:tcW w:w="648" w:type="pct"/>
            <w:shd w:val="clear" w:color="auto" w:fill="auto"/>
          </w:tcPr>
          <w:p w:rsidR="003D285B" w:rsidRPr="008A62C1" w:rsidRDefault="003D285B" w:rsidP="0029733A">
            <w:pPr>
              <w:jc w:val="center"/>
              <w:rPr>
                <w:lang w:val="en-US"/>
              </w:rPr>
            </w:pPr>
          </w:p>
        </w:tc>
        <w:tc>
          <w:tcPr>
            <w:tcW w:w="648" w:type="pct"/>
            <w:shd w:val="clear" w:color="auto" w:fill="auto"/>
          </w:tcPr>
          <w:p w:rsidR="003D285B" w:rsidRPr="008A62C1" w:rsidRDefault="003D285B" w:rsidP="0029733A">
            <w:pPr>
              <w:jc w:val="center"/>
              <w:rPr>
                <w:lang w:val="en-US"/>
              </w:rPr>
            </w:pPr>
          </w:p>
        </w:tc>
        <w:tc>
          <w:tcPr>
            <w:tcW w:w="2618" w:type="pct"/>
          </w:tcPr>
          <w:p w:rsidR="003D285B" w:rsidRPr="008A62C1" w:rsidRDefault="003D285B" w:rsidP="0029733A">
            <w:pPr>
              <w:rPr>
                <w:lang w:val="en-US"/>
              </w:rPr>
            </w:pPr>
            <w:r>
              <w:rPr>
                <w:lang w:val="en-US"/>
              </w:rPr>
              <w:t>Original effective date.</w:t>
            </w:r>
          </w:p>
        </w:tc>
      </w:tr>
      <w:tr w:rsidR="003D285B" w:rsidRPr="008A62C1" w:rsidTr="0029733A">
        <w:trPr>
          <w:cantSplit/>
          <w:trHeight w:val="288"/>
        </w:trPr>
        <w:tc>
          <w:tcPr>
            <w:tcW w:w="1086" w:type="pct"/>
            <w:shd w:val="clear" w:color="auto" w:fill="auto"/>
          </w:tcPr>
          <w:p w:rsidR="003D285B" w:rsidRDefault="003D285B" w:rsidP="0029733A">
            <w:pPr>
              <w:rPr>
                <w:lang w:val="en-US"/>
              </w:rPr>
            </w:pPr>
            <w:r>
              <w:rPr>
                <w:lang w:val="en-US"/>
              </w:rPr>
              <w:t>December, 2009</w:t>
            </w:r>
          </w:p>
        </w:tc>
        <w:tc>
          <w:tcPr>
            <w:tcW w:w="648" w:type="pct"/>
            <w:shd w:val="clear" w:color="auto" w:fill="auto"/>
          </w:tcPr>
          <w:p w:rsidR="003D285B" w:rsidRPr="008A62C1" w:rsidRDefault="003D285B" w:rsidP="0029733A">
            <w:pPr>
              <w:jc w:val="center"/>
              <w:rPr>
                <w:lang w:val="en-US"/>
              </w:rPr>
            </w:pPr>
          </w:p>
        </w:tc>
        <w:tc>
          <w:tcPr>
            <w:tcW w:w="648" w:type="pct"/>
            <w:shd w:val="clear" w:color="auto" w:fill="auto"/>
          </w:tcPr>
          <w:p w:rsidR="003D285B" w:rsidRPr="008A62C1" w:rsidRDefault="003D285B" w:rsidP="0029733A">
            <w:pPr>
              <w:jc w:val="center"/>
              <w:rPr>
                <w:lang w:val="en-US"/>
              </w:rPr>
            </w:pPr>
          </w:p>
        </w:tc>
        <w:tc>
          <w:tcPr>
            <w:tcW w:w="2618" w:type="pct"/>
          </w:tcPr>
          <w:p w:rsidR="003D285B" w:rsidRDefault="003D285B" w:rsidP="0029733A">
            <w:pPr>
              <w:rPr>
                <w:lang w:val="en-US"/>
              </w:rPr>
            </w:pPr>
          </w:p>
        </w:tc>
      </w:tr>
      <w:tr w:rsidR="003D285B" w:rsidRPr="008A62C1" w:rsidTr="0029733A">
        <w:trPr>
          <w:cantSplit/>
          <w:trHeight w:val="288"/>
        </w:trPr>
        <w:tc>
          <w:tcPr>
            <w:tcW w:w="1086" w:type="pct"/>
            <w:shd w:val="clear" w:color="auto" w:fill="auto"/>
          </w:tcPr>
          <w:p w:rsidR="003D285B" w:rsidRDefault="003D285B" w:rsidP="0029733A">
            <w:pPr>
              <w:rPr>
                <w:lang w:val="en-US"/>
              </w:rPr>
            </w:pPr>
            <w:r>
              <w:rPr>
                <w:lang w:val="en-US"/>
              </w:rPr>
              <w:t>December, 2012</w:t>
            </w:r>
          </w:p>
        </w:tc>
        <w:tc>
          <w:tcPr>
            <w:tcW w:w="648" w:type="pct"/>
            <w:shd w:val="clear" w:color="auto" w:fill="auto"/>
          </w:tcPr>
          <w:p w:rsidR="003D285B" w:rsidRPr="008A62C1" w:rsidRDefault="003D285B" w:rsidP="0029733A">
            <w:pPr>
              <w:jc w:val="center"/>
              <w:rPr>
                <w:lang w:val="en-US"/>
              </w:rPr>
            </w:pPr>
          </w:p>
        </w:tc>
        <w:tc>
          <w:tcPr>
            <w:tcW w:w="648" w:type="pct"/>
            <w:shd w:val="clear" w:color="auto" w:fill="auto"/>
          </w:tcPr>
          <w:p w:rsidR="003D285B" w:rsidRPr="008A62C1" w:rsidRDefault="003D285B" w:rsidP="0029733A">
            <w:pPr>
              <w:jc w:val="center"/>
              <w:rPr>
                <w:lang w:val="en-US"/>
              </w:rPr>
            </w:pPr>
          </w:p>
        </w:tc>
        <w:tc>
          <w:tcPr>
            <w:tcW w:w="2618" w:type="pct"/>
          </w:tcPr>
          <w:p w:rsidR="003D285B" w:rsidRDefault="003D285B" w:rsidP="0029733A">
            <w:pPr>
              <w:rPr>
                <w:lang w:val="en-US"/>
              </w:rPr>
            </w:pPr>
          </w:p>
        </w:tc>
      </w:tr>
      <w:tr w:rsidR="003D285B" w:rsidRPr="008A62C1" w:rsidTr="0029733A">
        <w:trPr>
          <w:cantSplit/>
          <w:trHeight w:val="432"/>
        </w:trPr>
        <w:tc>
          <w:tcPr>
            <w:tcW w:w="1086" w:type="pct"/>
            <w:shd w:val="clear" w:color="auto" w:fill="auto"/>
            <w:vAlign w:val="center"/>
          </w:tcPr>
          <w:p w:rsidR="003D285B" w:rsidRDefault="003D285B" w:rsidP="0029733A">
            <w:pPr>
              <w:rPr>
                <w:lang w:val="en-US"/>
              </w:rPr>
            </w:pPr>
            <w:r>
              <w:rPr>
                <w:lang w:val="en-US"/>
              </w:rPr>
              <w:t>July, 2015</w:t>
            </w:r>
          </w:p>
        </w:tc>
        <w:tc>
          <w:tcPr>
            <w:tcW w:w="648" w:type="pct"/>
            <w:shd w:val="clear" w:color="auto" w:fill="auto"/>
            <w:vAlign w:val="center"/>
          </w:tcPr>
          <w:p w:rsidR="003D285B" w:rsidRPr="008A62C1" w:rsidRDefault="003D285B" w:rsidP="0029733A">
            <w:pPr>
              <w:rPr>
                <w:lang w:val="en-US"/>
              </w:rPr>
            </w:pPr>
          </w:p>
        </w:tc>
        <w:tc>
          <w:tcPr>
            <w:tcW w:w="648" w:type="pct"/>
            <w:shd w:val="clear" w:color="auto" w:fill="auto"/>
            <w:vAlign w:val="center"/>
          </w:tcPr>
          <w:p w:rsidR="003D285B" w:rsidRPr="008A62C1" w:rsidRDefault="003D285B" w:rsidP="0029733A">
            <w:pPr>
              <w:rPr>
                <w:lang w:val="en-US"/>
              </w:rPr>
            </w:pPr>
          </w:p>
        </w:tc>
        <w:tc>
          <w:tcPr>
            <w:tcW w:w="2618" w:type="pct"/>
            <w:vAlign w:val="center"/>
          </w:tcPr>
          <w:p w:rsidR="003D285B" w:rsidRDefault="003D285B" w:rsidP="0029733A">
            <w:pPr>
              <w:rPr>
                <w:lang w:val="en-US"/>
              </w:rPr>
            </w:pPr>
            <w:r>
              <w:rPr>
                <w:lang w:val="en-US"/>
              </w:rPr>
              <w:t>Updated formatting to match current policy template; no content changes.</w:t>
            </w:r>
          </w:p>
        </w:tc>
      </w:tr>
      <w:tr w:rsidR="003D285B" w:rsidRPr="008A62C1" w:rsidTr="0029733A">
        <w:trPr>
          <w:cantSplit/>
          <w:trHeight w:val="288"/>
        </w:trPr>
        <w:tc>
          <w:tcPr>
            <w:tcW w:w="1086" w:type="pct"/>
            <w:shd w:val="clear" w:color="auto" w:fill="auto"/>
          </w:tcPr>
          <w:p w:rsidR="003D285B" w:rsidRDefault="003D285B" w:rsidP="0029733A">
            <w:pPr>
              <w:rPr>
                <w:lang w:val="en-US"/>
              </w:rPr>
            </w:pPr>
            <w:r>
              <w:rPr>
                <w:lang w:val="en-US"/>
              </w:rPr>
              <w:t>January, 2016</w:t>
            </w:r>
          </w:p>
        </w:tc>
        <w:tc>
          <w:tcPr>
            <w:tcW w:w="648" w:type="pct"/>
            <w:shd w:val="clear" w:color="auto" w:fill="auto"/>
          </w:tcPr>
          <w:p w:rsidR="003D285B" w:rsidRPr="008A62C1" w:rsidRDefault="003D285B" w:rsidP="0029733A">
            <w:pPr>
              <w:jc w:val="center"/>
              <w:rPr>
                <w:lang w:val="en-US"/>
              </w:rPr>
            </w:pPr>
            <w:r>
              <w:rPr>
                <w:lang w:val="en-US"/>
              </w:rPr>
              <w:t>X</w:t>
            </w:r>
          </w:p>
        </w:tc>
        <w:tc>
          <w:tcPr>
            <w:tcW w:w="648" w:type="pct"/>
            <w:shd w:val="clear" w:color="auto" w:fill="auto"/>
          </w:tcPr>
          <w:p w:rsidR="003D285B" w:rsidRPr="008A62C1" w:rsidRDefault="003D285B" w:rsidP="0029733A">
            <w:pPr>
              <w:jc w:val="center"/>
              <w:rPr>
                <w:lang w:val="en-US"/>
              </w:rPr>
            </w:pPr>
          </w:p>
        </w:tc>
        <w:tc>
          <w:tcPr>
            <w:tcW w:w="2618" w:type="pct"/>
          </w:tcPr>
          <w:p w:rsidR="003D285B" w:rsidRDefault="003D285B" w:rsidP="0029733A">
            <w:pPr>
              <w:rPr>
                <w:lang w:val="en-US"/>
              </w:rPr>
            </w:pPr>
          </w:p>
        </w:tc>
      </w:tr>
    </w:tbl>
    <w:p w:rsidR="008A62C1" w:rsidRPr="003D285B" w:rsidRDefault="008A62C1" w:rsidP="003D285B"/>
    <w:sectPr w:rsidR="008A62C1" w:rsidRPr="003D285B" w:rsidSect="008A62C1">
      <w:footerReference w:type="default" r:id="rId11"/>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E7" w:rsidRDefault="001F39E7" w:rsidP="001F39E7">
      <w:r>
        <w:separator/>
      </w:r>
    </w:p>
  </w:endnote>
  <w:endnote w:type="continuationSeparator" w:id="0">
    <w:p w:rsidR="001F39E7" w:rsidRDefault="001F39E7" w:rsidP="001F3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E7" w:rsidRDefault="00B44D81">
    <w:pPr>
      <w:pStyle w:val="Footer"/>
    </w:pPr>
    <w:fldSimple w:instr=" FILENAME   \* MERGEFORMAT ">
      <w:r w:rsidR="001F39E7">
        <w:rPr>
          <w:noProof/>
          <w:sz w:val="20"/>
          <w:szCs w:val="20"/>
          <w:lang w:val="en-US"/>
        </w:rPr>
        <w:t>Battery Disposal.docx</w:t>
      </w:r>
    </w:fldSimple>
    <w:r w:rsidR="001F39E7" w:rsidRPr="001F39E7">
      <w:rPr>
        <w:sz w:val="20"/>
        <w:szCs w:val="20"/>
        <w:lang w:val="en-US"/>
      </w:rPr>
      <w:tab/>
      <w:t xml:space="preserve">Page </w:t>
    </w:r>
    <w:r w:rsidRPr="001F39E7">
      <w:rPr>
        <w:sz w:val="20"/>
        <w:szCs w:val="20"/>
        <w:lang w:val="en-US"/>
      </w:rPr>
      <w:fldChar w:fldCharType="begin"/>
    </w:r>
    <w:r w:rsidR="001F39E7" w:rsidRPr="001F39E7">
      <w:rPr>
        <w:sz w:val="20"/>
        <w:szCs w:val="20"/>
        <w:lang w:val="en-US"/>
      </w:rPr>
      <w:instrText xml:space="preserve"> PAGE   \* MERGEFORMAT </w:instrText>
    </w:r>
    <w:r w:rsidRPr="001F39E7">
      <w:rPr>
        <w:sz w:val="20"/>
        <w:szCs w:val="20"/>
        <w:lang w:val="en-US"/>
      </w:rPr>
      <w:fldChar w:fldCharType="separate"/>
    </w:r>
    <w:r w:rsidR="00B11E4F">
      <w:rPr>
        <w:noProof/>
        <w:sz w:val="20"/>
        <w:szCs w:val="20"/>
        <w:lang w:val="en-US"/>
      </w:rPr>
      <w:t>1</w:t>
    </w:r>
    <w:r w:rsidRPr="001F39E7">
      <w:rPr>
        <w:sz w:val="20"/>
        <w:szCs w:val="20"/>
        <w:lang w:val="en-US"/>
      </w:rPr>
      <w:fldChar w:fldCharType="end"/>
    </w:r>
    <w:r w:rsidR="001F39E7" w:rsidRPr="001F39E7">
      <w:rPr>
        <w:sz w:val="20"/>
        <w:szCs w:val="20"/>
        <w:lang w:val="en-US"/>
      </w:rPr>
      <w:t xml:space="preserve"> of </w:t>
    </w:r>
    <w:fldSimple w:instr=" NUMPAGES   \* MERGEFORMAT ">
      <w:r w:rsidR="00B11E4F">
        <w:rPr>
          <w:noProof/>
          <w:sz w:val="20"/>
          <w:szCs w:val="20"/>
          <w:lang w:val="en-US"/>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E7" w:rsidRDefault="001F39E7" w:rsidP="001F39E7">
      <w:r>
        <w:separator/>
      </w:r>
    </w:p>
  </w:footnote>
  <w:footnote w:type="continuationSeparator" w:id="0">
    <w:p w:rsidR="001F39E7" w:rsidRDefault="001F39E7" w:rsidP="001F3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42C75"/>
    <w:multiLevelType w:val="multilevel"/>
    <w:tmpl w:val="716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2309"/>
    <w:rsid w:val="001F39E7"/>
    <w:rsid w:val="00242309"/>
    <w:rsid w:val="003D285B"/>
    <w:rsid w:val="005B4903"/>
    <w:rsid w:val="008A62C1"/>
    <w:rsid w:val="008B3935"/>
    <w:rsid w:val="00B11E4F"/>
    <w:rsid w:val="00B4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C1"/>
    <w:rPr>
      <w:rFonts w:ascii="Times New Roman" w:eastAsia="Times New Roman" w:hAnsi="Times New Roman"/>
      <w:sz w:val="24"/>
      <w:szCs w:val="24"/>
      <w:lang/>
    </w:rPr>
  </w:style>
  <w:style w:type="paragraph" w:styleId="Heading1">
    <w:name w:val="heading 1"/>
    <w:basedOn w:val="Normal"/>
    <w:link w:val="Heading1Char"/>
    <w:uiPriority w:val="9"/>
    <w:qFormat/>
    <w:rsid w:val="008A62C1"/>
    <w:pPr>
      <w:outlineLvl w:val="0"/>
    </w:pPr>
    <w:rPr>
      <w:b/>
      <w:bCs/>
    </w:rPr>
  </w:style>
  <w:style w:type="paragraph" w:styleId="Heading2">
    <w:name w:val="heading 2"/>
    <w:basedOn w:val="Normal"/>
    <w:link w:val="Heading2Char"/>
    <w:uiPriority w:val="9"/>
    <w:qFormat/>
    <w:rsid w:val="0024230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4230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C1"/>
    <w:rPr>
      <w:rFonts w:ascii="Times New Roman" w:eastAsia="Times New Roman" w:hAnsi="Times New Roman"/>
      <w:b/>
      <w:bCs/>
      <w:sz w:val="24"/>
      <w:szCs w:val="24"/>
      <w:lang/>
    </w:rPr>
  </w:style>
  <w:style w:type="character" w:customStyle="1" w:styleId="Heading2Char">
    <w:name w:val="Heading 2 Char"/>
    <w:basedOn w:val="DefaultParagraphFont"/>
    <w:link w:val="Heading2"/>
    <w:uiPriority w:val="9"/>
    <w:rsid w:val="00242309"/>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242309"/>
    <w:rPr>
      <w:rFonts w:ascii="Times New Roman" w:eastAsia="Times New Roman" w:hAnsi="Times New Roman"/>
      <w:b/>
      <w:bCs/>
      <w:sz w:val="27"/>
      <w:szCs w:val="27"/>
    </w:rPr>
  </w:style>
  <w:style w:type="character" w:styleId="Hyperlink">
    <w:name w:val="Hyperlink"/>
    <w:uiPriority w:val="99"/>
    <w:semiHidden/>
    <w:unhideWhenUsed/>
    <w:rsid w:val="00242309"/>
    <w:rPr>
      <w:color w:val="0000FF"/>
      <w:u w:val="single"/>
    </w:rPr>
  </w:style>
  <w:style w:type="paragraph" w:styleId="NormalWeb">
    <w:name w:val="Normal (Web)"/>
    <w:basedOn w:val="Normal"/>
    <w:uiPriority w:val="99"/>
    <w:unhideWhenUsed/>
    <w:rsid w:val="00242309"/>
    <w:pPr>
      <w:spacing w:before="100" w:beforeAutospacing="1" w:after="100" w:afterAutospacing="1"/>
    </w:pPr>
  </w:style>
  <w:style w:type="character" w:customStyle="1" w:styleId="toctoggle">
    <w:name w:val="toctoggle"/>
    <w:rsid w:val="00242309"/>
  </w:style>
  <w:style w:type="character" w:customStyle="1" w:styleId="tocnumber">
    <w:name w:val="tocnumber"/>
    <w:rsid w:val="00242309"/>
  </w:style>
  <w:style w:type="character" w:customStyle="1" w:styleId="toctext">
    <w:name w:val="toctext"/>
    <w:rsid w:val="00242309"/>
  </w:style>
  <w:style w:type="character" w:customStyle="1" w:styleId="mw-headline">
    <w:name w:val="mw-headline"/>
    <w:rsid w:val="00242309"/>
  </w:style>
  <w:style w:type="paragraph" w:styleId="Header">
    <w:name w:val="header"/>
    <w:basedOn w:val="Normal"/>
    <w:link w:val="HeaderChar"/>
    <w:uiPriority w:val="99"/>
    <w:unhideWhenUsed/>
    <w:rsid w:val="001F39E7"/>
    <w:pPr>
      <w:tabs>
        <w:tab w:val="center" w:pos="4680"/>
        <w:tab w:val="right" w:pos="9360"/>
      </w:tabs>
    </w:pPr>
  </w:style>
  <w:style w:type="character" w:customStyle="1" w:styleId="HeaderChar">
    <w:name w:val="Header Char"/>
    <w:basedOn w:val="DefaultParagraphFont"/>
    <w:link w:val="Header"/>
    <w:uiPriority w:val="99"/>
    <w:rsid w:val="001F39E7"/>
    <w:rPr>
      <w:rFonts w:ascii="Times New Roman" w:eastAsia="Times New Roman" w:hAnsi="Times New Roman"/>
      <w:sz w:val="24"/>
      <w:szCs w:val="24"/>
      <w:lang/>
    </w:rPr>
  </w:style>
  <w:style w:type="paragraph" w:styleId="Footer">
    <w:name w:val="footer"/>
    <w:basedOn w:val="Normal"/>
    <w:link w:val="FooterChar"/>
    <w:uiPriority w:val="99"/>
    <w:unhideWhenUsed/>
    <w:rsid w:val="001F39E7"/>
    <w:pPr>
      <w:tabs>
        <w:tab w:val="center" w:pos="4680"/>
        <w:tab w:val="right" w:pos="9360"/>
      </w:tabs>
    </w:pPr>
  </w:style>
  <w:style w:type="character" w:customStyle="1" w:styleId="FooterChar">
    <w:name w:val="Footer Char"/>
    <w:basedOn w:val="DefaultParagraphFont"/>
    <w:link w:val="Footer"/>
    <w:uiPriority w:val="99"/>
    <w:rsid w:val="001F39E7"/>
    <w:rPr>
      <w:rFonts w:ascii="Times New Roman" w:eastAsia="Times New Roman" w:hAnsi="Times New Roman"/>
      <w:sz w:val="24"/>
      <w:szCs w:val="24"/>
      <w:lang/>
    </w:rPr>
  </w:style>
</w:styles>
</file>

<file path=word/webSettings.xml><?xml version="1.0" encoding="utf-8"?>
<w:webSettings xmlns:r="http://schemas.openxmlformats.org/officeDocument/2006/relationships" xmlns:w="http://schemas.openxmlformats.org/wordprocessingml/2006/main">
  <w:divs>
    <w:div w:id="1494183227">
      <w:bodyDiv w:val="1"/>
      <w:marLeft w:val="0"/>
      <w:marRight w:val="0"/>
      <w:marTop w:val="0"/>
      <w:marBottom w:val="0"/>
      <w:divBdr>
        <w:top w:val="none" w:sz="0" w:space="0" w:color="auto"/>
        <w:left w:val="none" w:sz="0" w:space="0" w:color="auto"/>
        <w:bottom w:val="none" w:sz="0" w:space="0" w:color="auto"/>
        <w:right w:val="none" w:sz="0" w:space="0" w:color="auto"/>
      </w:divBdr>
      <w:divsChild>
        <w:div w:id="4554196">
          <w:marLeft w:val="0"/>
          <w:marRight w:val="0"/>
          <w:marTop w:val="0"/>
          <w:marBottom w:val="0"/>
          <w:divBdr>
            <w:top w:val="none" w:sz="0" w:space="0" w:color="auto"/>
            <w:left w:val="none" w:sz="0" w:space="0" w:color="auto"/>
            <w:bottom w:val="none" w:sz="0" w:space="0" w:color="auto"/>
            <w:right w:val="none" w:sz="0" w:space="0" w:color="auto"/>
          </w:divBdr>
          <w:divsChild>
            <w:div w:id="679430282">
              <w:marLeft w:val="0"/>
              <w:marRight w:val="0"/>
              <w:marTop w:val="0"/>
              <w:marBottom w:val="0"/>
              <w:divBdr>
                <w:top w:val="none" w:sz="0" w:space="0" w:color="auto"/>
                <w:left w:val="none" w:sz="0" w:space="0" w:color="auto"/>
                <w:bottom w:val="none" w:sz="0" w:space="0" w:color="auto"/>
                <w:right w:val="none" w:sz="0" w:space="0" w:color="auto"/>
              </w:divBdr>
              <w:divsChild>
                <w:div w:id="382294053">
                  <w:marLeft w:val="0"/>
                  <w:marRight w:val="0"/>
                  <w:marTop w:val="0"/>
                  <w:marBottom w:val="0"/>
                  <w:divBdr>
                    <w:top w:val="none" w:sz="0" w:space="0" w:color="auto"/>
                    <w:left w:val="none" w:sz="0" w:space="0" w:color="auto"/>
                    <w:bottom w:val="none" w:sz="0" w:space="0" w:color="auto"/>
                    <w:right w:val="none" w:sz="0" w:space="0" w:color="auto"/>
                  </w:divBdr>
                  <w:divsChild>
                    <w:div w:id="609123788">
                      <w:marLeft w:val="0"/>
                      <w:marRight w:val="0"/>
                      <w:marTop w:val="0"/>
                      <w:marBottom w:val="0"/>
                      <w:divBdr>
                        <w:top w:val="none" w:sz="0" w:space="0" w:color="auto"/>
                        <w:left w:val="none" w:sz="0" w:space="0" w:color="auto"/>
                        <w:bottom w:val="none" w:sz="0" w:space="0" w:color="auto"/>
                        <w:right w:val="none" w:sz="0" w:space="0" w:color="auto"/>
                      </w:divBdr>
                      <w:divsChild>
                        <w:div w:id="1331787630">
                          <w:marLeft w:val="0"/>
                          <w:marRight w:val="0"/>
                          <w:marTop w:val="0"/>
                          <w:marBottom w:val="0"/>
                          <w:divBdr>
                            <w:top w:val="none" w:sz="0" w:space="0" w:color="auto"/>
                            <w:left w:val="none" w:sz="0" w:space="0" w:color="auto"/>
                            <w:bottom w:val="none" w:sz="0" w:space="0" w:color="auto"/>
                            <w:right w:val="none" w:sz="0" w:space="0" w:color="auto"/>
                          </w:divBdr>
                        </w:div>
                        <w:div w:id="16100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fective_x0020_Date xmlns="e7e1f834-7a93-4d29-a99d-808b0de88d8f">2016-01-05T05:00:00+00:00</Effective_x0020_Date>
    <Approval_x0020_Council xmlns="e7e1f834-7a93-4d29-a99d-808b0de88d8f">Leadership Council</Approval_x0020_Council>
    <Dept_x0020_Responsible xmlns="e7e1f834-7a93-4d29-a99d-808b0de88d8f">Safety</Dept_x0020_Responsible>
    <Responsible_x0020_Person_x0020_Title xmlns="e7e1f834-7a93-4d29-a99d-808b0de88d8f">Safety Manager</Responsible_x0020_Person_x0020_Title>
    <Next_x0020_Review_x002f_Revision_x0020_Dt xmlns="e7e1f834-7a93-4d29-a99d-808b0de88d8f">2019-01-01T05:00:00+00:00</Next_x0020_Review_x002f_Revision_x0020_Dt>
    <Approval_x0020_Dt xmlns="e7e1f834-7a93-4d29-a99d-808b0de88d8f">2015-12-09T05:00:00+00:00</Approval_x0020_D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09C53273F9C4C95873B9FE2C6C1AC" ma:contentTypeVersion="7" ma:contentTypeDescription="Create a new document." ma:contentTypeScope="" ma:versionID="490482d3067c3955bd8de4904b39fc5a">
  <xsd:schema xmlns:xsd="http://www.w3.org/2001/XMLSchema" xmlns:xs="http://www.w3.org/2001/XMLSchema" xmlns:p="http://schemas.microsoft.com/office/2006/metadata/properties" xmlns:ns2="e7e1f834-7a93-4d29-a99d-808b0de88d8f" targetNamespace="http://schemas.microsoft.com/office/2006/metadata/properties" ma:root="true" ma:fieldsID="2f12678e8834a157b6abbc311f9094b2" ns2:_="">
    <xsd:import namespace="e7e1f834-7a93-4d29-a99d-808b0de88d8f"/>
    <xsd:element name="properties">
      <xsd:complexType>
        <xsd:sequence>
          <xsd:element name="documentManagement">
            <xsd:complexType>
              <xsd:all>
                <xsd:element ref="ns2:Dept_x0020_Responsible"/>
                <xsd:element ref="ns2:Responsible_x0020_Person_x0020_Title"/>
                <xsd:element ref="ns2:Approval_x0020_Council"/>
                <xsd:element ref="ns2:Effective_x0020_Date"/>
                <xsd:element ref="ns2:Next_x0020_Review_x002f_Revision_x0020_Dt"/>
                <xsd:element ref="ns2:Approval_x0020_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1f834-7a93-4d29-a99d-808b0de88d8f" elementFormDefault="qualified">
    <xsd:import namespace="http://schemas.microsoft.com/office/2006/documentManagement/types"/>
    <xsd:import namespace="http://schemas.microsoft.com/office/infopath/2007/PartnerControls"/>
    <xsd:element name="Dept_x0020_Responsible" ma:index="9" ma:displayName="Dept Responsible" ma:internalName="Dept_x0020_Responsible">
      <xsd:simpleType>
        <xsd:restriction base="dms:Text">
          <xsd:maxLength value="255"/>
        </xsd:restriction>
      </xsd:simpleType>
    </xsd:element>
    <xsd:element name="Responsible_x0020_Person_x0020_Title" ma:index="10" ma:displayName="Responsible Person Title" ma:internalName="Responsible_x0020_Person_x0020_Title">
      <xsd:simpleType>
        <xsd:restriction base="dms:Text">
          <xsd:maxLength value="255"/>
        </xsd:restriction>
      </xsd:simpleType>
    </xsd:element>
    <xsd:element name="Approval_x0020_Council" ma:index="11" ma:displayName="Approval Council" ma:internalName="Approval_x0020_Council">
      <xsd:simpleType>
        <xsd:restriction base="dms:Text">
          <xsd:maxLength value="255"/>
        </xsd:restriction>
      </xsd:simpleType>
    </xsd:element>
    <xsd:element name="Effective_x0020_Date" ma:index="12" ma:displayName="Effective Date" ma:format="DateOnly" ma:internalName="Effective_x0020_Date">
      <xsd:simpleType>
        <xsd:restriction base="dms:DateTime"/>
      </xsd:simpleType>
    </xsd:element>
    <xsd:element name="Next_x0020_Review_x002f_Revision_x0020_Dt" ma:index="13" ma:displayName="Next Review/Revision Dt" ma:format="DateOnly" ma:internalName="Next_x0020_Review_x002f_Revision_x0020_Dt">
      <xsd:simpleType>
        <xsd:restriction base="dms:DateTime"/>
      </xsd:simpleType>
    </xsd:element>
    <xsd:element name="Approval_x0020_Dt" ma:index="14" nillable="true" ma:displayName="Approval Dt" ma:format="DateOnly" ma:internalName="Approval_x0020_D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8F70-F634-42F4-A9DA-5D8D566E7108}">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7e1f834-7a93-4d29-a99d-808b0de88d8f"/>
    <ds:schemaRef ds:uri="http://www.w3.org/XML/1998/namespace"/>
  </ds:schemaRefs>
</ds:datastoreItem>
</file>

<file path=customXml/itemProps2.xml><?xml version="1.0" encoding="utf-8"?>
<ds:datastoreItem xmlns:ds="http://schemas.openxmlformats.org/officeDocument/2006/customXml" ds:itemID="{5E0E689F-75E7-4405-8D18-DE930A13A793}">
  <ds:schemaRefs>
    <ds:schemaRef ds:uri="http://schemas.microsoft.com/sharepoint/v3/contenttype/forms"/>
  </ds:schemaRefs>
</ds:datastoreItem>
</file>

<file path=customXml/itemProps3.xml><?xml version="1.0" encoding="utf-8"?>
<ds:datastoreItem xmlns:ds="http://schemas.openxmlformats.org/officeDocument/2006/customXml" ds:itemID="{D0A2B08D-F99B-4F6F-8FA5-61E3B03B3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1f834-7a93-4d29-a99d-808b0de88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Company>Cone Health</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 Disposal</dc:title>
  <dc:creator>Hart, Laura</dc:creator>
  <cp:lastModifiedBy>farmjace</cp:lastModifiedBy>
  <cp:revision>2</cp:revision>
  <dcterms:created xsi:type="dcterms:W3CDTF">2016-01-12T12:52:00Z</dcterms:created>
  <dcterms:modified xsi:type="dcterms:W3CDTF">2016-01-12T12:52:00Z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0x01010085A09C53273F9C4C95873B9FE2C6C1AC</vt:lpwstr>
  </property>
</Properties>
</file>