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0616A" w14:textId="77777777" w:rsidR="004C3BBF" w:rsidRPr="004A2D06" w:rsidRDefault="00903BE1" w:rsidP="00921FF3">
      <w:pPr>
        <w:pStyle w:val="Header"/>
        <w:pBdr>
          <w:top w:val="single" w:sz="6" w:space="1" w:color="auto"/>
          <w:left w:val="single" w:sz="6" w:space="1" w:color="auto"/>
          <w:bottom w:val="single" w:sz="36" w:space="1" w:color="auto"/>
          <w:right w:val="single" w:sz="36" w:space="1" w:color="auto"/>
        </w:pBd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BODY FLUIDS </w:t>
      </w:r>
      <w:r w:rsidR="008566F6">
        <w:rPr>
          <w:rFonts w:ascii="Arial" w:hAnsi="Arial" w:cs="Arial"/>
        </w:rPr>
        <w:t xml:space="preserve">PROCESSING </w:t>
      </w:r>
      <w:r>
        <w:rPr>
          <w:rFonts w:ascii="Arial" w:hAnsi="Arial" w:cs="Arial"/>
        </w:rPr>
        <w:t>FOR CYTOLOGY</w:t>
      </w:r>
    </w:p>
    <w:p w14:paraId="1420616B" w14:textId="77777777" w:rsidR="004C3BBF" w:rsidRDefault="004C3BBF" w:rsidP="00921FF3">
      <w:pPr>
        <w:rPr>
          <w:rFonts w:ascii="Arial" w:hAnsi="Arial" w:cs="Arial"/>
          <w:b w:val="0"/>
        </w:rPr>
      </w:pPr>
    </w:p>
    <w:p w14:paraId="1420616C" w14:textId="77777777" w:rsidR="003C3289" w:rsidRPr="004C3BBF" w:rsidRDefault="003C3289" w:rsidP="00921FF3">
      <w:pPr>
        <w:rPr>
          <w:rFonts w:ascii="Arial" w:hAnsi="Arial" w:cs="Arial"/>
        </w:rPr>
      </w:pPr>
    </w:p>
    <w:p w14:paraId="1420616D" w14:textId="77777777" w:rsidR="00700730" w:rsidRDefault="00700730" w:rsidP="00921FF3">
      <w:pPr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BACKGROUND</w:t>
      </w:r>
      <w:r w:rsidRPr="00057F2C">
        <w:rPr>
          <w:rFonts w:ascii="Arial" w:hAnsi="Arial" w:cs="Arial"/>
          <w:b w:val="0"/>
        </w:rPr>
        <w:t>:</w:t>
      </w:r>
      <w:r w:rsidR="00C74962">
        <w:rPr>
          <w:rFonts w:ascii="Arial" w:hAnsi="Arial" w:cs="Arial"/>
          <w:b w:val="0"/>
        </w:rPr>
        <w:t xml:space="preserve"> </w:t>
      </w:r>
      <w:r w:rsidR="006E2E4F">
        <w:rPr>
          <w:rFonts w:ascii="Arial" w:hAnsi="Arial" w:cs="Arial"/>
          <w:b w:val="0"/>
        </w:rPr>
        <w:t xml:space="preserve">Body fluids collected from the pleural, peritoneal or pelvic cavities are often split between the ARMC clinical lab and LabCorp cytology.  </w:t>
      </w:r>
      <w:r w:rsidR="004C1E19">
        <w:rPr>
          <w:rFonts w:ascii="Arial" w:hAnsi="Arial" w:cs="Arial"/>
          <w:b w:val="0"/>
        </w:rPr>
        <w:t>Correlation of the results from each lab is</w:t>
      </w:r>
      <w:r w:rsidR="006E2E4F">
        <w:rPr>
          <w:rFonts w:ascii="Arial" w:hAnsi="Arial" w:cs="Arial"/>
          <w:b w:val="0"/>
        </w:rPr>
        <w:t xml:space="preserve"> needed.  The purpose of this procedure is to outline a process to ensure correlation between the Wright stain and cytology slides and to provide additional diagnostic material</w:t>
      </w:r>
      <w:r w:rsidR="0093264B">
        <w:rPr>
          <w:rFonts w:ascii="Arial" w:hAnsi="Arial" w:cs="Arial"/>
          <w:b w:val="0"/>
        </w:rPr>
        <w:t>.</w:t>
      </w:r>
      <w:r w:rsidR="006E2E4F">
        <w:rPr>
          <w:rFonts w:ascii="Arial" w:hAnsi="Arial" w:cs="Arial"/>
          <w:b w:val="0"/>
        </w:rPr>
        <w:t xml:space="preserve"> </w:t>
      </w:r>
    </w:p>
    <w:p w14:paraId="1420616E" w14:textId="77777777" w:rsidR="00DB7CA0" w:rsidRPr="00057F2C" w:rsidRDefault="00DB7CA0" w:rsidP="00921FF3">
      <w:pPr>
        <w:rPr>
          <w:rFonts w:ascii="Arial" w:hAnsi="Arial" w:cs="Arial"/>
          <w:b w:val="0"/>
        </w:rPr>
      </w:pPr>
    </w:p>
    <w:p w14:paraId="1420616F" w14:textId="77777777" w:rsidR="005753D4" w:rsidRDefault="00FB3070" w:rsidP="00921FF3">
      <w:pPr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SCOPE</w:t>
      </w:r>
      <w:r w:rsidRPr="00057F2C">
        <w:rPr>
          <w:rFonts w:ascii="Arial" w:hAnsi="Arial" w:cs="Arial"/>
          <w:b w:val="0"/>
        </w:rPr>
        <w:t>:</w:t>
      </w:r>
      <w:r w:rsidR="004A2D06" w:rsidRPr="00057F2C">
        <w:rPr>
          <w:rFonts w:ascii="Arial" w:hAnsi="Arial" w:cs="Arial"/>
          <w:b w:val="0"/>
        </w:rPr>
        <w:t xml:space="preserve"> </w:t>
      </w:r>
      <w:r w:rsidR="00903BE1">
        <w:rPr>
          <w:rFonts w:ascii="Arial" w:hAnsi="Arial" w:cs="Arial"/>
          <w:b w:val="0"/>
        </w:rPr>
        <w:t>This procedure applies to all pleural, peritoneal/</w:t>
      </w:r>
      <w:r w:rsidR="004C1E19">
        <w:rPr>
          <w:rFonts w:ascii="Arial" w:hAnsi="Arial" w:cs="Arial"/>
          <w:b w:val="0"/>
        </w:rPr>
        <w:t>abdominal</w:t>
      </w:r>
      <w:r w:rsidR="00903BE1">
        <w:rPr>
          <w:rFonts w:ascii="Arial" w:hAnsi="Arial" w:cs="Arial"/>
          <w:b w:val="0"/>
        </w:rPr>
        <w:t xml:space="preserve"> and pelvic fluids submitted for </w:t>
      </w:r>
      <w:r w:rsidR="004C1E19">
        <w:rPr>
          <w:rFonts w:ascii="Arial" w:hAnsi="Arial" w:cs="Arial"/>
          <w:b w:val="0"/>
        </w:rPr>
        <w:t>cytological</w:t>
      </w:r>
      <w:r w:rsidR="00903BE1">
        <w:rPr>
          <w:rFonts w:ascii="Arial" w:hAnsi="Arial" w:cs="Arial"/>
          <w:b w:val="0"/>
        </w:rPr>
        <w:t xml:space="preserve"> review and diagnosis at ARMC.  </w:t>
      </w:r>
      <w:r w:rsidR="006E2E4F">
        <w:rPr>
          <w:rFonts w:ascii="Arial" w:hAnsi="Arial" w:cs="Arial"/>
          <w:b w:val="0"/>
        </w:rPr>
        <w:t>An</w:t>
      </w:r>
      <w:r w:rsidR="00903BE1">
        <w:rPr>
          <w:rFonts w:ascii="Arial" w:hAnsi="Arial" w:cs="Arial"/>
          <w:b w:val="0"/>
        </w:rPr>
        <w:t xml:space="preserve"> order for a cell count </w:t>
      </w:r>
      <w:r w:rsidR="006E2E4F">
        <w:rPr>
          <w:rFonts w:ascii="Arial" w:hAnsi="Arial" w:cs="Arial"/>
          <w:b w:val="0"/>
        </w:rPr>
        <w:t xml:space="preserve">may </w:t>
      </w:r>
      <w:r w:rsidR="00903BE1">
        <w:rPr>
          <w:rFonts w:ascii="Arial" w:hAnsi="Arial" w:cs="Arial"/>
          <w:b w:val="0"/>
        </w:rPr>
        <w:t>also accompan</w:t>
      </w:r>
      <w:r w:rsidR="006E2E4F">
        <w:rPr>
          <w:rFonts w:ascii="Arial" w:hAnsi="Arial" w:cs="Arial"/>
          <w:b w:val="0"/>
        </w:rPr>
        <w:t>y</w:t>
      </w:r>
      <w:r w:rsidR="00903BE1">
        <w:rPr>
          <w:rFonts w:ascii="Arial" w:hAnsi="Arial" w:cs="Arial"/>
          <w:b w:val="0"/>
        </w:rPr>
        <w:t xml:space="preserve"> these specimens and the fluid is split between the ARMC clinical lab and LabCorp cytology.</w:t>
      </w:r>
    </w:p>
    <w:p w14:paraId="14206170" w14:textId="77777777" w:rsidR="00DB7CA0" w:rsidRPr="00057F2C" w:rsidRDefault="00DB7CA0" w:rsidP="00921FF3">
      <w:pPr>
        <w:rPr>
          <w:rFonts w:ascii="Arial" w:hAnsi="Arial" w:cs="Arial"/>
          <w:b w:val="0"/>
        </w:rPr>
      </w:pPr>
    </w:p>
    <w:p w14:paraId="14206171" w14:textId="77777777" w:rsidR="00DB7CA0" w:rsidRPr="00903BE1" w:rsidRDefault="00FB3070" w:rsidP="00C74962">
      <w:pPr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POLICY</w:t>
      </w:r>
      <w:r w:rsidRPr="00057F2C">
        <w:rPr>
          <w:rFonts w:ascii="Arial" w:hAnsi="Arial" w:cs="Arial"/>
          <w:b w:val="0"/>
        </w:rPr>
        <w:t>:</w:t>
      </w:r>
      <w:r w:rsidR="00C74962">
        <w:rPr>
          <w:rFonts w:ascii="Arial" w:hAnsi="Arial" w:cs="Arial"/>
          <w:b w:val="0"/>
        </w:rPr>
        <w:t xml:space="preserve"> </w:t>
      </w:r>
      <w:r w:rsidR="00E14ADE">
        <w:rPr>
          <w:rFonts w:ascii="Arial" w:hAnsi="Arial" w:cs="Arial"/>
          <w:b w:val="0"/>
        </w:rPr>
        <w:t>All pleural, peritoneal/abdominal and pelvic fluids submitted for cytology processing at LabCorp will also have</w:t>
      </w:r>
      <w:r w:rsidR="00E1200C">
        <w:rPr>
          <w:rFonts w:ascii="Arial" w:hAnsi="Arial" w:cs="Arial"/>
          <w:b w:val="0"/>
        </w:rPr>
        <w:t xml:space="preserve"> a smear with a</w:t>
      </w:r>
      <w:r w:rsidR="00E14ADE">
        <w:rPr>
          <w:rFonts w:ascii="Arial" w:hAnsi="Arial" w:cs="Arial"/>
          <w:b w:val="0"/>
        </w:rPr>
        <w:t xml:space="preserve"> Wright stain prepared by the ARMC clinica</w:t>
      </w:r>
      <w:r w:rsidR="00E1200C">
        <w:rPr>
          <w:rFonts w:ascii="Arial" w:hAnsi="Arial" w:cs="Arial"/>
          <w:b w:val="0"/>
        </w:rPr>
        <w:t>l</w:t>
      </w:r>
      <w:r w:rsidR="00E14ADE">
        <w:rPr>
          <w:rFonts w:ascii="Arial" w:hAnsi="Arial" w:cs="Arial"/>
          <w:b w:val="0"/>
        </w:rPr>
        <w:t xml:space="preserve"> lab prior to being sent to LabCorp for processing.</w:t>
      </w:r>
      <w:r w:rsidR="00E1200C">
        <w:rPr>
          <w:rFonts w:ascii="Arial" w:hAnsi="Arial" w:cs="Arial"/>
          <w:b w:val="0"/>
        </w:rPr>
        <w:t xml:space="preserve">  </w:t>
      </w:r>
      <w:r w:rsidR="0001204A">
        <w:rPr>
          <w:rFonts w:ascii="Arial" w:hAnsi="Arial" w:cs="Arial"/>
          <w:b w:val="0"/>
        </w:rPr>
        <w:t>TV/SMR</w:t>
      </w:r>
      <w:r w:rsidR="004C1E19">
        <w:rPr>
          <w:rFonts w:ascii="Arial" w:hAnsi="Arial" w:cs="Arial"/>
          <w:b w:val="0"/>
        </w:rPr>
        <w:t xml:space="preserve">, which prompts for the total estimate volume received and preparation of a Wright stain smear is attached to LCA cytology orders </w:t>
      </w:r>
      <w:r w:rsidR="0001204A">
        <w:rPr>
          <w:rFonts w:ascii="Arial" w:hAnsi="Arial" w:cs="Arial"/>
          <w:b w:val="0"/>
        </w:rPr>
        <w:t>9050</w:t>
      </w:r>
      <w:r w:rsidR="004C1E19">
        <w:rPr>
          <w:rFonts w:ascii="Arial" w:hAnsi="Arial" w:cs="Arial"/>
          <w:b w:val="0"/>
        </w:rPr>
        <w:t xml:space="preserve">, </w:t>
      </w:r>
      <w:r w:rsidR="0001204A">
        <w:rPr>
          <w:rFonts w:ascii="Arial" w:hAnsi="Arial" w:cs="Arial"/>
          <w:b w:val="0"/>
        </w:rPr>
        <w:t>9043</w:t>
      </w:r>
      <w:r w:rsidR="004C1E19">
        <w:rPr>
          <w:rFonts w:ascii="Arial" w:hAnsi="Arial" w:cs="Arial"/>
          <w:b w:val="0"/>
        </w:rPr>
        <w:t xml:space="preserve">, </w:t>
      </w:r>
      <w:r w:rsidR="004C72C8">
        <w:rPr>
          <w:rFonts w:ascii="Arial" w:hAnsi="Arial" w:cs="Arial"/>
          <w:b w:val="0"/>
        </w:rPr>
        <w:t>and 9159</w:t>
      </w:r>
      <w:r w:rsidR="004C1E19">
        <w:rPr>
          <w:rFonts w:ascii="Arial" w:hAnsi="Arial" w:cs="Arial"/>
          <w:b w:val="0"/>
        </w:rPr>
        <w:t>.</w:t>
      </w:r>
    </w:p>
    <w:p w14:paraId="14206172" w14:textId="77777777" w:rsidR="00DB7CA0" w:rsidRDefault="00DB7CA0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14206173" w14:textId="77777777" w:rsidR="00700730" w:rsidRDefault="00700730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DEFINITION</w:t>
      </w:r>
      <w:r w:rsidRPr="00057F2C">
        <w:rPr>
          <w:rFonts w:ascii="Arial" w:hAnsi="Arial" w:cs="Arial"/>
          <w:b w:val="0"/>
        </w:rPr>
        <w:t>:</w:t>
      </w:r>
    </w:p>
    <w:p w14:paraId="14206174" w14:textId="77777777" w:rsidR="00700730" w:rsidRDefault="00E14ADE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Pleural fluids</w:t>
      </w:r>
      <w:r w:rsidR="00E1200C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- may </w:t>
      </w:r>
      <w:r w:rsidR="006E2E4F">
        <w:rPr>
          <w:rFonts w:ascii="Arial" w:hAnsi="Arial" w:cs="Arial"/>
          <w:b w:val="0"/>
        </w:rPr>
        <w:t xml:space="preserve">also </w:t>
      </w:r>
      <w:r>
        <w:rPr>
          <w:rFonts w:ascii="Arial" w:hAnsi="Arial" w:cs="Arial"/>
          <w:b w:val="0"/>
        </w:rPr>
        <w:t>be labeled as thoracentesis</w:t>
      </w:r>
    </w:p>
    <w:p w14:paraId="14206175" w14:textId="77777777" w:rsidR="00E14ADE" w:rsidRDefault="00E14ADE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76" w14:textId="77777777" w:rsidR="00E14ADE" w:rsidRDefault="00E1200C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Peritoneal/</w:t>
      </w:r>
      <w:r w:rsidR="00922B40">
        <w:rPr>
          <w:rFonts w:ascii="Arial" w:hAnsi="Arial" w:cs="Arial"/>
          <w:b w:val="0"/>
        </w:rPr>
        <w:t>Abdominal fluids</w:t>
      </w:r>
      <w:r>
        <w:rPr>
          <w:rFonts w:ascii="Arial" w:hAnsi="Arial" w:cs="Arial"/>
          <w:b w:val="0"/>
        </w:rPr>
        <w:t xml:space="preserve"> - may </w:t>
      </w:r>
      <w:r w:rsidR="006E2E4F">
        <w:rPr>
          <w:rFonts w:ascii="Arial" w:hAnsi="Arial" w:cs="Arial"/>
          <w:b w:val="0"/>
        </w:rPr>
        <w:t xml:space="preserve">also </w:t>
      </w:r>
      <w:r>
        <w:rPr>
          <w:rFonts w:ascii="Arial" w:hAnsi="Arial" w:cs="Arial"/>
          <w:b w:val="0"/>
        </w:rPr>
        <w:t>be labeled paracentesis</w:t>
      </w:r>
      <w:r w:rsidR="008B6C79">
        <w:rPr>
          <w:rFonts w:ascii="Arial" w:hAnsi="Arial" w:cs="Arial"/>
          <w:b w:val="0"/>
        </w:rPr>
        <w:t xml:space="preserve"> or ascites fluid</w:t>
      </w:r>
    </w:p>
    <w:p w14:paraId="14206177" w14:textId="77777777" w:rsidR="00E14ADE" w:rsidRDefault="00E14ADE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78" w14:textId="77777777" w:rsidR="00E466DA" w:rsidRPr="00057F2C" w:rsidRDefault="00E466DA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EQUIPMENT AND MATERIALS</w:t>
      </w:r>
      <w:r w:rsidRPr="00057F2C">
        <w:rPr>
          <w:rFonts w:ascii="Arial" w:hAnsi="Arial" w:cs="Arial"/>
          <w:b w:val="0"/>
        </w:rPr>
        <w:t>:</w:t>
      </w:r>
    </w:p>
    <w:p w14:paraId="14206179" w14:textId="77777777" w:rsidR="00E466DA" w:rsidRDefault="008B6C7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Fluid Log Sheet (Supplemental Materials #1)</w:t>
      </w:r>
    </w:p>
    <w:p w14:paraId="1420617A" w14:textId="77777777" w:rsidR="008B6C79" w:rsidRDefault="008B6C7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Body Fluid Worksheet (Supplemental Materials #2)</w:t>
      </w:r>
    </w:p>
    <w:p w14:paraId="1420617B" w14:textId="77777777" w:rsidR="008B6C79" w:rsidRDefault="008B6C7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Pathology Body Fluid Specimen Log (Supplemental Materials #3)</w:t>
      </w:r>
    </w:p>
    <w:p w14:paraId="1420617C" w14:textId="77777777" w:rsidR="004C72C8" w:rsidRPr="00057F2C" w:rsidRDefault="004C72C8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Body Fluid Type Reference Guide (Supplemental Materials #4)</w:t>
      </w:r>
    </w:p>
    <w:p w14:paraId="1420617D" w14:textId="77777777" w:rsidR="00E466DA" w:rsidRPr="00057F2C" w:rsidRDefault="00E466DA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7E" w14:textId="77777777" w:rsidR="00E466DA" w:rsidRPr="00057F2C" w:rsidRDefault="00164624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PROCEDURE</w:t>
      </w:r>
      <w:r w:rsidR="00E466DA" w:rsidRPr="00057F2C">
        <w:rPr>
          <w:rFonts w:ascii="Arial" w:hAnsi="Arial" w:cs="Arial"/>
          <w:b w:val="0"/>
        </w:rPr>
        <w:t>:</w:t>
      </w:r>
    </w:p>
    <w:p w14:paraId="1420617F" w14:textId="77777777" w:rsidR="008B6C79" w:rsidRDefault="008B6C79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Fluids are submitted to the clinical lab and logged into the "Fluid Log Sheet" (Supplemental Materials #1) in the accessioning area.  </w:t>
      </w:r>
    </w:p>
    <w:p w14:paraId="14206180" w14:textId="77777777" w:rsidR="00D460EC" w:rsidRDefault="00D460EC" w:rsidP="00D460E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81" w14:textId="77777777" w:rsidR="008B6C79" w:rsidRDefault="008B6C79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 clinical lab</w:t>
      </w:r>
      <w:r w:rsidR="00E1200C" w:rsidRPr="00AD2781">
        <w:rPr>
          <w:rFonts w:ascii="Arial" w:hAnsi="Arial" w:cs="Arial"/>
          <w:b w:val="0"/>
        </w:rPr>
        <w:t xml:space="preserve"> </w:t>
      </w:r>
      <w:r w:rsidR="00AD2781" w:rsidRPr="00AD2781">
        <w:rPr>
          <w:rFonts w:ascii="Arial" w:hAnsi="Arial" w:cs="Arial"/>
          <w:b w:val="0"/>
        </w:rPr>
        <w:t>staff will verify the orders</w:t>
      </w:r>
      <w:r>
        <w:rPr>
          <w:rFonts w:ascii="Arial" w:hAnsi="Arial" w:cs="Arial"/>
          <w:b w:val="0"/>
        </w:rPr>
        <w:t xml:space="preserve"> and if needed, enters orders</w:t>
      </w:r>
      <w:r w:rsidR="00AD2781" w:rsidRPr="00AD2781">
        <w:rPr>
          <w:rFonts w:ascii="Arial" w:hAnsi="Arial" w:cs="Arial"/>
          <w:b w:val="0"/>
        </w:rPr>
        <w:t xml:space="preserve"> </w:t>
      </w:r>
      <w:r w:rsidR="007E78C1">
        <w:rPr>
          <w:rFonts w:ascii="Arial" w:hAnsi="Arial" w:cs="Arial"/>
          <w:b w:val="0"/>
        </w:rPr>
        <w:t>in</w:t>
      </w:r>
      <w:r>
        <w:rPr>
          <w:rFonts w:ascii="Arial" w:hAnsi="Arial" w:cs="Arial"/>
          <w:b w:val="0"/>
        </w:rPr>
        <w:t>to</w:t>
      </w:r>
      <w:r w:rsidR="007E78C1">
        <w:rPr>
          <w:rFonts w:ascii="Arial" w:hAnsi="Arial" w:cs="Arial"/>
          <w:b w:val="0"/>
        </w:rPr>
        <w:t xml:space="preserve"> the clinical lab LIS. </w:t>
      </w:r>
    </w:p>
    <w:p w14:paraId="14206182" w14:textId="77777777" w:rsidR="0007578B" w:rsidRDefault="0007578B" w:rsidP="0007578B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When placing an order specimen in hand:</w:t>
      </w:r>
    </w:p>
    <w:p w14:paraId="14206183" w14:textId="77777777" w:rsidR="0007578B" w:rsidRDefault="0007578B" w:rsidP="0007578B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Place the order as normal</w:t>
      </w:r>
    </w:p>
    <w:p w14:paraId="14206184" w14:textId="77777777" w:rsidR="0007578B" w:rsidRDefault="0007578B" w:rsidP="0007578B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On line 19, "Clinical Info [    ]": Enter the estimated total volume (see Figure 1) </w:t>
      </w:r>
    </w:p>
    <w:p w14:paraId="14206185" w14:textId="77777777" w:rsidR="00C74962" w:rsidRDefault="00C74962" w:rsidP="00C749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86" w14:textId="77777777" w:rsidR="00C74962" w:rsidRDefault="00C74962" w:rsidP="00C749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87" w14:textId="77777777" w:rsidR="00C74962" w:rsidRDefault="00C74962" w:rsidP="00C749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88" w14:textId="77777777" w:rsidR="00C74962" w:rsidRDefault="00C74962" w:rsidP="00C749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89" w14:textId="77777777" w:rsidR="00C74962" w:rsidRPr="00C74962" w:rsidRDefault="00C74962" w:rsidP="00C749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8A" w14:textId="77777777" w:rsidR="00D460EC" w:rsidRDefault="00D460EC" w:rsidP="00D460E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180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Figure 1</w:t>
      </w:r>
    </w:p>
    <w:p w14:paraId="1420618B" w14:textId="77777777" w:rsidR="0007578B" w:rsidRDefault="00D92A24" w:rsidP="0007578B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180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142062B3" wp14:editId="142062B4">
            <wp:extent cx="5943600" cy="307671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ytology TV Smear - Specimen in hand or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618C" w14:textId="77777777" w:rsidR="0007578B" w:rsidRPr="0007578B" w:rsidRDefault="008B6C79" w:rsidP="0007578B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When verifying:</w:t>
      </w:r>
    </w:p>
    <w:p w14:paraId="1420618D" w14:textId="77777777" w:rsidR="008B6C79" w:rsidRDefault="0007578B" w:rsidP="0007578B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  <w:r w:rsidR="008B6C79">
        <w:rPr>
          <w:rFonts w:ascii="Arial" w:hAnsi="Arial" w:cs="Arial"/>
          <w:b w:val="0"/>
        </w:rPr>
        <w:t xml:space="preserve">On line 14: </w:t>
      </w:r>
      <w:r>
        <w:rPr>
          <w:rFonts w:ascii="Arial" w:hAnsi="Arial" w:cs="Arial"/>
          <w:b w:val="0"/>
        </w:rPr>
        <w:t>"</w:t>
      </w:r>
      <w:r w:rsidR="008B6C79">
        <w:rPr>
          <w:rFonts w:ascii="Arial" w:hAnsi="Arial" w:cs="Arial"/>
          <w:b w:val="0"/>
        </w:rPr>
        <w:t>Do you want to put in special comments</w:t>
      </w:r>
      <w:r>
        <w:rPr>
          <w:rFonts w:ascii="Arial" w:hAnsi="Arial" w:cs="Arial"/>
          <w:b w:val="0"/>
        </w:rPr>
        <w:t xml:space="preserve"> through scroll [Y]".  Put in a [Y] (see Figure 2)</w:t>
      </w:r>
    </w:p>
    <w:p w14:paraId="1420618E" w14:textId="77777777" w:rsidR="00D460EC" w:rsidRDefault="00D460EC" w:rsidP="00D460EC">
      <w:pPr>
        <w:pStyle w:val="ListParagraph"/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/>
        <w:rPr>
          <w:rFonts w:ascii="Arial" w:hAnsi="Arial" w:cs="Arial"/>
          <w:b w:val="0"/>
        </w:rPr>
      </w:pPr>
    </w:p>
    <w:p w14:paraId="1420618F" w14:textId="77777777" w:rsidR="00D460EC" w:rsidRPr="00D460EC" w:rsidRDefault="00D460EC" w:rsidP="00D460EC">
      <w:pPr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108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Figure 2</w:t>
      </w:r>
    </w:p>
    <w:p w14:paraId="14206190" w14:textId="77777777" w:rsidR="00D460EC" w:rsidRDefault="00D92A24" w:rsidP="00D460EC">
      <w:pPr>
        <w:pStyle w:val="ListParagraph"/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 w:hanging="126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142062B5" wp14:editId="142062B6">
            <wp:extent cx="5943600" cy="31262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ytology TV Smear - Verify Specimen as collect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6191" w14:textId="77777777" w:rsidR="0007578B" w:rsidRDefault="0007578B" w:rsidP="0007578B">
      <w:pPr>
        <w:pStyle w:val="ListParagraph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Follow through and verify the specimen and when the "Comment" section appears enter the estimated total volume in the TV/SMR comment section (see Figure 3</w:t>
      </w:r>
      <w:r w:rsidR="00D460EC">
        <w:rPr>
          <w:rFonts w:ascii="Arial" w:hAnsi="Arial" w:cs="Arial"/>
          <w:b w:val="0"/>
        </w:rPr>
        <w:t>)</w:t>
      </w:r>
    </w:p>
    <w:p w14:paraId="14206192" w14:textId="77777777" w:rsidR="00D460EC" w:rsidRDefault="00D460EC" w:rsidP="00D460EC">
      <w:pPr>
        <w:pStyle w:val="ListParagraph"/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/>
        <w:rPr>
          <w:rFonts w:ascii="Arial" w:hAnsi="Arial" w:cs="Arial"/>
          <w:b w:val="0"/>
        </w:rPr>
      </w:pPr>
    </w:p>
    <w:p w14:paraId="14206193" w14:textId="77777777" w:rsidR="00D460EC" w:rsidRDefault="00D460EC" w:rsidP="00D460EC">
      <w:pPr>
        <w:pStyle w:val="ListParagraph"/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 w:hanging="126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Figure 3</w:t>
      </w:r>
    </w:p>
    <w:p w14:paraId="14206194" w14:textId="77777777" w:rsidR="00D460EC" w:rsidRDefault="00D92A24" w:rsidP="00D460EC">
      <w:pPr>
        <w:pStyle w:val="ListParagraph"/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108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142062B7" wp14:editId="142062B8">
            <wp:extent cx="5943600" cy="31837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ytology TV Smear - Verify Specimen as collected 2nd scre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6195" w14:textId="77777777" w:rsidR="0007578B" w:rsidRDefault="0007578B" w:rsidP="0007578B">
      <w:pPr>
        <w:pStyle w:val="ListParagraph"/>
        <w:tabs>
          <w:tab w:val="left" w:pos="0"/>
          <w:tab w:val="left" w:pos="720"/>
          <w:tab w:val="left" w:pos="144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/>
        <w:rPr>
          <w:rFonts w:ascii="Arial" w:hAnsi="Arial" w:cs="Arial"/>
          <w:b w:val="0"/>
        </w:rPr>
      </w:pPr>
    </w:p>
    <w:p w14:paraId="14206196" w14:textId="77777777" w:rsidR="00D460EC" w:rsidRDefault="007E78C1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4D5B91">
        <w:rPr>
          <w:rFonts w:ascii="Arial" w:hAnsi="Arial" w:cs="Arial"/>
          <w:b w:val="0"/>
        </w:rPr>
        <w:t xml:space="preserve">A label is printed </w:t>
      </w:r>
      <w:r w:rsidR="004C1E19">
        <w:rPr>
          <w:rFonts w:ascii="Arial" w:hAnsi="Arial" w:cs="Arial"/>
          <w:b w:val="0"/>
        </w:rPr>
        <w:t>and</w:t>
      </w:r>
      <w:r w:rsidR="004D5B91">
        <w:rPr>
          <w:rFonts w:ascii="Arial" w:hAnsi="Arial" w:cs="Arial"/>
          <w:b w:val="0"/>
        </w:rPr>
        <w:t xml:space="preserve"> placed on the specimen and a patient demographic sheet is printed, if one is not provided </w:t>
      </w:r>
      <w:r>
        <w:rPr>
          <w:rFonts w:ascii="Arial" w:hAnsi="Arial" w:cs="Arial"/>
          <w:b w:val="0"/>
        </w:rPr>
        <w:t xml:space="preserve">by the submitting department.  </w:t>
      </w:r>
    </w:p>
    <w:p w14:paraId="14206197" w14:textId="77777777" w:rsidR="00D460EC" w:rsidRDefault="00D460EC" w:rsidP="00D460E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98" w14:textId="77777777" w:rsidR="007E78C1" w:rsidRDefault="00D460EC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 fluid is mixed well and aliquoted for clinical lab tests (cell count and/or Wright stain smear).  The total volume is written on the aliquot and the</w:t>
      </w:r>
      <w:r w:rsidR="007E78C1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aliquot and body fluid worksheet</w:t>
      </w:r>
      <w:r w:rsidR="007E78C1">
        <w:rPr>
          <w:rFonts w:ascii="Arial" w:hAnsi="Arial" w:cs="Arial"/>
          <w:b w:val="0"/>
        </w:rPr>
        <w:t xml:space="preserve"> is</w:t>
      </w:r>
      <w:r w:rsidR="007E78C1" w:rsidRPr="007E78C1">
        <w:rPr>
          <w:rFonts w:ascii="Arial" w:hAnsi="Arial" w:cs="Arial"/>
          <w:b w:val="0"/>
        </w:rPr>
        <w:t xml:space="preserve"> deliver</w:t>
      </w:r>
      <w:r w:rsidR="007E78C1">
        <w:rPr>
          <w:rFonts w:ascii="Arial" w:hAnsi="Arial" w:cs="Arial"/>
          <w:b w:val="0"/>
        </w:rPr>
        <w:t>ed</w:t>
      </w:r>
      <w:r w:rsidR="006F247B">
        <w:rPr>
          <w:rFonts w:ascii="Arial" w:hAnsi="Arial" w:cs="Arial"/>
          <w:b w:val="0"/>
        </w:rPr>
        <w:t xml:space="preserve"> to H</w:t>
      </w:r>
      <w:r w:rsidR="007E78C1" w:rsidRPr="007E78C1">
        <w:rPr>
          <w:rFonts w:ascii="Arial" w:hAnsi="Arial" w:cs="Arial"/>
          <w:b w:val="0"/>
        </w:rPr>
        <w:t>ematology</w:t>
      </w:r>
      <w:r w:rsidR="007E78C1">
        <w:rPr>
          <w:rFonts w:ascii="Arial" w:hAnsi="Arial" w:cs="Arial"/>
          <w:b w:val="0"/>
        </w:rPr>
        <w:t>.</w:t>
      </w:r>
    </w:p>
    <w:p w14:paraId="14206199" w14:textId="77777777" w:rsidR="00E466DA" w:rsidRDefault="007E78C1" w:rsidP="00921FF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14:paraId="1420619A" w14:textId="77777777" w:rsidR="00AD2781" w:rsidRDefault="006F247B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technician in Hematology </w:t>
      </w:r>
      <w:r w:rsidR="00D460EC">
        <w:rPr>
          <w:rFonts w:ascii="Arial" w:hAnsi="Arial" w:cs="Arial"/>
          <w:b w:val="0"/>
        </w:rPr>
        <w:t>process the aliquot per the orders:</w:t>
      </w:r>
    </w:p>
    <w:p w14:paraId="1420619B" w14:textId="77777777" w:rsidR="00AD2781" w:rsidRDefault="00AD2781" w:rsidP="00921FF3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AD2781">
        <w:rPr>
          <w:rFonts w:ascii="Arial" w:hAnsi="Arial" w:cs="Arial"/>
          <w:b w:val="0"/>
        </w:rPr>
        <w:t xml:space="preserve">If a cell count is ordered in addition to cytology, a Wright stain smear </w:t>
      </w:r>
      <w:r>
        <w:rPr>
          <w:rFonts w:ascii="Arial" w:hAnsi="Arial" w:cs="Arial"/>
          <w:b w:val="0"/>
        </w:rPr>
        <w:t xml:space="preserve">is prepared </w:t>
      </w:r>
      <w:r w:rsidRPr="00AD2781">
        <w:rPr>
          <w:rFonts w:ascii="Arial" w:hAnsi="Arial" w:cs="Arial"/>
          <w:b w:val="0"/>
        </w:rPr>
        <w:t>and a cell count</w:t>
      </w:r>
      <w:r>
        <w:rPr>
          <w:rFonts w:ascii="Arial" w:hAnsi="Arial" w:cs="Arial"/>
          <w:b w:val="0"/>
        </w:rPr>
        <w:t xml:space="preserve"> performed</w:t>
      </w:r>
      <w:r w:rsidRPr="00AD2781">
        <w:rPr>
          <w:rFonts w:ascii="Arial" w:hAnsi="Arial" w:cs="Arial"/>
          <w:b w:val="0"/>
        </w:rPr>
        <w:t xml:space="preserve">.  The Wright stain slide </w:t>
      </w:r>
      <w:r w:rsidR="005279A1">
        <w:rPr>
          <w:rFonts w:ascii="Arial" w:hAnsi="Arial" w:cs="Arial"/>
          <w:b w:val="0"/>
        </w:rPr>
        <w:t>and a Body Fluid worksheet (Supplemental Materials #</w:t>
      </w:r>
      <w:r w:rsidR="008B6C79">
        <w:rPr>
          <w:rFonts w:ascii="Arial" w:hAnsi="Arial" w:cs="Arial"/>
          <w:b w:val="0"/>
        </w:rPr>
        <w:t>2</w:t>
      </w:r>
      <w:r w:rsidR="005279A1">
        <w:rPr>
          <w:rFonts w:ascii="Arial" w:hAnsi="Arial" w:cs="Arial"/>
          <w:b w:val="0"/>
        </w:rPr>
        <w:t xml:space="preserve">) </w:t>
      </w:r>
      <w:r w:rsidRPr="00AD2781">
        <w:rPr>
          <w:rFonts w:ascii="Arial" w:hAnsi="Arial" w:cs="Arial"/>
          <w:b w:val="0"/>
        </w:rPr>
        <w:t>will then be placed in the box for pathologist review.</w:t>
      </w:r>
      <w:r w:rsidR="005279A1">
        <w:rPr>
          <w:rFonts w:ascii="Arial" w:hAnsi="Arial" w:cs="Arial"/>
          <w:b w:val="0"/>
        </w:rPr>
        <w:t xml:space="preserve">  </w:t>
      </w:r>
    </w:p>
    <w:p w14:paraId="1420619C" w14:textId="77777777" w:rsidR="00AD2781" w:rsidRDefault="00AD2781" w:rsidP="00921FF3">
      <w:pPr>
        <w:pStyle w:val="ListParagraph"/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If a cell count is not ordered, a Wright stain smear is prepared and </w:t>
      </w:r>
      <w:r w:rsidR="00D460EC">
        <w:rPr>
          <w:rFonts w:ascii="Arial" w:hAnsi="Arial" w:cs="Arial"/>
          <w:b w:val="0"/>
        </w:rPr>
        <w:t xml:space="preserve">the slide and Body Fluids worksheet is </w:t>
      </w:r>
      <w:r>
        <w:rPr>
          <w:rFonts w:ascii="Arial" w:hAnsi="Arial" w:cs="Arial"/>
          <w:b w:val="0"/>
        </w:rPr>
        <w:t>place</w:t>
      </w:r>
      <w:r w:rsidR="004D5B91">
        <w:rPr>
          <w:rFonts w:ascii="Arial" w:hAnsi="Arial" w:cs="Arial"/>
          <w:b w:val="0"/>
        </w:rPr>
        <w:t>d</w:t>
      </w:r>
      <w:r>
        <w:rPr>
          <w:rFonts w:ascii="Arial" w:hAnsi="Arial" w:cs="Arial"/>
          <w:b w:val="0"/>
        </w:rPr>
        <w:t xml:space="preserve"> in the box for pathologist review; a cell count is not performed.</w:t>
      </w:r>
    </w:p>
    <w:p w14:paraId="1420619D" w14:textId="77777777" w:rsidR="00D460EC" w:rsidRDefault="00D460EC" w:rsidP="00D460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9E" w14:textId="77777777" w:rsidR="00D460EC" w:rsidRPr="00D460EC" w:rsidRDefault="00D460EC" w:rsidP="00D92A24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720"/>
        <w:rPr>
          <w:rFonts w:ascii="Arial" w:hAnsi="Arial" w:cs="Arial"/>
          <w:b w:val="0"/>
        </w:rPr>
      </w:pPr>
      <w:r w:rsidRPr="00D460EC">
        <w:rPr>
          <w:rFonts w:ascii="Arial" w:hAnsi="Arial" w:cs="Arial"/>
        </w:rPr>
        <w:t>Note:</w:t>
      </w:r>
      <w:r w:rsidRPr="00D460EC">
        <w:rPr>
          <w:rFonts w:ascii="Arial" w:hAnsi="Arial" w:cs="Arial"/>
          <w:b w:val="0"/>
        </w:rPr>
        <w:t xml:space="preserve"> The Body Fluid worksheet will alert the pathologist that a concurrent cytology case is pending for the specimen.</w:t>
      </w:r>
    </w:p>
    <w:p w14:paraId="1420619F" w14:textId="77777777" w:rsidR="00AD2781" w:rsidRPr="00AD2781" w:rsidRDefault="00AD2781" w:rsidP="00921FF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Arial" w:hAnsi="Arial" w:cs="Arial"/>
          <w:b w:val="0"/>
        </w:rPr>
      </w:pPr>
    </w:p>
    <w:p w14:paraId="142061A0" w14:textId="77777777" w:rsidR="00AD2781" w:rsidRDefault="004D5B91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 remainder of the specimen is delivered to the ARMC pa</w:t>
      </w:r>
      <w:r w:rsidR="007E78C1">
        <w:rPr>
          <w:rFonts w:ascii="Arial" w:hAnsi="Arial" w:cs="Arial"/>
          <w:b w:val="0"/>
        </w:rPr>
        <w:t>thology lab</w:t>
      </w:r>
      <w:r w:rsidR="001F5A6C">
        <w:rPr>
          <w:rFonts w:ascii="Arial" w:hAnsi="Arial" w:cs="Arial"/>
          <w:b w:val="0"/>
        </w:rPr>
        <w:t xml:space="preserve"> labeled with a barcode label, LabCorp Cytology request form and demographic.  The specimen is placed in the designated area</w:t>
      </w:r>
      <w:r w:rsidR="007E78C1">
        <w:rPr>
          <w:rFonts w:ascii="Arial" w:hAnsi="Arial" w:cs="Arial"/>
          <w:b w:val="0"/>
        </w:rPr>
        <w:t xml:space="preserve"> and entered on the </w:t>
      </w:r>
      <w:r w:rsidR="00B967E6">
        <w:rPr>
          <w:rFonts w:ascii="Arial" w:hAnsi="Arial" w:cs="Arial"/>
          <w:b w:val="0"/>
        </w:rPr>
        <w:t>ARMC Cytology Specimen</w:t>
      </w:r>
      <w:r w:rsidR="001F5A6C">
        <w:rPr>
          <w:rFonts w:ascii="Arial" w:hAnsi="Arial" w:cs="Arial"/>
          <w:b w:val="0"/>
        </w:rPr>
        <w:t xml:space="preserve"> L</w:t>
      </w:r>
      <w:r w:rsidR="007E78C1">
        <w:rPr>
          <w:rFonts w:ascii="Arial" w:hAnsi="Arial" w:cs="Arial"/>
          <w:b w:val="0"/>
        </w:rPr>
        <w:t>og</w:t>
      </w:r>
      <w:r w:rsidR="002B41FD">
        <w:rPr>
          <w:rFonts w:ascii="Arial" w:hAnsi="Arial" w:cs="Arial"/>
          <w:b w:val="0"/>
        </w:rPr>
        <w:t xml:space="preserve"> (Supplemental Materials #</w:t>
      </w:r>
      <w:r w:rsidR="008B6C79">
        <w:rPr>
          <w:rFonts w:ascii="Arial" w:hAnsi="Arial" w:cs="Arial"/>
          <w:b w:val="0"/>
        </w:rPr>
        <w:t>3</w:t>
      </w:r>
      <w:r w:rsidR="002B41FD">
        <w:rPr>
          <w:rFonts w:ascii="Arial" w:hAnsi="Arial" w:cs="Arial"/>
          <w:b w:val="0"/>
        </w:rPr>
        <w:t>)</w:t>
      </w:r>
      <w:r w:rsidR="007E78C1">
        <w:rPr>
          <w:rFonts w:ascii="Arial" w:hAnsi="Arial" w:cs="Arial"/>
          <w:b w:val="0"/>
        </w:rPr>
        <w:t>.</w:t>
      </w:r>
    </w:p>
    <w:p w14:paraId="142061A1" w14:textId="77777777" w:rsidR="007E78C1" w:rsidRDefault="007E78C1" w:rsidP="00921FF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A2" w14:textId="77777777" w:rsidR="007E78C1" w:rsidRDefault="007E78C1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The specimen is accessioned into the PowerPath, the pathology LIS</w:t>
      </w:r>
      <w:r w:rsidR="004004F9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as an ARC case and sent to LabCorp, via courier, for processing.</w:t>
      </w:r>
      <w:r w:rsidR="002B41FD">
        <w:rPr>
          <w:rFonts w:ascii="Arial" w:hAnsi="Arial" w:cs="Arial"/>
          <w:b w:val="0"/>
        </w:rPr>
        <w:t xml:space="preserve">  </w:t>
      </w:r>
      <w:r w:rsidR="008C2A2F">
        <w:rPr>
          <w:rFonts w:ascii="Arial" w:hAnsi="Arial" w:cs="Arial"/>
          <w:b w:val="0"/>
        </w:rPr>
        <w:t xml:space="preserve">The case is assigned to the pathologist who is covering </w:t>
      </w:r>
      <w:r w:rsidR="004C72C8">
        <w:rPr>
          <w:rFonts w:ascii="Arial" w:hAnsi="Arial" w:cs="Arial"/>
          <w:b w:val="0"/>
        </w:rPr>
        <w:t>frozen sections</w:t>
      </w:r>
      <w:r w:rsidR="008C2A2F">
        <w:rPr>
          <w:rFonts w:ascii="Arial" w:hAnsi="Arial" w:cs="Arial"/>
          <w:b w:val="0"/>
        </w:rPr>
        <w:t xml:space="preserve"> for the day.</w:t>
      </w:r>
    </w:p>
    <w:p w14:paraId="142061A3" w14:textId="77777777" w:rsidR="002B41FD" w:rsidRDefault="002B41FD" w:rsidP="00921FF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A4" w14:textId="77777777" w:rsidR="00B967E6" w:rsidRDefault="00B967E6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 Pathologists' Assistant completes the top portion of the ARMC Cytology worksheet, dictates the body fluid template into PowerPath and prints out the appropriate number of cassettes.</w:t>
      </w:r>
    </w:p>
    <w:p w14:paraId="142061A5" w14:textId="77777777" w:rsidR="00B967E6" w:rsidRDefault="00B967E6" w:rsidP="00B967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 w:cs="Arial"/>
          <w:b w:val="0"/>
        </w:rPr>
      </w:pPr>
    </w:p>
    <w:p w14:paraId="142061A6" w14:textId="77777777" w:rsidR="00B967E6" w:rsidRDefault="00B967E6" w:rsidP="009D59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720"/>
        <w:rPr>
          <w:rFonts w:ascii="Arial" w:hAnsi="Arial" w:cs="Arial"/>
          <w:b w:val="0"/>
        </w:rPr>
      </w:pPr>
      <w:r w:rsidRPr="009D5945">
        <w:rPr>
          <w:rFonts w:ascii="Arial" w:hAnsi="Arial" w:cs="Arial"/>
        </w:rPr>
        <w:t>Note:</w:t>
      </w:r>
      <w:r>
        <w:rPr>
          <w:rFonts w:ascii="Arial" w:hAnsi="Arial" w:cs="Arial"/>
          <w:b w:val="0"/>
        </w:rPr>
        <w:t xml:space="preserve"> If multiple containers are received from the same specimen source, they should be designated by number, i.e. if you containers of fluid are received from the abdomen,designate one container as 1 and one container as 2.  A cell block should be performed on each container received.  Cassettes A1 and A2 would be printed for the example case above.</w:t>
      </w:r>
    </w:p>
    <w:p w14:paraId="142061A7" w14:textId="77777777" w:rsidR="00B967E6" w:rsidRPr="00B967E6" w:rsidRDefault="00B967E6" w:rsidP="00B967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 w:cs="Arial"/>
          <w:b w:val="0"/>
        </w:rPr>
      </w:pPr>
    </w:p>
    <w:p w14:paraId="142061A8" w14:textId="77777777" w:rsidR="00B967E6" w:rsidRDefault="00B967E6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 specimen, requisition, ARMC Cytology worksheet and cassette(s) are sent via LCA courier to Powell South for processing.</w:t>
      </w:r>
    </w:p>
    <w:p w14:paraId="142061A9" w14:textId="77777777" w:rsidR="00B967E6" w:rsidRDefault="00B967E6" w:rsidP="00B967E6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AA" w14:textId="77777777" w:rsidR="00B967E6" w:rsidRDefault="00B967E6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 cytotech reviews the slides and completes the lower portion of the ARMC Cytology worksheet.</w:t>
      </w:r>
    </w:p>
    <w:p w14:paraId="142061AB" w14:textId="77777777" w:rsidR="00B967E6" w:rsidRDefault="00B967E6" w:rsidP="00B967E6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AC" w14:textId="77777777" w:rsidR="002B41FD" w:rsidRDefault="004004F9" w:rsidP="00921FF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The </w:t>
      </w:r>
      <w:r w:rsidR="002B41FD">
        <w:rPr>
          <w:rFonts w:ascii="Arial" w:hAnsi="Arial" w:cs="Arial"/>
          <w:b w:val="0"/>
        </w:rPr>
        <w:t xml:space="preserve">slides are </w:t>
      </w:r>
      <w:r w:rsidR="009D5945">
        <w:rPr>
          <w:rFonts w:ascii="Arial" w:hAnsi="Arial" w:cs="Arial"/>
          <w:b w:val="0"/>
        </w:rPr>
        <w:t xml:space="preserve">then </w:t>
      </w:r>
      <w:r w:rsidR="002B41FD">
        <w:rPr>
          <w:rFonts w:ascii="Arial" w:hAnsi="Arial" w:cs="Arial"/>
          <w:b w:val="0"/>
        </w:rPr>
        <w:t xml:space="preserve">returned to the </w:t>
      </w:r>
      <w:r w:rsidR="009D5945">
        <w:rPr>
          <w:rFonts w:ascii="Arial" w:hAnsi="Arial" w:cs="Arial"/>
          <w:b w:val="0"/>
        </w:rPr>
        <w:t xml:space="preserve">ARMC </w:t>
      </w:r>
      <w:r w:rsidR="002B41FD">
        <w:rPr>
          <w:rFonts w:ascii="Arial" w:hAnsi="Arial" w:cs="Arial"/>
          <w:b w:val="0"/>
        </w:rPr>
        <w:t xml:space="preserve">pathology lab </w:t>
      </w:r>
      <w:r w:rsidR="009D5945">
        <w:rPr>
          <w:rFonts w:ascii="Arial" w:hAnsi="Arial" w:cs="Arial"/>
          <w:b w:val="0"/>
        </w:rPr>
        <w:t xml:space="preserve">by LCA courier </w:t>
      </w:r>
      <w:r w:rsidR="002B41FD">
        <w:rPr>
          <w:rFonts w:ascii="Arial" w:hAnsi="Arial" w:cs="Arial"/>
          <w:b w:val="0"/>
        </w:rPr>
        <w:t xml:space="preserve">and the assigned pathologist will review both the Wright stain and the cytology slides and entering an interpretation and diagnosis for each into the case in PowerPath.  </w:t>
      </w:r>
    </w:p>
    <w:p w14:paraId="142061AD" w14:textId="77777777" w:rsidR="002B41FD" w:rsidRDefault="002B41FD" w:rsidP="00921FF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  <w:b w:val="0"/>
        </w:rPr>
        <w:t>If a cell count was ordered in addition to cytology, the pathologist will also enter a note into the clinical lab LIS, referencing the ARC cases results in SCM for pathologist's interpretation of the Wright stain.</w:t>
      </w:r>
      <w:r w:rsidRPr="002B41FD">
        <w:rPr>
          <w:rFonts w:ascii="Arial" w:hAnsi="Arial" w:cs="Arial"/>
        </w:rPr>
        <w:t xml:space="preserve"> </w:t>
      </w:r>
    </w:p>
    <w:p w14:paraId="142061AE" w14:textId="77777777" w:rsidR="002B41FD" w:rsidRDefault="002B41FD" w:rsidP="00921FF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142061AF" w14:textId="77777777" w:rsidR="002B41FD" w:rsidRDefault="002B41FD" w:rsidP="00B967E6">
      <w:pPr>
        <w:pStyle w:val="ListParagraph"/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 w:hanging="720"/>
        <w:rPr>
          <w:rFonts w:ascii="Arial" w:hAnsi="Arial" w:cs="Arial"/>
          <w:b w:val="0"/>
        </w:rPr>
      </w:pPr>
      <w:r w:rsidRPr="002B41FD">
        <w:rPr>
          <w:rFonts w:ascii="Arial" w:hAnsi="Arial" w:cs="Arial"/>
        </w:rPr>
        <w:t>Note:</w:t>
      </w:r>
      <w:r>
        <w:rPr>
          <w:rFonts w:ascii="Arial" w:hAnsi="Arial" w:cs="Arial"/>
          <w:b w:val="0"/>
        </w:rPr>
        <w:t xml:space="preserve"> If a cytology order is not received, the pathologist will enter the Wright stain interpretation directly into the clinical lab LIS.</w:t>
      </w:r>
    </w:p>
    <w:p w14:paraId="142061B0" w14:textId="77777777" w:rsidR="004004F9" w:rsidRDefault="004004F9" w:rsidP="006F247B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B1" w14:textId="77777777" w:rsidR="002B41FD" w:rsidRDefault="002B41FD" w:rsidP="00921FF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B2" w14:textId="77777777" w:rsidR="002B41FD" w:rsidRDefault="002B41FD" w:rsidP="00921FF3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B3" w14:textId="77777777" w:rsidR="00E466DA" w:rsidRPr="00057F2C" w:rsidRDefault="00E466DA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PROCEDURE NOTES</w:t>
      </w:r>
      <w:r w:rsidRPr="00057F2C">
        <w:rPr>
          <w:rFonts w:ascii="Arial" w:hAnsi="Arial" w:cs="Arial"/>
          <w:b w:val="0"/>
        </w:rPr>
        <w:t>:</w:t>
      </w:r>
    </w:p>
    <w:p w14:paraId="142061B4" w14:textId="77777777" w:rsidR="003C3289" w:rsidRPr="00057F2C" w:rsidRDefault="006E2E4F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None</w:t>
      </w:r>
    </w:p>
    <w:p w14:paraId="142061B5" w14:textId="77777777" w:rsidR="003C3289" w:rsidRPr="00057F2C" w:rsidRDefault="003C328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B6" w14:textId="77777777" w:rsidR="003C3289" w:rsidRPr="00057F2C" w:rsidRDefault="003C328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B7" w14:textId="77777777" w:rsidR="003C3289" w:rsidRPr="00057F2C" w:rsidRDefault="003C328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RELATED PROCEDURES</w:t>
      </w:r>
      <w:r w:rsidRPr="00057F2C">
        <w:rPr>
          <w:rFonts w:ascii="Arial" w:hAnsi="Arial" w:cs="Arial"/>
          <w:b w:val="0"/>
        </w:rPr>
        <w:t>:</w:t>
      </w:r>
    </w:p>
    <w:p w14:paraId="142061B8" w14:textId="77777777" w:rsidR="003C3289" w:rsidRPr="00057F2C" w:rsidRDefault="003C328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B9" w14:textId="77777777" w:rsidR="00E466DA" w:rsidRPr="00057F2C" w:rsidRDefault="00E466DA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BA" w14:textId="77777777" w:rsidR="00E466DA" w:rsidRPr="00057F2C" w:rsidRDefault="00E466DA" w:rsidP="00921FF3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 w:cs="Arial"/>
          <w:b w:val="0"/>
        </w:rPr>
      </w:pPr>
    </w:p>
    <w:p w14:paraId="142061BB" w14:textId="77777777" w:rsidR="00E466DA" w:rsidRPr="00057F2C" w:rsidRDefault="00E466DA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LIMITATIONS OF THE PROCEDURE</w:t>
      </w:r>
      <w:r w:rsidRPr="00057F2C">
        <w:rPr>
          <w:rFonts w:ascii="Arial" w:hAnsi="Arial" w:cs="Arial"/>
          <w:b w:val="0"/>
        </w:rPr>
        <w:t>:</w:t>
      </w:r>
    </w:p>
    <w:p w14:paraId="142061BC" w14:textId="77777777" w:rsidR="003C3289" w:rsidRPr="00057F2C" w:rsidRDefault="006E2E4F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None</w:t>
      </w:r>
    </w:p>
    <w:p w14:paraId="142061BD" w14:textId="77777777" w:rsidR="003C3289" w:rsidRPr="00057F2C" w:rsidRDefault="003C328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BE" w14:textId="77777777" w:rsidR="00B30A4B" w:rsidRDefault="00B30A4B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142061BF" w14:textId="77777777" w:rsidR="00B30A4B" w:rsidRDefault="00B30A4B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142061C0" w14:textId="77777777" w:rsidR="003C3289" w:rsidRDefault="003C328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lastRenderedPageBreak/>
        <w:t>SUPPLEMENTAL MATERIALS/ADDENDUM</w:t>
      </w:r>
      <w:r w:rsidRPr="00057F2C">
        <w:rPr>
          <w:rFonts w:ascii="Arial" w:hAnsi="Arial" w:cs="Arial"/>
          <w:b w:val="0"/>
        </w:rPr>
        <w:t>:</w:t>
      </w:r>
    </w:p>
    <w:p w14:paraId="142061C1" w14:textId="77777777" w:rsidR="00340602" w:rsidRDefault="00EA69DE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Supplemental Materials #1</w:t>
      </w:r>
    </w:p>
    <w:p w14:paraId="142061C2" w14:textId="77777777" w:rsidR="00340602" w:rsidRDefault="00473918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142062B9" wp14:editId="142062BA">
            <wp:extent cx="5642937" cy="7305675"/>
            <wp:effectExtent l="76200" t="76200" r="129540" b="1238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33B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269" cy="73112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2061C3" w14:textId="77777777" w:rsidR="005279A1" w:rsidRDefault="005279A1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Supplemental Materials</w:t>
      </w:r>
      <w:r w:rsidR="008B6C79">
        <w:rPr>
          <w:rFonts w:ascii="Arial" w:hAnsi="Arial" w:cs="Arial"/>
          <w:b w:val="0"/>
        </w:rPr>
        <w:t xml:space="preserve"> #2</w:t>
      </w:r>
    </w:p>
    <w:p w14:paraId="142061C4" w14:textId="77777777" w:rsidR="005279A1" w:rsidRDefault="005279A1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142062BB" wp14:editId="142062BC">
            <wp:extent cx="6116790" cy="7400925"/>
            <wp:effectExtent l="76200" t="76200" r="132080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0C73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100" cy="74121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2061C5" w14:textId="77777777" w:rsidR="005279A1" w:rsidRDefault="005279A1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C6" w14:textId="77777777" w:rsidR="003C3289" w:rsidRDefault="008B6C79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Supplemental Materials #3</w:t>
      </w:r>
    </w:p>
    <w:p w14:paraId="142061C7" w14:textId="77777777" w:rsidR="00581D4E" w:rsidRPr="00057F2C" w:rsidRDefault="002F680A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142062BD" wp14:editId="142062BE">
            <wp:extent cx="5752282" cy="7446010"/>
            <wp:effectExtent l="76200" t="76200" r="134620" b="135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86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282" cy="7446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2061C8" w14:textId="77777777" w:rsidR="00FD340F" w:rsidRPr="00FD340F" w:rsidRDefault="00FD340F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FD340F">
        <w:rPr>
          <w:rFonts w:ascii="Arial" w:hAnsi="Arial" w:cs="Arial"/>
          <w:b w:val="0"/>
        </w:rPr>
        <w:t>Supplemental Materials #4</w:t>
      </w:r>
    </w:p>
    <w:p w14:paraId="142061C9" w14:textId="77777777" w:rsidR="00FD340F" w:rsidRDefault="002F680A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42062BF" wp14:editId="142062C0">
            <wp:extent cx="5733057" cy="7521575"/>
            <wp:effectExtent l="76200" t="76200" r="134620" b="136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CC43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057" cy="7521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2061CA" w14:textId="77777777" w:rsidR="00FD340F" w:rsidRDefault="00FD340F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142061CB" w14:textId="77777777" w:rsidR="0042372D" w:rsidRDefault="0042372D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Supplemental Materials #5</w:t>
      </w:r>
    </w:p>
    <w:p w14:paraId="142061CC" w14:textId="77777777" w:rsidR="0042372D" w:rsidRDefault="0042372D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142062C1" wp14:editId="142062C2">
            <wp:extent cx="5057775" cy="6890678"/>
            <wp:effectExtent l="76200" t="76200" r="123825" b="1390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D86F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890" cy="68990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2061CD" w14:textId="77777777" w:rsidR="0042372D" w:rsidRPr="0042372D" w:rsidRDefault="0042372D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CE" w14:textId="77777777" w:rsidR="00E466DA" w:rsidRPr="00057F2C" w:rsidRDefault="00E466DA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 w:rsidRPr="00057F2C">
        <w:rPr>
          <w:rFonts w:ascii="Arial" w:hAnsi="Arial" w:cs="Arial"/>
        </w:rPr>
        <w:t>REFERENCES</w:t>
      </w:r>
      <w:r w:rsidRPr="00057F2C">
        <w:rPr>
          <w:rFonts w:ascii="Arial" w:hAnsi="Arial" w:cs="Arial"/>
          <w:b w:val="0"/>
        </w:rPr>
        <w:t>:</w:t>
      </w:r>
    </w:p>
    <w:p w14:paraId="142061CF" w14:textId="77777777" w:rsidR="00B20224" w:rsidRDefault="006E2E4F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None</w:t>
      </w:r>
    </w:p>
    <w:p w14:paraId="142061D0" w14:textId="77777777" w:rsidR="000025B5" w:rsidRPr="00057F2C" w:rsidRDefault="000025B5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 w:val="0"/>
        </w:rPr>
      </w:pPr>
    </w:p>
    <w:p w14:paraId="142061D1" w14:textId="77777777" w:rsidR="000025B5" w:rsidRDefault="000025B5" w:rsidP="000025B5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2320"/>
        <w:gridCol w:w="3900"/>
        <w:gridCol w:w="1340"/>
        <w:gridCol w:w="1340"/>
      </w:tblGrid>
      <w:tr w:rsidR="000025B5" w:rsidRPr="00B20224" w14:paraId="142061D6" w14:textId="77777777" w:rsidTr="0030714D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2" w14:textId="77777777" w:rsidR="000025B5" w:rsidRPr="00B20224" w:rsidRDefault="000025B5" w:rsidP="003071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Review Date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3" w14:textId="77777777" w:rsidR="000025B5" w:rsidRPr="00B20224" w:rsidRDefault="000025B5" w:rsidP="003071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Signature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4" w14:textId="77777777" w:rsidR="000025B5" w:rsidRPr="00B20224" w:rsidRDefault="000025B5" w:rsidP="003071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5" w14:textId="77777777" w:rsidR="000025B5" w:rsidRPr="00B20224" w:rsidRDefault="000025B5" w:rsidP="003071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B20224">
              <w:rPr>
                <w:rFonts w:ascii="Arial" w:hAnsi="Arial" w:cs="Arial"/>
                <w:bCs/>
                <w:color w:val="000000"/>
              </w:rPr>
              <w:t>Director</w:t>
            </w:r>
          </w:p>
        </w:tc>
      </w:tr>
      <w:tr w:rsidR="000025B5" w:rsidRPr="00B20224" w14:paraId="142061DB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7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8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9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A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1E0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C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D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E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DF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1E5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1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2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3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4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1EA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6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7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8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9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1EF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B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C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D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EE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1F4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0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1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2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3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1F9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5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6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7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8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1FE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A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B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C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D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03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FF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0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1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2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08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4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5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6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7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0D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9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A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B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C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12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E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0F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0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1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17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3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4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5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6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1C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8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9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A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B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21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D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E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1F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0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26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2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3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4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5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2B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7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8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9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A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30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C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D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E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2F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35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31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32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33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34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025B5" w:rsidRPr="00B20224" w14:paraId="1420623A" w14:textId="77777777" w:rsidTr="0030714D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36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37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38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239" w14:textId="77777777" w:rsidR="000025B5" w:rsidRPr="00B20224" w:rsidRDefault="000025B5" w:rsidP="003071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B20224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14:paraId="1420623B" w14:textId="77777777" w:rsidR="000025B5" w:rsidRDefault="000025B5" w:rsidP="000025B5">
      <w:pPr>
        <w:jc w:val="center"/>
        <w:rPr>
          <w:rFonts w:ascii="Arial" w:hAnsi="Arial" w:cs="Arial"/>
          <w:sz w:val="28"/>
          <w:szCs w:val="28"/>
        </w:rPr>
      </w:pPr>
    </w:p>
    <w:p w14:paraId="1420623C" w14:textId="77777777" w:rsidR="000025B5" w:rsidRDefault="000025B5" w:rsidP="000B790B">
      <w:pPr>
        <w:jc w:val="center"/>
        <w:rPr>
          <w:rFonts w:ascii="Arial" w:hAnsi="Arial" w:cs="Arial"/>
          <w:sz w:val="28"/>
          <w:szCs w:val="28"/>
        </w:rPr>
      </w:pPr>
    </w:p>
    <w:p w14:paraId="1420623D" w14:textId="77777777" w:rsidR="000025B5" w:rsidRDefault="000025B5" w:rsidP="000B790B">
      <w:pPr>
        <w:jc w:val="center"/>
        <w:rPr>
          <w:rFonts w:ascii="Arial" w:hAnsi="Arial" w:cs="Arial"/>
          <w:sz w:val="28"/>
          <w:szCs w:val="28"/>
        </w:rPr>
      </w:pPr>
    </w:p>
    <w:p w14:paraId="1420623E" w14:textId="77777777" w:rsidR="000025B5" w:rsidRDefault="000025B5" w:rsidP="000B790B">
      <w:pPr>
        <w:jc w:val="center"/>
        <w:rPr>
          <w:rFonts w:ascii="Arial" w:hAnsi="Arial" w:cs="Arial"/>
          <w:sz w:val="28"/>
          <w:szCs w:val="28"/>
        </w:rPr>
      </w:pPr>
    </w:p>
    <w:p w14:paraId="1420623F" w14:textId="77777777" w:rsidR="000025B5" w:rsidRDefault="000025B5" w:rsidP="000B790B">
      <w:pPr>
        <w:jc w:val="center"/>
        <w:rPr>
          <w:rFonts w:ascii="Arial" w:hAnsi="Arial" w:cs="Arial"/>
          <w:sz w:val="28"/>
          <w:szCs w:val="28"/>
        </w:rPr>
      </w:pPr>
    </w:p>
    <w:p w14:paraId="14206240" w14:textId="77777777" w:rsidR="00DC16DD" w:rsidRPr="000B790B" w:rsidRDefault="00DC16DD" w:rsidP="000B790B">
      <w:pPr>
        <w:jc w:val="center"/>
        <w:rPr>
          <w:rFonts w:ascii="Arial" w:hAnsi="Arial" w:cs="Arial"/>
          <w:sz w:val="28"/>
          <w:szCs w:val="28"/>
        </w:rPr>
      </w:pPr>
      <w:r w:rsidRPr="000B790B">
        <w:rPr>
          <w:rFonts w:ascii="Arial" w:hAnsi="Arial" w:cs="Arial"/>
          <w:sz w:val="28"/>
          <w:szCs w:val="28"/>
        </w:rPr>
        <w:t>SOP HISTORY PAGE</w:t>
      </w:r>
    </w:p>
    <w:p w14:paraId="14206241" w14:textId="77777777" w:rsidR="00DC16DD" w:rsidRPr="00964035" w:rsidRDefault="00DC16DD" w:rsidP="00921FF3">
      <w:pPr>
        <w:rPr>
          <w:rFonts w:ascii="Arial" w:hAnsi="Arial" w:cs="Arial"/>
        </w:rPr>
      </w:pPr>
    </w:p>
    <w:p w14:paraId="14206242" w14:textId="77777777" w:rsidR="00F92B91" w:rsidRPr="000B790B" w:rsidRDefault="00DC16DD" w:rsidP="00921FF3">
      <w:pPr>
        <w:rPr>
          <w:rFonts w:ascii="Arial" w:hAnsi="Arial" w:cs="Arial"/>
          <w:b w:val="0"/>
        </w:rPr>
      </w:pPr>
      <w:r w:rsidRPr="00F92B91">
        <w:rPr>
          <w:rFonts w:ascii="Arial" w:hAnsi="Arial" w:cs="Arial"/>
        </w:rPr>
        <w:t>SOP Number</w:t>
      </w:r>
      <w:r w:rsidRPr="00F92B91">
        <w:rPr>
          <w:rFonts w:ascii="Arial" w:hAnsi="Arial" w:cs="Arial"/>
          <w:b w:val="0"/>
        </w:rPr>
        <w:t>:</w:t>
      </w:r>
      <w:r w:rsidR="000B790B">
        <w:rPr>
          <w:rFonts w:ascii="Arial" w:hAnsi="Arial" w:cs="Arial"/>
          <w:b w:val="0"/>
        </w:rPr>
        <w:t xml:space="preserve"> SPPR-707</w:t>
      </w:r>
    </w:p>
    <w:p w14:paraId="14206243" w14:textId="77777777" w:rsidR="00F92B91" w:rsidRPr="00F92B91" w:rsidRDefault="00DC16DD" w:rsidP="00921FF3">
      <w:pPr>
        <w:rPr>
          <w:rFonts w:ascii="Arial" w:hAnsi="Arial" w:cs="Arial"/>
          <w:b w:val="0"/>
        </w:rPr>
      </w:pPr>
      <w:r w:rsidRPr="00964035">
        <w:rPr>
          <w:rFonts w:ascii="Arial" w:hAnsi="Arial" w:cs="Arial"/>
        </w:rPr>
        <w:t>SOP Title</w:t>
      </w:r>
      <w:r w:rsidRPr="00F92B91">
        <w:rPr>
          <w:rFonts w:ascii="Arial" w:hAnsi="Arial" w:cs="Arial"/>
          <w:b w:val="0"/>
        </w:rPr>
        <w:t>:</w:t>
      </w:r>
      <w:r w:rsidR="000B790B">
        <w:rPr>
          <w:rFonts w:ascii="Arial" w:hAnsi="Arial" w:cs="Arial"/>
          <w:b w:val="0"/>
        </w:rPr>
        <w:t xml:space="preserve"> Body Fluid Processing for Cytology</w:t>
      </w:r>
    </w:p>
    <w:p w14:paraId="14206244" w14:textId="77777777" w:rsidR="00F92B91" w:rsidRPr="00F92B91" w:rsidRDefault="00DC16DD" w:rsidP="00921FF3">
      <w:pPr>
        <w:rPr>
          <w:rFonts w:ascii="Arial" w:hAnsi="Arial" w:cs="Arial"/>
          <w:b w:val="0"/>
        </w:rPr>
      </w:pPr>
      <w:r w:rsidRPr="00964035">
        <w:rPr>
          <w:rFonts w:ascii="Arial" w:hAnsi="Arial" w:cs="Arial"/>
        </w:rPr>
        <w:t>Written By</w:t>
      </w:r>
      <w:r w:rsidRPr="00F92B91">
        <w:rPr>
          <w:rFonts w:ascii="Arial" w:hAnsi="Arial" w:cs="Arial"/>
          <w:b w:val="0"/>
        </w:rPr>
        <w:t>:</w:t>
      </w:r>
      <w:r w:rsidR="000B790B">
        <w:rPr>
          <w:rFonts w:ascii="Arial" w:hAnsi="Arial" w:cs="Arial"/>
          <w:b w:val="0"/>
        </w:rPr>
        <w:t xml:space="preserve"> Amanda Coble</w:t>
      </w:r>
      <w:r w:rsidR="003F4C6C">
        <w:rPr>
          <w:rFonts w:ascii="Arial" w:hAnsi="Arial" w:cs="Arial"/>
          <w:b w:val="0"/>
        </w:rPr>
        <w:t>, MS PA(ASCP), MHA</w:t>
      </w:r>
    </w:p>
    <w:p w14:paraId="14206245" w14:textId="77777777" w:rsidR="00F92B91" w:rsidRPr="00F92B91" w:rsidRDefault="00DC16DD" w:rsidP="00921FF3">
      <w:pPr>
        <w:rPr>
          <w:rFonts w:ascii="Arial" w:hAnsi="Arial" w:cs="Arial"/>
          <w:b w:val="0"/>
        </w:rPr>
      </w:pPr>
      <w:r w:rsidRPr="00964035">
        <w:rPr>
          <w:rFonts w:ascii="Arial" w:hAnsi="Arial" w:cs="Arial"/>
        </w:rPr>
        <w:t>Manual in which Hard Copy of this SOP is located</w:t>
      </w:r>
      <w:r w:rsidRPr="00F92B91">
        <w:rPr>
          <w:rFonts w:ascii="Arial" w:hAnsi="Arial" w:cs="Arial"/>
          <w:b w:val="0"/>
        </w:rPr>
        <w:t>:</w:t>
      </w:r>
      <w:r w:rsidR="000B790B">
        <w:rPr>
          <w:rFonts w:ascii="Arial" w:hAnsi="Arial" w:cs="Arial"/>
          <w:b w:val="0"/>
        </w:rPr>
        <w:t xml:space="preserve"> Specimen Processing</w:t>
      </w:r>
    </w:p>
    <w:p w14:paraId="14206246" w14:textId="77777777" w:rsidR="00F92B91" w:rsidRPr="00F92B91" w:rsidRDefault="00DC16DD" w:rsidP="00921FF3">
      <w:pPr>
        <w:rPr>
          <w:rFonts w:ascii="Arial" w:hAnsi="Arial" w:cs="Arial"/>
          <w:b w:val="0"/>
        </w:rPr>
      </w:pPr>
      <w:r w:rsidRPr="00964035">
        <w:rPr>
          <w:rFonts w:ascii="Arial" w:hAnsi="Arial" w:cs="Arial"/>
        </w:rPr>
        <w:t>Distribution</w:t>
      </w:r>
      <w:r w:rsidRPr="00F92B91">
        <w:rPr>
          <w:rFonts w:ascii="Arial" w:hAnsi="Arial" w:cs="Arial"/>
          <w:b w:val="0"/>
        </w:rPr>
        <w:t>:</w:t>
      </w:r>
      <w:r w:rsidR="000B790B">
        <w:rPr>
          <w:rFonts w:ascii="Arial" w:hAnsi="Arial" w:cs="Arial"/>
          <w:b w:val="0"/>
        </w:rPr>
        <w:t xml:space="preserve"> Pathology</w:t>
      </w:r>
    </w:p>
    <w:p w14:paraId="14206247" w14:textId="77777777" w:rsidR="005753D4" w:rsidRPr="00F92B91" w:rsidRDefault="00DC16DD" w:rsidP="00921FF3">
      <w:pPr>
        <w:rPr>
          <w:rFonts w:ascii="Arial" w:hAnsi="Arial" w:cs="Arial"/>
          <w:b w:val="0"/>
        </w:rPr>
      </w:pPr>
      <w:r w:rsidRPr="00964035">
        <w:rPr>
          <w:rFonts w:ascii="Arial" w:hAnsi="Arial" w:cs="Arial"/>
        </w:rPr>
        <w:t>Supersedes Procedure</w:t>
      </w:r>
      <w:r w:rsidRPr="00F92B91">
        <w:rPr>
          <w:rFonts w:ascii="Arial" w:hAnsi="Arial" w:cs="Arial"/>
          <w:b w:val="0"/>
        </w:rPr>
        <w:t>:</w:t>
      </w:r>
      <w:r w:rsidR="00BD70FF">
        <w:rPr>
          <w:rFonts w:ascii="Arial" w:hAnsi="Arial" w:cs="Arial"/>
          <w:b w:val="0"/>
        </w:rPr>
        <w:t xml:space="preserve"> None</w:t>
      </w:r>
    </w:p>
    <w:p w14:paraId="14206248" w14:textId="77777777" w:rsidR="00F92B91" w:rsidRPr="00F92B91" w:rsidRDefault="00F92B91" w:rsidP="00921FF3">
      <w:pPr>
        <w:rPr>
          <w:rFonts w:ascii="Arial" w:hAnsi="Arial" w:cs="Arial"/>
          <w:b w:val="0"/>
        </w:rPr>
      </w:pPr>
    </w:p>
    <w:p w14:paraId="14206249" w14:textId="77777777" w:rsidR="00DC16DD" w:rsidRPr="00964035" w:rsidRDefault="00DC16DD" w:rsidP="00921FF3">
      <w:pPr>
        <w:jc w:val="center"/>
        <w:rPr>
          <w:rFonts w:ascii="Arial" w:hAnsi="Arial" w:cs="Arial"/>
        </w:rPr>
      </w:pPr>
      <w:r w:rsidRPr="00964035">
        <w:rPr>
          <w:rFonts w:ascii="Arial" w:hAnsi="Arial" w:cs="Arial"/>
        </w:rPr>
        <w:t>SOP CHANGE CONTROL</w:t>
      </w:r>
    </w:p>
    <w:tbl>
      <w:tblPr>
        <w:tblW w:w="10380" w:type="dxa"/>
        <w:jc w:val="center"/>
        <w:tblLook w:val="04A0" w:firstRow="1" w:lastRow="0" w:firstColumn="1" w:lastColumn="0" w:noHBand="0" w:noVBand="1"/>
      </w:tblPr>
      <w:tblGrid>
        <w:gridCol w:w="1340"/>
        <w:gridCol w:w="808"/>
        <w:gridCol w:w="1492"/>
        <w:gridCol w:w="960"/>
        <w:gridCol w:w="4820"/>
        <w:gridCol w:w="960"/>
      </w:tblGrid>
      <w:tr w:rsidR="00DC16DD" w:rsidRPr="00964035" w14:paraId="1420624F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20624A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20624B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Approvals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20624C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20624D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Action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4E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In</w:t>
            </w:r>
          </w:p>
        </w:tc>
      </w:tr>
      <w:tr w:rsidR="00DC16DD" w:rsidRPr="00964035" w14:paraId="14206256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50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Mgmt.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51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52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 xml:space="preserve"> Director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53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Date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206254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55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Effect</w:t>
            </w:r>
          </w:p>
        </w:tc>
      </w:tr>
      <w:tr w:rsidR="00DC16DD" w:rsidRPr="00964035" w14:paraId="1420625D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57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58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59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5A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5B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5C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64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5E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5F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60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61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62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63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6B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65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66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67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68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69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6A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72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6C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6D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6E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6F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70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71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79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73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74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75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76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77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78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80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7A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7B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7C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7D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7E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7F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87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81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82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83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84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85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86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8E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88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89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8A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8B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8C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8D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95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8F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90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91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92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93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206294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9C" w14:textId="77777777" w:rsidTr="00921FF3">
        <w:trPr>
          <w:trHeight w:val="40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96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97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98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99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9A" w14:textId="77777777" w:rsidR="00DC16DD" w:rsidRPr="008A6266" w:rsidRDefault="00DC16DD" w:rsidP="00921FF3">
            <w:pPr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629B" w14:textId="77777777" w:rsidR="00DC16DD" w:rsidRPr="008A6266" w:rsidRDefault="00DC16DD" w:rsidP="00921FF3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A626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</w:tc>
      </w:tr>
      <w:tr w:rsidR="00DC16DD" w:rsidRPr="00964035" w14:paraId="142062A3" w14:textId="77777777" w:rsidTr="00921FF3">
        <w:trPr>
          <w:trHeight w:val="402"/>
          <w:jc w:val="center"/>
        </w:trPr>
        <w:tc>
          <w:tcPr>
            <w:tcW w:w="1340" w:type="dxa"/>
            <w:noWrap/>
            <w:vAlign w:val="bottom"/>
            <w:hideMark/>
          </w:tcPr>
          <w:p w14:paraId="1420629D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8" w:type="dxa"/>
            <w:noWrap/>
            <w:vAlign w:val="bottom"/>
            <w:hideMark/>
          </w:tcPr>
          <w:p w14:paraId="1420629E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14:paraId="1420629F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42062A0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14:paraId="142062A1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42062A2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C16DD" w:rsidRPr="00964035" w14:paraId="142062A6" w14:textId="77777777" w:rsidTr="00921FF3">
        <w:trPr>
          <w:trHeight w:val="402"/>
          <w:jc w:val="center"/>
        </w:trPr>
        <w:tc>
          <w:tcPr>
            <w:tcW w:w="9420" w:type="dxa"/>
            <w:gridSpan w:val="5"/>
            <w:noWrap/>
            <w:vAlign w:val="bottom"/>
            <w:hideMark/>
          </w:tcPr>
          <w:p w14:paraId="142062A4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Date archived: _______________________________</w:t>
            </w:r>
          </w:p>
        </w:tc>
        <w:tc>
          <w:tcPr>
            <w:tcW w:w="960" w:type="dxa"/>
            <w:noWrap/>
            <w:vAlign w:val="bottom"/>
            <w:hideMark/>
          </w:tcPr>
          <w:p w14:paraId="142062A5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C16DD" w:rsidRPr="00964035" w14:paraId="142062A9" w14:textId="77777777" w:rsidTr="00921FF3">
        <w:trPr>
          <w:trHeight w:val="402"/>
          <w:jc w:val="center"/>
        </w:trPr>
        <w:tc>
          <w:tcPr>
            <w:tcW w:w="9420" w:type="dxa"/>
            <w:gridSpan w:val="5"/>
            <w:noWrap/>
            <w:vAlign w:val="bottom"/>
            <w:hideMark/>
          </w:tcPr>
          <w:p w14:paraId="142062A7" w14:textId="77777777" w:rsidR="00DC16DD" w:rsidRPr="00964035" w:rsidRDefault="00DC16DD" w:rsidP="00921FF3">
            <w:pPr>
              <w:rPr>
                <w:rFonts w:ascii="Arial" w:hAnsi="Arial" w:cs="Arial"/>
                <w:bCs/>
                <w:color w:val="000000"/>
              </w:rPr>
            </w:pPr>
            <w:r w:rsidRPr="00964035">
              <w:rPr>
                <w:rFonts w:ascii="Arial" w:hAnsi="Arial" w:cs="Arial"/>
                <w:bCs/>
                <w:color w:val="000000"/>
              </w:rPr>
              <w:t>Reason: ____________________________________  Initials:__________</w:t>
            </w:r>
          </w:p>
        </w:tc>
        <w:tc>
          <w:tcPr>
            <w:tcW w:w="960" w:type="dxa"/>
            <w:noWrap/>
            <w:vAlign w:val="bottom"/>
            <w:hideMark/>
          </w:tcPr>
          <w:p w14:paraId="142062A8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C16DD" w:rsidRPr="00964035" w14:paraId="142062B0" w14:textId="77777777" w:rsidTr="00921FF3">
        <w:trPr>
          <w:trHeight w:val="315"/>
          <w:jc w:val="center"/>
        </w:trPr>
        <w:tc>
          <w:tcPr>
            <w:tcW w:w="1340" w:type="dxa"/>
            <w:noWrap/>
            <w:vAlign w:val="bottom"/>
            <w:hideMark/>
          </w:tcPr>
          <w:p w14:paraId="142062AA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8" w:type="dxa"/>
            <w:noWrap/>
            <w:vAlign w:val="bottom"/>
            <w:hideMark/>
          </w:tcPr>
          <w:p w14:paraId="142062AB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92" w:type="dxa"/>
            <w:noWrap/>
            <w:vAlign w:val="bottom"/>
            <w:hideMark/>
          </w:tcPr>
          <w:p w14:paraId="142062AC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42062AD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820" w:type="dxa"/>
            <w:noWrap/>
            <w:vAlign w:val="bottom"/>
            <w:hideMark/>
          </w:tcPr>
          <w:p w14:paraId="142062AE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42062AF" w14:textId="77777777" w:rsidR="00DC16DD" w:rsidRPr="00964035" w:rsidRDefault="00DC16DD" w:rsidP="00921FF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142062B1" w14:textId="77777777" w:rsidR="00DC16DD" w:rsidRPr="00964035" w:rsidRDefault="00DC16DD" w:rsidP="00921FF3">
      <w:pPr>
        <w:rPr>
          <w:rFonts w:ascii="Arial" w:hAnsi="Arial" w:cs="Arial"/>
        </w:rPr>
      </w:pPr>
    </w:p>
    <w:p w14:paraId="142062B2" w14:textId="77777777" w:rsidR="00DC16DD" w:rsidRDefault="00DC16DD" w:rsidP="00921F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sectPr w:rsidR="00DC16DD" w:rsidSect="003C2C5B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062C5" w14:textId="77777777" w:rsidR="00F83514" w:rsidRDefault="00F83514">
      <w:r>
        <w:separator/>
      </w:r>
    </w:p>
  </w:endnote>
  <w:endnote w:type="continuationSeparator" w:id="0">
    <w:p w14:paraId="142062C6" w14:textId="77777777" w:rsidR="00F83514" w:rsidRDefault="00F8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062CB" w14:textId="77777777" w:rsidR="00E466DA" w:rsidRPr="00C74962" w:rsidRDefault="00E466DA" w:rsidP="00C74962">
    <w:pPr>
      <w:pStyle w:val="Footer"/>
      <w:tabs>
        <w:tab w:val="clear" w:pos="8640"/>
        <w:tab w:val="right" w:pos="7920"/>
      </w:tabs>
      <w:jc w:val="right"/>
      <w:rPr>
        <w:rFonts w:ascii="Arial" w:hAnsi="Arial" w:cs="Arial"/>
        <w:b w:val="0"/>
      </w:rPr>
    </w:pPr>
    <w:r>
      <w:tab/>
    </w:r>
    <w:r>
      <w:tab/>
    </w:r>
    <w:r w:rsidR="00C74962" w:rsidRPr="00C74962">
      <w:rPr>
        <w:rFonts w:ascii="Arial" w:hAnsi="Arial" w:cs="Arial"/>
        <w:b w:val="0"/>
      </w:rPr>
      <w:t xml:space="preserve">Page </w:t>
    </w:r>
    <w:r w:rsidR="00C74962" w:rsidRPr="00C74962">
      <w:rPr>
        <w:rFonts w:ascii="Arial" w:hAnsi="Arial" w:cs="Arial"/>
        <w:b w:val="0"/>
        <w:bCs/>
      </w:rPr>
      <w:fldChar w:fldCharType="begin"/>
    </w:r>
    <w:r w:rsidR="00C74962" w:rsidRPr="00C74962">
      <w:rPr>
        <w:rFonts w:ascii="Arial" w:hAnsi="Arial" w:cs="Arial"/>
        <w:b w:val="0"/>
        <w:bCs/>
      </w:rPr>
      <w:instrText xml:space="preserve"> PAGE  \* Arabic  \* MERGEFORMAT </w:instrText>
    </w:r>
    <w:r w:rsidR="00C74962" w:rsidRPr="00C74962">
      <w:rPr>
        <w:rFonts w:ascii="Arial" w:hAnsi="Arial" w:cs="Arial"/>
        <w:b w:val="0"/>
        <w:bCs/>
      </w:rPr>
      <w:fldChar w:fldCharType="separate"/>
    </w:r>
    <w:r w:rsidR="00CA07EB">
      <w:rPr>
        <w:rFonts w:ascii="Arial" w:hAnsi="Arial" w:cs="Arial"/>
        <w:b w:val="0"/>
        <w:bCs/>
        <w:noProof/>
      </w:rPr>
      <w:t>4</w:t>
    </w:r>
    <w:r w:rsidR="00C74962" w:rsidRPr="00C74962">
      <w:rPr>
        <w:rFonts w:ascii="Arial" w:hAnsi="Arial" w:cs="Arial"/>
        <w:b w:val="0"/>
        <w:bCs/>
      </w:rPr>
      <w:fldChar w:fldCharType="end"/>
    </w:r>
    <w:r w:rsidR="00C74962" w:rsidRPr="00C74962">
      <w:rPr>
        <w:rFonts w:ascii="Arial" w:hAnsi="Arial" w:cs="Arial"/>
        <w:b w:val="0"/>
      </w:rPr>
      <w:t xml:space="preserve"> of </w:t>
    </w:r>
    <w:r w:rsidR="00C74962" w:rsidRPr="00C74962">
      <w:rPr>
        <w:rFonts w:ascii="Arial" w:hAnsi="Arial" w:cs="Arial"/>
        <w:b w:val="0"/>
        <w:bCs/>
      </w:rPr>
      <w:fldChar w:fldCharType="begin"/>
    </w:r>
    <w:r w:rsidR="00C74962" w:rsidRPr="00C74962">
      <w:rPr>
        <w:rFonts w:ascii="Arial" w:hAnsi="Arial" w:cs="Arial"/>
        <w:b w:val="0"/>
        <w:bCs/>
      </w:rPr>
      <w:instrText xml:space="preserve"> NUMPAGES  \* Arabic  \* MERGEFORMAT </w:instrText>
    </w:r>
    <w:r w:rsidR="00C74962" w:rsidRPr="00C74962">
      <w:rPr>
        <w:rFonts w:ascii="Arial" w:hAnsi="Arial" w:cs="Arial"/>
        <w:b w:val="0"/>
        <w:bCs/>
      </w:rPr>
      <w:fldChar w:fldCharType="separate"/>
    </w:r>
    <w:r w:rsidR="00CA07EB">
      <w:rPr>
        <w:rFonts w:ascii="Arial" w:hAnsi="Arial" w:cs="Arial"/>
        <w:b w:val="0"/>
        <w:bCs/>
        <w:noProof/>
      </w:rPr>
      <w:t>4</w:t>
    </w:r>
    <w:r w:rsidR="00C74962" w:rsidRPr="00C74962">
      <w:rPr>
        <w:rFonts w:ascii="Arial" w:hAnsi="Arial" w:cs="Arial"/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062C3" w14:textId="77777777" w:rsidR="00F83514" w:rsidRDefault="00F83514">
      <w:r>
        <w:separator/>
      </w:r>
    </w:p>
  </w:footnote>
  <w:footnote w:type="continuationSeparator" w:id="0">
    <w:p w14:paraId="142062C4" w14:textId="77777777" w:rsidR="00F83514" w:rsidRDefault="00F83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062C7" w14:textId="77777777" w:rsidR="00164624" w:rsidRDefault="000B790B" w:rsidP="00164624">
    <w:pPr>
      <w:pStyle w:val="Header"/>
      <w:rPr>
        <w:rFonts w:ascii="Arial" w:hAnsi="Arial" w:cs="Arial"/>
        <w:b w:val="0"/>
      </w:rPr>
    </w:pPr>
    <w:r>
      <w:rPr>
        <w:rFonts w:ascii="Arial" w:hAnsi="Arial" w:cs="Arial"/>
        <w:b w:val="0"/>
      </w:rPr>
      <w:t>Clinical Laboratory</w:t>
    </w:r>
    <w:r w:rsidR="004C3BBF">
      <w:rPr>
        <w:rFonts w:ascii="Arial" w:hAnsi="Arial" w:cs="Arial"/>
        <w:b w:val="0"/>
      </w:rPr>
      <w:t xml:space="preserve">                                                              </w:t>
    </w:r>
    <w:r w:rsidR="00DB7CA0">
      <w:rPr>
        <w:rFonts w:ascii="Arial" w:hAnsi="Arial" w:cs="Arial"/>
        <w:b w:val="0"/>
      </w:rPr>
      <w:t>S</w:t>
    </w:r>
    <w:r>
      <w:rPr>
        <w:rFonts w:ascii="Arial" w:hAnsi="Arial" w:cs="Arial"/>
        <w:b w:val="0"/>
      </w:rPr>
      <w:t>PPR-707</w:t>
    </w:r>
  </w:p>
  <w:p w14:paraId="142062C8" w14:textId="77777777" w:rsidR="00164624" w:rsidRPr="004C3BBF" w:rsidRDefault="00E466DA" w:rsidP="00164624">
    <w:pPr>
      <w:pStyle w:val="Header"/>
      <w:rPr>
        <w:rFonts w:ascii="Arial" w:hAnsi="Arial" w:cs="Arial"/>
        <w:b w:val="0"/>
      </w:rPr>
    </w:pPr>
    <w:r w:rsidRPr="004C3BBF">
      <w:rPr>
        <w:rFonts w:ascii="Arial" w:hAnsi="Arial" w:cs="Arial"/>
        <w:b w:val="0"/>
      </w:rPr>
      <w:t>Alamance Regional</w:t>
    </w:r>
    <w:r w:rsidR="000B790B">
      <w:rPr>
        <w:rFonts w:ascii="Arial" w:hAnsi="Arial" w:cs="Arial"/>
        <w:b w:val="0"/>
      </w:rPr>
      <w:t xml:space="preserve"> Medical Center</w:t>
    </w:r>
    <w:r w:rsidR="00164624">
      <w:rPr>
        <w:rFonts w:ascii="Arial" w:hAnsi="Arial" w:cs="Arial"/>
        <w:b w:val="0"/>
      </w:rPr>
      <w:t xml:space="preserve">                </w:t>
    </w:r>
    <w:r w:rsidR="00DB7CA0">
      <w:rPr>
        <w:rFonts w:ascii="Arial" w:hAnsi="Arial" w:cs="Arial"/>
        <w:b w:val="0"/>
      </w:rPr>
      <w:t xml:space="preserve">                   </w:t>
    </w:r>
    <w:r w:rsidR="00164624">
      <w:rPr>
        <w:rFonts w:ascii="Arial" w:hAnsi="Arial" w:cs="Arial"/>
        <w:b w:val="0"/>
      </w:rPr>
      <w:t xml:space="preserve">Effective Date: </w:t>
    </w:r>
    <w:r w:rsidR="000025B5">
      <w:rPr>
        <w:rFonts w:ascii="Arial" w:hAnsi="Arial" w:cs="Arial"/>
        <w:b w:val="0"/>
      </w:rPr>
      <w:t>04/04/16</w:t>
    </w:r>
  </w:p>
  <w:p w14:paraId="142062C9" w14:textId="77777777" w:rsidR="004C3BBF" w:rsidRDefault="00E466DA">
    <w:pPr>
      <w:pStyle w:val="Header"/>
      <w:rPr>
        <w:rFonts w:ascii="Arial" w:hAnsi="Arial" w:cs="Arial"/>
        <w:b w:val="0"/>
      </w:rPr>
    </w:pPr>
    <w:r w:rsidRPr="004C3BBF">
      <w:rPr>
        <w:rFonts w:ascii="Arial" w:hAnsi="Arial" w:cs="Arial"/>
        <w:b w:val="0"/>
      </w:rPr>
      <w:t>Burlington, NC</w:t>
    </w:r>
    <w:r w:rsidR="00380CBE">
      <w:rPr>
        <w:rFonts w:ascii="Arial" w:hAnsi="Arial" w:cs="Arial"/>
        <w:b w:val="0"/>
      </w:rPr>
      <w:t xml:space="preserve"> 27215</w:t>
    </w:r>
  </w:p>
  <w:p w14:paraId="142062CA" w14:textId="77777777" w:rsidR="00683B27" w:rsidRDefault="00683B27" w:rsidP="004C3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43497"/>
    <w:multiLevelType w:val="hybridMultilevel"/>
    <w:tmpl w:val="8D30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B"/>
    <w:rsid w:val="000025B5"/>
    <w:rsid w:val="0001204A"/>
    <w:rsid w:val="00057F2C"/>
    <w:rsid w:val="000755B8"/>
    <w:rsid w:val="0007578B"/>
    <w:rsid w:val="000A05FC"/>
    <w:rsid w:val="000B790B"/>
    <w:rsid w:val="00147DA2"/>
    <w:rsid w:val="00156196"/>
    <w:rsid w:val="00164624"/>
    <w:rsid w:val="001D4024"/>
    <w:rsid w:val="001F1D21"/>
    <w:rsid w:val="001F50D1"/>
    <w:rsid w:val="001F5A6C"/>
    <w:rsid w:val="002B41FD"/>
    <w:rsid w:val="002F680A"/>
    <w:rsid w:val="0031791D"/>
    <w:rsid w:val="00340602"/>
    <w:rsid w:val="00380304"/>
    <w:rsid w:val="00380CBE"/>
    <w:rsid w:val="00385D4D"/>
    <w:rsid w:val="003C2174"/>
    <w:rsid w:val="003C2C5B"/>
    <w:rsid w:val="003C3289"/>
    <w:rsid w:val="003F4C6C"/>
    <w:rsid w:val="004004F9"/>
    <w:rsid w:val="004210F2"/>
    <w:rsid w:val="0042372D"/>
    <w:rsid w:val="004353BF"/>
    <w:rsid w:val="00442543"/>
    <w:rsid w:val="00473918"/>
    <w:rsid w:val="004747E9"/>
    <w:rsid w:val="004807C7"/>
    <w:rsid w:val="004A2D06"/>
    <w:rsid w:val="004C1E19"/>
    <w:rsid w:val="004C3BBF"/>
    <w:rsid w:val="004C72C8"/>
    <w:rsid w:val="004D5B91"/>
    <w:rsid w:val="005279A1"/>
    <w:rsid w:val="005419BC"/>
    <w:rsid w:val="005664BE"/>
    <w:rsid w:val="005753D4"/>
    <w:rsid w:val="00581D4E"/>
    <w:rsid w:val="00593DBC"/>
    <w:rsid w:val="00607805"/>
    <w:rsid w:val="006230C3"/>
    <w:rsid w:val="00683B27"/>
    <w:rsid w:val="006B4362"/>
    <w:rsid w:val="006E2E4F"/>
    <w:rsid w:val="006F247B"/>
    <w:rsid w:val="00700730"/>
    <w:rsid w:val="007056B3"/>
    <w:rsid w:val="00705B6A"/>
    <w:rsid w:val="00711367"/>
    <w:rsid w:val="00746134"/>
    <w:rsid w:val="007C3912"/>
    <w:rsid w:val="007E7867"/>
    <w:rsid w:val="007E78C1"/>
    <w:rsid w:val="00825892"/>
    <w:rsid w:val="00833100"/>
    <w:rsid w:val="008566F6"/>
    <w:rsid w:val="008A6266"/>
    <w:rsid w:val="008B6C79"/>
    <w:rsid w:val="008C2A2F"/>
    <w:rsid w:val="00903BE1"/>
    <w:rsid w:val="00906983"/>
    <w:rsid w:val="00921FF3"/>
    <w:rsid w:val="00922B40"/>
    <w:rsid w:val="0093264B"/>
    <w:rsid w:val="00964035"/>
    <w:rsid w:val="009C6CF7"/>
    <w:rsid w:val="009D5945"/>
    <w:rsid w:val="009E1A23"/>
    <w:rsid w:val="009E24F2"/>
    <w:rsid w:val="00A64033"/>
    <w:rsid w:val="00A8671F"/>
    <w:rsid w:val="00AD2781"/>
    <w:rsid w:val="00AE68AD"/>
    <w:rsid w:val="00AE6BAB"/>
    <w:rsid w:val="00B10A07"/>
    <w:rsid w:val="00B20224"/>
    <w:rsid w:val="00B30A4B"/>
    <w:rsid w:val="00B34618"/>
    <w:rsid w:val="00B607AC"/>
    <w:rsid w:val="00B9014A"/>
    <w:rsid w:val="00B967E6"/>
    <w:rsid w:val="00BD70FF"/>
    <w:rsid w:val="00C70CF9"/>
    <w:rsid w:val="00C74962"/>
    <w:rsid w:val="00CA07EB"/>
    <w:rsid w:val="00CF177C"/>
    <w:rsid w:val="00CF331F"/>
    <w:rsid w:val="00D249ED"/>
    <w:rsid w:val="00D460EC"/>
    <w:rsid w:val="00D61097"/>
    <w:rsid w:val="00D92A24"/>
    <w:rsid w:val="00DB7CA0"/>
    <w:rsid w:val="00DC16DD"/>
    <w:rsid w:val="00E1200C"/>
    <w:rsid w:val="00E14ADE"/>
    <w:rsid w:val="00E1759F"/>
    <w:rsid w:val="00E466DA"/>
    <w:rsid w:val="00E60982"/>
    <w:rsid w:val="00E7360E"/>
    <w:rsid w:val="00EA198B"/>
    <w:rsid w:val="00EA69DE"/>
    <w:rsid w:val="00F255FF"/>
    <w:rsid w:val="00F42697"/>
    <w:rsid w:val="00F67AC0"/>
    <w:rsid w:val="00F83514"/>
    <w:rsid w:val="00F92B91"/>
    <w:rsid w:val="00FB3070"/>
    <w:rsid w:val="00FD340F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20616A"/>
  <w15:docId w15:val="{CC7A2359-9801-4E5D-ACD2-4C97709B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styleId="ListParagraph">
    <w:name w:val="List Paragraph"/>
    <w:basedOn w:val="Normal"/>
    <w:uiPriority w:val="34"/>
    <w:qFormat/>
    <w:rsid w:val="00AD278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1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E1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tmp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tmp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913D949334C9E548D6B4D5BDB9E" ma:contentTypeVersion="2" ma:contentTypeDescription="Create a new document." ma:contentTypeScope="" ma:versionID="1e10df615a91e09443d1793a029eff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98A77-D50F-4F6E-ABF6-B4759E677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08045-5952-4F07-ACA0-13F54206F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61C2D-F1FB-41CC-8B88-8045A754FD18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Fluids Processing for Cytology </vt:lpstr>
    </vt:vector>
  </TitlesOfParts>
  <Company>Alamance Regional Medical Center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Fluids Processing for Cytology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Farmer, Jacee</cp:lastModifiedBy>
  <cp:revision>2</cp:revision>
  <cp:lastPrinted>2015-12-24T16:40:00Z</cp:lastPrinted>
  <dcterms:created xsi:type="dcterms:W3CDTF">2016-03-22T18:53:00Z</dcterms:created>
  <dcterms:modified xsi:type="dcterms:W3CDTF">2016-03-22T18:53:00Z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0x010100FC052913D949334C9E548D6B4D5BDB9E</vt:lpwstr>
  </property>
</Properties>
</file>