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375">
        <w:rPr>
          <w:rFonts w:ascii="Arial" w:hAnsi="Arial" w:cs="Arial"/>
          <w:b/>
          <w:bCs/>
          <w:sz w:val="24"/>
          <w:szCs w:val="24"/>
        </w:rPr>
        <w:t>Case Presentation:</w:t>
      </w:r>
    </w:p>
    <w:p w:rsidR="009A4375" w:rsidRPr="009A4375" w:rsidRDefault="009A4375" w:rsidP="009A4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4375">
        <w:rPr>
          <w:rFonts w:ascii="ArialMT" w:hAnsi="ArialMT" w:cs="ArialMT"/>
          <w:sz w:val="24"/>
          <w:szCs w:val="24"/>
        </w:rPr>
        <w:t>This peripheral blood smear is from a 78-year-old man presenting with leukocytosis and recent progress</w:t>
      </w:r>
      <w:r w:rsidRPr="009A4375">
        <w:rPr>
          <w:rFonts w:ascii="ArialMT" w:hAnsi="ArialMT" w:cs="ArialMT"/>
          <w:sz w:val="24"/>
          <w:szCs w:val="24"/>
        </w:rPr>
        <w:t xml:space="preserve">ion of </w:t>
      </w:r>
      <w:r w:rsidRPr="009A4375">
        <w:rPr>
          <w:rFonts w:ascii="ArialMT" w:hAnsi="ArialMT" w:cs="ArialMT"/>
          <w:sz w:val="24"/>
          <w:szCs w:val="24"/>
        </w:rPr>
        <w:t>skin tumors. Laboratory data include: WBC = 35.6 × 10E9/L; RBC = 4</w:t>
      </w:r>
      <w:r w:rsidRPr="009A4375">
        <w:rPr>
          <w:rFonts w:ascii="ArialMT" w:hAnsi="ArialMT" w:cs="ArialMT"/>
          <w:sz w:val="24"/>
          <w:szCs w:val="24"/>
        </w:rPr>
        <w:t>.44 × 10E12/L; HGB = 13.3 g/</w:t>
      </w:r>
      <w:proofErr w:type="spellStart"/>
      <w:r w:rsidRPr="009A4375">
        <w:rPr>
          <w:rFonts w:ascii="ArialMT" w:hAnsi="ArialMT" w:cs="ArialMT"/>
          <w:sz w:val="24"/>
          <w:szCs w:val="24"/>
        </w:rPr>
        <w:t>dL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; </w:t>
      </w:r>
      <w:r w:rsidRPr="009A4375">
        <w:rPr>
          <w:rFonts w:ascii="ArialMT" w:hAnsi="ArialMT" w:cs="ArialMT"/>
          <w:sz w:val="24"/>
          <w:szCs w:val="24"/>
        </w:rPr>
        <w:t xml:space="preserve">HCT = 40.0%; MCV </w:t>
      </w:r>
      <w:r>
        <w:rPr>
          <w:rFonts w:ascii="ArialMT" w:hAnsi="ArialMT" w:cs="ArialMT"/>
          <w:sz w:val="24"/>
          <w:szCs w:val="24"/>
        </w:rPr>
        <w:t xml:space="preserve">= 91 </w:t>
      </w:r>
      <w:proofErr w:type="spellStart"/>
      <w:r>
        <w:rPr>
          <w:rFonts w:ascii="ArialMT" w:hAnsi="ArialMT" w:cs="ArialMT"/>
          <w:sz w:val="24"/>
          <w:szCs w:val="24"/>
        </w:rPr>
        <w:t>fL</w:t>
      </w:r>
      <w:proofErr w:type="spellEnd"/>
      <w:r>
        <w:rPr>
          <w:rFonts w:ascii="ArialMT" w:hAnsi="ArialMT" w:cs="ArialMT"/>
          <w:sz w:val="24"/>
          <w:szCs w:val="24"/>
        </w:rPr>
        <w:t>; and PLT = 423.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4375">
        <w:rPr>
          <w:rFonts w:ascii="Arial" w:hAnsi="Arial" w:cs="Arial"/>
          <w:b/>
          <w:bCs/>
          <w:sz w:val="24"/>
          <w:szCs w:val="24"/>
        </w:rPr>
        <w:t xml:space="preserve">Case Discussion: </w:t>
      </w:r>
      <w:proofErr w:type="spellStart"/>
      <w:r w:rsidRPr="009A4375">
        <w:rPr>
          <w:rFonts w:ascii="Arial" w:hAnsi="Arial" w:cs="Arial"/>
          <w:b/>
          <w:bCs/>
          <w:sz w:val="24"/>
          <w:szCs w:val="24"/>
        </w:rPr>
        <w:t>Sézary</w:t>
      </w:r>
      <w:proofErr w:type="spellEnd"/>
      <w:r w:rsidRPr="009A4375">
        <w:rPr>
          <w:rFonts w:ascii="Arial" w:hAnsi="Arial" w:cs="Arial"/>
          <w:b/>
          <w:bCs/>
          <w:sz w:val="24"/>
          <w:szCs w:val="24"/>
        </w:rPr>
        <w:t xml:space="preserve"> syndrome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4375">
        <w:rPr>
          <w:rFonts w:ascii="ArialMT" w:hAnsi="ArialMT" w:cs="ArialMT"/>
          <w:sz w:val="24"/>
          <w:szCs w:val="24"/>
        </w:rPr>
        <w:t xml:space="preserve">Mycosis </w:t>
      </w:r>
      <w:proofErr w:type="spellStart"/>
      <w:r w:rsidRPr="009A4375">
        <w:rPr>
          <w:rFonts w:ascii="ArialMT" w:hAnsi="ArialMT" w:cs="ArialMT"/>
          <w:sz w:val="24"/>
          <w:szCs w:val="24"/>
        </w:rPr>
        <w:t>fungoides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(MF) is a primary cutaneous lymphoma characterized by </w:t>
      </w:r>
      <w:proofErr w:type="spellStart"/>
      <w:r w:rsidRPr="009A4375">
        <w:rPr>
          <w:rFonts w:ascii="ArialMT" w:hAnsi="ArialMT" w:cs="ArialMT"/>
          <w:sz w:val="24"/>
          <w:szCs w:val="24"/>
        </w:rPr>
        <w:t>ep</w:t>
      </w:r>
      <w:r w:rsidRPr="009A4375">
        <w:rPr>
          <w:rFonts w:ascii="ArialMT" w:hAnsi="ArialMT" w:cs="ArialMT"/>
          <w:sz w:val="24"/>
          <w:szCs w:val="24"/>
        </w:rPr>
        <w:t>idermotropic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neoplastic T-cells </w:t>
      </w:r>
      <w:r w:rsidRPr="009A4375">
        <w:rPr>
          <w:rFonts w:ascii="ArialMT" w:hAnsi="ArialMT" w:cs="ArialMT"/>
          <w:sz w:val="24"/>
          <w:szCs w:val="24"/>
        </w:rPr>
        <w:t>with characteristic morphologic features (</w:t>
      </w:r>
      <w:proofErr w:type="spellStart"/>
      <w:r w:rsidRPr="009A4375">
        <w:rPr>
          <w:rFonts w:ascii="ArialMT" w:hAnsi="ArialMT" w:cs="ArialMT"/>
          <w:sz w:val="24"/>
          <w:szCs w:val="24"/>
        </w:rPr>
        <w:t>cerebriform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nuclei). </w:t>
      </w:r>
      <w:proofErr w:type="spellStart"/>
      <w:r w:rsidRPr="009A4375">
        <w:rPr>
          <w:rFonts w:ascii="ArialMT" w:hAnsi="ArialMT" w:cs="ArialMT"/>
          <w:sz w:val="24"/>
          <w:szCs w:val="24"/>
        </w:rPr>
        <w:t>Sézary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syndrome (SS</w:t>
      </w:r>
      <w:r w:rsidRPr="009A4375">
        <w:rPr>
          <w:rFonts w:ascii="ArialMT" w:hAnsi="ArialMT" w:cs="ArialMT"/>
          <w:sz w:val="24"/>
          <w:szCs w:val="24"/>
        </w:rPr>
        <w:t xml:space="preserve">) is defined by the presence of </w:t>
      </w:r>
      <w:r w:rsidRPr="009A4375">
        <w:rPr>
          <w:rFonts w:ascii="ArialMT" w:hAnsi="ArialMT" w:cs="ArialMT"/>
          <w:sz w:val="24"/>
          <w:szCs w:val="24"/>
        </w:rPr>
        <w:t>neoplastic T-cells (“</w:t>
      </w:r>
      <w:proofErr w:type="spellStart"/>
      <w:r w:rsidRPr="009A4375">
        <w:rPr>
          <w:rFonts w:ascii="ArialMT" w:hAnsi="ArialMT" w:cs="ArialMT"/>
          <w:sz w:val="24"/>
          <w:szCs w:val="24"/>
        </w:rPr>
        <w:t>Sézary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cells”) in the peripheral blood of patients with erythroderma and generalized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9A4375">
        <w:rPr>
          <w:rFonts w:ascii="ArialMT" w:hAnsi="ArialMT" w:cs="ArialMT"/>
          <w:sz w:val="24"/>
          <w:szCs w:val="24"/>
        </w:rPr>
        <w:t>lymphadenopathy</w:t>
      </w:r>
      <w:proofErr w:type="gramEnd"/>
      <w:r w:rsidRPr="009A4375">
        <w:rPr>
          <w:rFonts w:ascii="ArialMT" w:hAnsi="ArialMT" w:cs="ArialMT"/>
          <w:sz w:val="24"/>
          <w:szCs w:val="24"/>
        </w:rPr>
        <w:t>. Similar to SS, patients with advanced stage MF demonstra</w:t>
      </w:r>
      <w:r>
        <w:rPr>
          <w:rFonts w:ascii="ArialMT" w:hAnsi="ArialMT" w:cs="ArialMT"/>
          <w:sz w:val="24"/>
          <w:szCs w:val="24"/>
        </w:rPr>
        <w:t xml:space="preserve">te circulating neoplastic cells </w:t>
      </w:r>
      <w:r w:rsidRPr="009A4375">
        <w:rPr>
          <w:rFonts w:ascii="ArialMT" w:hAnsi="ArialMT" w:cs="ArialMT"/>
          <w:sz w:val="24"/>
          <w:szCs w:val="24"/>
        </w:rPr>
        <w:t>(</w:t>
      </w:r>
      <w:proofErr w:type="spellStart"/>
      <w:r w:rsidRPr="009A4375">
        <w:rPr>
          <w:rFonts w:ascii="ArialMT" w:hAnsi="ArialMT" w:cs="ArialMT"/>
          <w:sz w:val="24"/>
          <w:szCs w:val="24"/>
        </w:rPr>
        <w:t>Sézary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cells) in the peripheral blood and, in the absence of any clinical histor</w:t>
      </w:r>
      <w:r>
        <w:rPr>
          <w:rFonts w:ascii="ArialMT" w:hAnsi="ArialMT" w:cs="ArialMT"/>
          <w:sz w:val="24"/>
          <w:szCs w:val="24"/>
        </w:rPr>
        <w:t xml:space="preserve">y, peripheral blood smears from </w:t>
      </w:r>
      <w:r w:rsidRPr="009A4375">
        <w:rPr>
          <w:rFonts w:ascii="ArialMT" w:hAnsi="ArialMT" w:cs="ArialMT"/>
          <w:sz w:val="24"/>
          <w:szCs w:val="24"/>
        </w:rPr>
        <w:t>both conditions show similar morphologic findings.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4375">
        <w:rPr>
          <w:rFonts w:ascii="ArialMT" w:hAnsi="ArialMT" w:cs="ArialMT"/>
          <w:sz w:val="24"/>
          <w:szCs w:val="24"/>
        </w:rPr>
        <w:t>From an epidemiologic standpoint, MF is the most common type of cutaneous</w:t>
      </w:r>
      <w:r>
        <w:rPr>
          <w:rFonts w:ascii="ArialMT" w:hAnsi="ArialMT" w:cs="ArialMT"/>
          <w:sz w:val="24"/>
          <w:szCs w:val="24"/>
        </w:rPr>
        <w:t xml:space="preserve"> T-cell lymphoma (approximately </w:t>
      </w:r>
      <w:r w:rsidRPr="009A4375">
        <w:rPr>
          <w:rFonts w:ascii="ArialMT" w:hAnsi="ArialMT" w:cs="ArialMT"/>
          <w:sz w:val="24"/>
          <w:szCs w:val="24"/>
        </w:rPr>
        <w:t xml:space="preserve">50%), and occurs mostly in adult to elderly patients, with a </w:t>
      </w:r>
      <w:proofErr w:type="spellStart"/>
      <w:r w:rsidRPr="009A4375">
        <w:rPr>
          <w:rFonts w:ascii="ArialMT" w:hAnsi="ArialMT" w:cs="ArialMT"/>
          <w:sz w:val="24"/>
          <w:szCs w:val="24"/>
        </w:rPr>
        <w:t>male</w:t>
      </w:r>
      <w:proofErr w:type="gramStart"/>
      <w:r w:rsidRPr="009A4375">
        <w:rPr>
          <w:rFonts w:ascii="ArialMT" w:hAnsi="ArialMT" w:cs="ArialMT"/>
          <w:sz w:val="24"/>
          <w:szCs w:val="24"/>
        </w:rPr>
        <w:t>:female</w:t>
      </w:r>
      <w:proofErr w:type="spellEnd"/>
      <w:proofErr w:type="gramEnd"/>
      <w:r w:rsidRPr="009A4375">
        <w:rPr>
          <w:rFonts w:ascii="ArialMT" w:hAnsi="ArialMT" w:cs="ArialMT"/>
          <w:sz w:val="24"/>
          <w:szCs w:val="24"/>
        </w:rPr>
        <w:t xml:space="preserve"> ratio of</w:t>
      </w:r>
      <w:r>
        <w:rPr>
          <w:rFonts w:ascii="ArialMT" w:hAnsi="ArialMT" w:cs="ArialMT"/>
          <w:sz w:val="24"/>
          <w:szCs w:val="24"/>
        </w:rPr>
        <w:t xml:space="preserve"> 2:1. In contrast, SS is a rare </w:t>
      </w:r>
      <w:r w:rsidRPr="009A4375">
        <w:rPr>
          <w:rFonts w:ascii="ArialMT" w:hAnsi="ArialMT" w:cs="ArialMT"/>
          <w:sz w:val="24"/>
          <w:szCs w:val="24"/>
        </w:rPr>
        <w:t>disease (5% of cutaneous T-cell lymphomas) and it also has a predilection for affecting older male adults,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9A4375">
        <w:rPr>
          <w:rFonts w:ascii="ArialMT" w:hAnsi="ArialMT" w:cs="ArialMT"/>
          <w:sz w:val="24"/>
          <w:szCs w:val="24"/>
        </w:rPr>
        <w:t>characteristically</w:t>
      </w:r>
      <w:proofErr w:type="gramEnd"/>
      <w:r w:rsidRPr="009A4375">
        <w:rPr>
          <w:rFonts w:ascii="ArialMT" w:hAnsi="ArialMT" w:cs="ArialMT"/>
          <w:sz w:val="24"/>
          <w:szCs w:val="24"/>
        </w:rPr>
        <w:t xml:space="preserve"> over the age of 60.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4375">
        <w:rPr>
          <w:rFonts w:ascii="ArialMT" w:hAnsi="ArialMT" w:cs="ArialMT"/>
          <w:sz w:val="24"/>
          <w:szCs w:val="24"/>
        </w:rPr>
        <w:t>Clinically, MF has an indolent, protracted clinical course (yea</w:t>
      </w:r>
      <w:r>
        <w:rPr>
          <w:rFonts w:ascii="ArialMT" w:hAnsi="ArialMT" w:cs="ArialMT"/>
          <w:sz w:val="24"/>
          <w:szCs w:val="24"/>
        </w:rPr>
        <w:t xml:space="preserve">rs or decades) </w:t>
      </w:r>
      <w:r w:rsidRPr="009A4375">
        <w:rPr>
          <w:rFonts w:ascii="ArialMT" w:hAnsi="ArialMT" w:cs="ArialMT"/>
          <w:sz w:val="24"/>
          <w:szCs w:val="24"/>
        </w:rPr>
        <w:t>charact</w:t>
      </w:r>
      <w:r>
        <w:rPr>
          <w:rFonts w:ascii="ArialMT" w:hAnsi="ArialMT" w:cs="ArialMT"/>
          <w:sz w:val="24"/>
          <w:szCs w:val="24"/>
        </w:rPr>
        <w:t xml:space="preserve">erized by skin lesions evolving </w:t>
      </w:r>
      <w:r w:rsidRPr="009A4375">
        <w:rPr>
          <w:rFonts w:ascii="ArialMT" w:hAnsi="ArialMT" w:cs="ArialMT"/>
          <w:sz w:val="24"/>
          <w:szCs w:val="24"/>
        </w:rPr>
        <w:t>through different stages (patches, plaques and, eventually, tumors). Only pati</w:t>
      </w:r>
      <w:r>
        <w:rPr>
          <w:rFonts w:ascii="ArialMT" w:hAnsi="ArialMT" w:cs="ArialMT"/>
          <w:sz w:val="24"/>
          <w:szCs w:val="24"/>
        </w:rPr>
        <w:t xml:space="preserve">ents with advanced stages of MF </w:t>
      </w:r>
      <w:r w:rsidRPr="009A4375">
        <w:rPr>
          <w:rFonts w:ascii="ArialMT" w:hAnsi="ArialMT" w:cs="ArialMT"/>
          <w:sz w:val="24"/>
          <w:szCs w:val="24"/>
        </w:rPr>
        <w:t xml:space="preserve">show </w:t>
      </w:r>
      <w:proofErr w:type="spellStart"/>
      <w:r w:rsidRPr="009A4375">
        <w:rPr>
          <w:rFonts w:ascii="ArialMT" w:hAnsi="ArialMT" w:cs="ArialMT"/>
          <w:sz w:val="24"/>
          <w:szCs w:val="24"/>
        </w:rPr>
        <w:t>extracutaneous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dissemination, including lymph nodes, liver, spleen and blood. Patients with SS have a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9A4375">
        <w:rPr>
          <w:rFonts w:ascii="ArialMT" w:hAnsi="ArialMT" w:cs="ArialMT"/>
          <w:sz w:val="24"/>
          <w:szCs w:val="24"/>
        </w:rPr>
        <w:t>more</w:t>
      </w:r>
      <w:proofErr w:type="gramEnd"/>
      <w:r w:rsidRPr="009A4375">
        <w:rPr>
          <w:rFonts w:ascii="ArialMT" w:hAnsi="ArialMT" w:cs="ArialMT"/>
          <w:sz w:val="24"/>
          <w:szCs w:val="24"/>
        </w:rPr>
        <w:t xml:space="preserve"> dramatic clinical picture with generalized disease, including general skin rash and leukemic presentation.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4375">
        <w:rPr>
          <w:rFonts w:ascii="ArialMT" w:hAnsi="ArialMT" w:cs="ArialMT"/>
          <w:sz w:val="24"/>
          <w:szCs w:val="24"/>
        </w:rPr>
        <w:t>The characteristic morphology of the neoplastic cells (</w:t>
      </w:r>
      <w:proofErr w:type="spellStart"/>
      <w:r w:rsidRPr="009A4375">
        <w:rPr>
          <w:rFonts w:ascii="ArialMT" w:hAnsi="ArialMT" w:cs="ArialMT"/>
          <w:sz w:val="24"/>
          <w:szCs w:val="24"/>
        </w:rPr>
        <w:t>Sézary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cells) is that of sma</w:t>
      </w:r>
      <w:r>
        <w:rPr>
          <w:rFonts w:ascii="ArialMT" w:hAnsi="ArialMT" w:cs="ArialMT"/>
          <w:sz w:val="24"/>
          <w:szCs w:val="24"/>
        </w:rPr>
        <w:t xml:space="preserve">ll to medium-sized lymphocytes, </w:t>
      </w:r>
      <w:r w:rsidRPr="009A4375">
        <w:rPr>
          <w:rFonts w:ascii="ArialMT" w:hAnsi="ArialMT" w:cs="ArialMT"/>
          <w:sz w:val="24"/>
          <w:szCs w:val="24"/>
        </w:rPr>
        <w:t>with irregularly convoluted (“</w:t>
      </w:r>
      <w:proofErr w:type="spellStart"/>
      <w:r w:rsidRPr="009A4375">
        <w:rPr>
          <w:rFonts w:ascii="ArialMT" w:hAnsi="ArialMT" w:cs="ArialMT"/>
          <w:sz w:val="24"/>
          <w:szCs w:val="24"/>
        </w:rPr>
        <w:t>cerebriform</w:t>
      </w:r>
      <w:proofErr w:type="spellEnd"/>
      <w:r w:rsidRPr="009A4375">
        <w:rPr>
          <w:rFonts w:ascii="ArialMT" w:hAnsi="ArialMT" w:cs="ArialMT"/>
          <w:sz w:val="24"/>
          <w:szCs w:val="24"/>
        </w:rPr>
        <w:t>”) nuclei, powdery chromatin, and small amount of cytoplasm.</w:t>
      </w:r>
    </w:p>
    <w:p w:rsid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4375">
        <w:rPr>
          <w:rFonts w:ascii="ArialMT" w:hAnsi="ArialMT" w:cs="ArialMT"/>
          <w:sz w:val="24"/>
          <w:szCs w:val="24"/>
        </w:rPr>
        <w:t xml:space="preserve">The diagnosis of MF/SS is based on clinical findings, morphology, </w:t>
      </w:r>
      <w:proofErr w:type="spellStart"/>
      <w:r w:rsidRPr="009A4375">
        <w:rPr>
          <w:rFonts w:ascii="ArialMT" w:hAnsi="ArialMT" w:cs="ArialMT"/>
          <w:sz w:val="24"/>
          <w:szCs w:val="24"/>
        </w:rPr>
        <w:t>immunoph</w:t>
      </w:r>
      <w:r>
        <w:rPr>
          <w:rFonts w:ascii="ArialMT" w:hAnsi="ArialMT" w:cs="ArialMT"/>
          <w:sz w:val="24"/>
          <w:szCs w:val="24"/>
        </w:rPr>
        <w:t>enotyping</w:t>
      </w:r>
      <w:proofErr w:type="spellEnd"/>
      <w:r>
        <w:rPr>
          <w:rFonts w:ascii="ArialMT" w:hAnsi="ArialMT" w:cs="ArialMT"/>
          <w:sz w:val="24"/>
          <w:szCs w:val="24"/>
        </w:rPr>
        <w:t xml:space="preserve"> (by flow cytometry or </w:t>
      </w:r>
      <w:r w:rsidRPr="009A4375">
        <w:rPr>
          <w:rFonts w:ascii="ArialMT" w:hAnsi="ArialMT" w:cs="ArialMT"/>
          <w:sz w:val="24"/>
          <w:szCs w:val="24"/>
        </w:rPr>
        <w:t xml:space="preserve">immunohistochemistry) and genetic/molecular analysis. 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4375">
        <w:rPr>
          <w:rFonts w:ascii="ArialMT" w:hAnsi="ArialMT" w:cs="ArialMT"/>
          <w:sz w:val="24"/>
          <w:szCs w:val="24"/>
        </w:rPr>
        <w:t>In recent years, it has bee</w:t>
      </w:r>
      <w:r>
        <w:rPr>
          <w:rFonts w:ascii="ArialMT" w:hAnsi="ArialMT" w:cs="ArialMT"/>
          <w:sz w:val="24"/>
          <w:szCs w:val="24"/>
        </w:rPr>
        <w:t xml:space="preserve">n recognized that the degree of </w:t>
      </w:r>
      <w:r w:rsidRPr="009A4375">
        <w:rPr>
          <w:rFonts w:ascii="ArialMT" w:hAnsi="ArialMT" w:cs="ArialMT"/>
          <w:sz w:val="24"/>
          <w:szCs w:val="24"/>
        </w:rPr>
        <w:t>peripheral blood involvement by lymphoma cells is an important prognostic indicator in patients with MF/SS. Even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9A4375">
        <w:rPr>
          <w:rFonts w:ascii="ArialMT" w:hAnsi="ArialMT" w:cs="ArialMT"/>
          <w:sz w:val="24"/>
          <w:szCs w:val="24"/>
        </w:rPr>
        <w:t>though</w:t>
      </w:r>
      <w:proofErr w:type="gramEnd"/>
      <w:r w:rsidRPr="009A4375">
        <w:rPr>
          <w:rFonts w:ascii="ArialMT" w:hAnsi="ArialMT" w:cs="ArialMT"/>
          <w:sz w:val="24"/>
          <w:szCs w:val="24"/>
        </w:rPr>
        <w:t xml:space="preserve"> there is consensus on the importance of assessing circulating neoplastic T-cells, the</w:t>
      </w:r>
      <w:r>
        <w:rPr>
          <w:rFonts w:ascii="ArialMT" w:hAnsi="ArialMT" w:cs="ArialMT"/>
          <w:sz w:val="24"/>
          <w:szCs w:val="24"/>
        </w:rPr>
        <w:t xml:space="preserve">re is no universally </w:t>
      </w:r>
      <w:r w:rsidRPr="009A4375">
        <w:rPr>
          <w:rFonts w:ascii="ArialMT" w:hAnsi="ArialMT" w:cs="ArialMT"/>
          <w:sz w:val="24"/>
          <w:szCs w:val="24"/>
        </w:rPr>
        <w:t xml:space="preserve">accepted method to characterize and quantify the number of </w:t>
      </w:r>
      <w:proofErr w:type="spellStart"/>
      <w:r w:rsidRPr="009A4375">
        <w:rPr>
          <w:rFonts w:ascii="ArialMT" w:hAnsi="ArialMT" w:cs="ArialMT"/>
          <w:sz w:val="24"/>
          <w:szCs w:val="24"/>
        </w:rPr>
        <w:t>Sézary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cells i</w:t>
      </w:r>
      <w:r>
        <w:rPr>
          <w:rFonts w:ascii="ArialMT" w:hAnsi="ArialMT" w:cs="ArialMT"/>
          <w:sz w:val="24"/>
          <w:szCs w:val="24"/>
        </w:rPr>
        <w:t xml:space="preserve">n peripheral blood. Morphologic </w:t>
      </w:r>
      <w:r w:rsidRPr="009A4375">
        <w:rPr>
          <w:rFonts w:ascii="ArialMT" w:hAnsi="ArialMT" w:cs="ArialMT"/>
          <w:sz w:val="24"/>
          <w:szCs w:val="24"/>
        </w:rPr>
        <w:t xml:space="preserve">identification of abnormal lymphocytes with </w:t>
      </w:r>
      <w:proofErr w:type="spellStart"/>
      <w:r w:rsidRPr="009A4375">
        <w:rPr>
          <w:rFonts w:ascii="ArialMT" w:hAnsi="ArialMT" w:cs="ArialMT"/>
          <w:sz w:val="24"/>
          <w:szCs w:val="24"/>
        </w:rPr>
        <w:t>cerebriform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nuclei was previously th</w:t>
      </w:r>
      <w:r>
        <w:rPr>
          <w:rFonts w:ascii="ArialMT" w:hAnsi="ArialMT" w:cs="ArialMT"/>
          <w:sz w:val="24"/>
          <w:szCs w:val="24"/>
        </w:rPr>
        <w:t xml:space="preserve">e standard approach for disease </w:t>
      </w:r>
      <w:r w:rsidRPr="009A4375">
        <w:rPr>
          <w:rFonts w:ascii="ArialMT" w:hAnsi="ArialMT" w:cs="ArialMT"/>
          <w:sz w:val="24"/>
          <w:szCs w:val="24"/>
        </w:rPr>
        <w:t>detection and quantification. However, this method is compromised by se</w:t>
      </w:r>
      <w:r>
        <w:rPr>
          <w:rFonts w:ascii="ArialMT" w:hAnsi="ArialMT" w:cs="ArialMT"/>
          <w:sz w:val="24"/>
          <w:szCs w:val="24"/>
        </w:rPr>
        <w:t xml:space="preserve">veral drawbacks, including high </w:t>
      </w:r>
      <w:proofErr w:type="spellStart"/>
      <w:r w:rsidRPr="009A4375">
        <w:rPr>
          <w:rFonts w:ascii="ArialMT" w:hAnsi="ArialMT" w:cs="ArialMT"/>
          <w:sz w:val="24"/>
          <w:szCs w:val="24"/>
        </w:rPr>
        <w:t>interobserver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variability and difficulty in reliably identifying smal</w:t>
      </w:r>
      <w:r>
        <w:rPr>
          <w:rFonts w:ascii="ArialMT" w:hAnsi="ArialMT" w:cs="ArialMT"/>
          <w:sz w:val="24"/>
          <w:szCs w:val="24"/>
        </w:rPr>
        <w:t xml:space="preserve">l </w:t>
      </w:r>
      <w:proofErr w:type="spellStart"/>
      <w:r>
        <w:rPr>
          <w:rFonts w:ascii="ArialMT" w:hAnsi="ArialMT" w:cs="ArialMT"/>
          <w:sz w:val="24"/>
          <w:szCs w:val="24"/>
        </w:rPr>
        <w:t>Sézary</w:t>
      </w:r>
      <w:proofErr w:type="spellEnd"/>
      <w:r>
        <w:rPr>
          <w:rFonts w:ascii="ArialMT" w:hAnsi="ArialMT" w:cs="ArialMT"/>
          <w:sz w:val="24"/>
          <w:szCs w:val="24"/>
        </w:rPr>
        <w:t xml:space="preserve"> cells. Flow cytometric </w:t>
      </w:r>
      <w:proofErr w:type="spellStart"/>
      <w:r w:rsidRPr="009A4375">
        <w:rPr>
          <w:rFonts w:ascii="ArialMT" w:hAnsi="ArialMT" w:cs="ArialMT"/>
          <w:sz w:val="24"/>
          <w:szCs w:val="24"/>
        </w:rPr>
        <w:t>immunophenotyping</w:t>
      </w:r>
      <w:proofErr w:type="spellEnd"/>
      <w:r w:rsidRPr="009A4375">
        <w:rPr>
          <w:rFonts w:ascii="ArialMT" w:hAnsi="ArialMT" w:cs="ArialMT"/>
          <w:sz w:val="24"/>
          <w:szCs w:val="24"/>
        </w:rPr>
        <w:t xml:space="preserve"> has proven to be more reliable than morphology in the detecti</w:t>
      </w:r>
      <w:r>
        <w:rPr>
          <w:rFonts w:ascii="ArialMT" w:hAnsi="ArialMT" w:cs="ArialMT"/>
          <w:sz w:val="24"/>
          <w:szCs w:val="24"/>
        </w:rPr>
        <w:t xml:space="preserve">on of circulating </w:t>
      </w:r>
      <w:proofErr w:type="spellStart"/>
      <w:r>
        <w:rPr>
          <w:rFonts w:ascii="ArialMT" w:hAnsi="ArialMT" w:cs="ArialMT"/>
          <w:sz w:val="24"/>
          <w:szCs w:val="24"/>
        </w:rPr>
        <w:t>Sézary</w:t>
      </w:r>
      <w:proofErr w:type="spellEnd"/>
      <w:r>
        <w:rPr>
          <w:rFonts w:ascii="ArialMT" w:hAnsi="ArialMT" w:cs="ArialMT"/>
          <w:sz w:val="24"/>
          <w:szCs w:val="24"/>
        </w:rPr>
        <w:t xml:space="preserve"> cells, </w:t>
      </w:r>
      <w:r w:rsidRPr="009A4375">
        <w:rPr>
          <w:rFonts w:ascii="ArialMT" w:hAnsi="ArialMT" w:cs="ArialMT"/>
          <w:sz w:val="24"/>
          <w:szCs w:val="24"/>
        </w:rPr>
        <w:t xml:space="preserve">as these cells often have an aberrant </w:t>
      </w:r>
      <w:proofErr w:type="spellStart"/>
      <w:r w:rsidRPr="009A4375">
        <w:rPr>
          <w:rFonts w:ascii="ArialMT" w:hAnsi="ArialMT" w:cs="ArialMT"/>
          <w:sz w:val="24"/>
          <w:szCs w:val="24"/>
        </w:rPr>
        <w:t>immunophenotype</w:t>
      </w:r>
      <w:proofErr w:type="spellEnd"/>
      <w:r w:rsidRPr="009A4375">
        <w:rPr>
          <w:rFonts w:ascii="ArialMT" w:hAnsi="ArialMT" w:cs="ArialMT"/>
          <w:sz w:val="24"/>
          <w:szCs w:val="24"/>
        </w:rPr>
        <w:t>, including typically expression of CD2, CD3, CD4, and</w:t>
      </w:r>
    </w:p>
    <w:p w:rsidR="009A4375" w:rsidRPr="009A4375" w:rsidRDefault="009A4375" w:rsidP="009A43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A4375">
        <w:rPr>
          <w:rFonts w:ascii="ArialMT" w:hAnsi="ArialMT" w:cs="ArialMT"/>
          <w:sz w:val="24"/>
          <w:szCs w:val="24"/>
        </w:rPr>
        <w:t xml:space="preserve">CD5, and absence of CD8, CD7, and CD26. </w:t>
      </w:r>
    </w:p>
    <w:p w:rsidR="009A4375" w:rsidRDefault="009A4375" w:rsidP="009A4375"/>
    <w:p w:rsidR="009A4375" w:rsidRDefault="009A4375" w:rsidP="009A4375"/>
    <w:p w:rsidR="00832275" w:rsidRDefault="009A4375" w:rsidP="009A4375">
      <w:r w:rsidRPr="009A4375">
        <w:rPr>
          <w:sz w:val="24"/>
          <w:szCs w:val="24"/>
        </w:rPr>
        <w:lastRenderedPageBreak/>
        <w:t>BCP-30</w:t>
      </w:r>
      <w:bookmarkStart w:id="0" w:name="_GoBack"/>
      <w:bookmarkEnd w:id="0"/>
      <w:r w:rsidRPr="0070733C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7E28C20F" wp14:editId="7CA9AF9C">
            <wp:extent cx="5941454" cy="17697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52" cy="177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75"/>
    <w:rsid w:val="00832275"/>
    <w:rsid w:val="009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4825-443D-4C9C-8094-F9304F7F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Quanisha</dc:creator>
  <cp:keywords/>
  <dc:description/>
  <cp:lastModifiedBy>Dyson, Quanisha</cp:lastModifiedBy>
  <cp:revision>1</cp:revision>
  <dcterms:created xsi:type="dcterms:W3CDTF">2017-11-08T16:56:00Z</dcterms:created>
  <dcterms:modified xsi:type="dcterms:W3CDTF">2017-11-08T17:03:00Z</dcterms:modified>
</cp:coreProperties>
</file>