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BF" w:rsidRPr="004C3BBF" w:rsidRDefault="0033366C"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Pr>
          <w:rFonts w:ascii="Arial" w:hAnsi="Arial" w:cs="Arial"/>
        </w:rPr>
        <w:t>TITLE:</w:t>
      </w:r>
      <w:r>
        <w:rPr>
          <w:rFonts w:ascii="Arial" w:hAnsi="Arial" w:cs="Arial"/>
        </w:rPr>
        <w:tab/>
      </w:r>
      <w:r w:rsidR="0067707A">
        <w:rPr>
          <w:rFonts w:ascii="Arial" w:hAnsi="Arial" w:cs="Arial"/>
        </w:rPr>
        <w:t xml:space="preserve">mini Vidas </w:t>
      </w:r>
      <w:r>
        <w:rPr>
          <w:rFonts w:ascii="Arial" w:hAnsi="Arial" w:cs="Arial"/>
        </w:rPr>
        <w:t>Procalcitonin</w:t>
      </w:r>
    </w:p>
    <w:p w:rsidR="004C3BBF" w:rsidRPr="00373D78" w:rsidRDefault="004C3BBF">
      <w:pPr>
        <w:jc w:val="both"/>
        <w:rPr>
          <w:rFonts w:ascii="Arial" w:hAnsi="Arial" w:cs="Arial"/>
          <w:b w:val="0"/>
          <w:vertAlign w:val="subscript"/>
        </w:rPr>
      </w:pPr>
    </w:p>
    <w:p w:rsidR="003C3289" w:rsidRPr="004C3BBF" w:rsidRDefault="003C3289">
      <w:pPr>
        <w:jc w:val="both"/>
        <w:rPr>
          <w:rFonts w:ascii="Arial" w:hAnsi="Arial" w:cs="Arial"/>
        </w:rPr>
      </w:pPr>
    </w:p>
    <w:p w:rsidR="00AC2061" w:rsidRPr="00AC2061" w:rsidRDefault="008366E8" w:rsidP="00AC2061">
      <w:pPr>
        <w:rPr>
          <w:rFonts w:ascii="Arial" w:hAnsi="Arial" w:cs="Arial"/>
          <w:b w:val="0"/>
        </w:rPr>
      </w:pPr>
      <w:r w:rsidRPr="00AC2061">
        <w:rPr>
          <w:rFonts w:ascii="Arial" w:hAnsi="Arial" w:cs="Arial"/>
        </w:rPr>
        <w:t>PRINCIPLE / PURPOSE:</w:t>
      </w:r>
      <w:r w:rsidR="0067707A" w:rsidRPr="00AC2061">
        <w:rPr>
          <w:rFonts w:ascii="Arial" w:hAnsi="Arial" w:cs="Arial"/>
        </w:rPr>
        <w:t xml:space="preserve"> </w:t>
      </w:r>
      <w:r w:rsidR="00AC2061" w:rsidRPr="00AC2061">
        <w:rPr>
          <w:rFonts w:ascii="Arial" w:hAnsi="Arial" w:cs="Arial"/>
          <w:b w:val="0"/>
        </w:rPr>
        <w:t>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an automated test for use on the VIDAS instruments for the  determination of human procalcitonin in human serum or plasma (lithium heparinate) using the ELFA (Enzyme Linked Fluorescent Assay) technique.  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intended for use in conjunction with other laboratory findings and clinical assessments to aid in the risk assessment of critically ill patients on their first day of ICU admission for progression to severe sepsis and septic shock.</w:t>
      </w:r>
    </w:p>
    <w:p w:rsidR="00AC2061" w:rsidRPr="00AC2061" w:rsidRDefault="00AC2061" w:rsidP="00AC2061">
      <w:pPr>
        <w:rPr>
          <w:rFonts w:ascii="Arial" w:hAnsi="Arial" w:cs="Arial"/>
          <w:b w:val="0"/>
        </w:rPr>
      </w:pPr>
      <w:r w:rsidRPr="00AC2061">
        <w:rPr>
          <w:rFonts w:ascii="Arial" w:hAnsi="Arial" w:cs="Arial"/>
          <w:b w:val="0"/>
        </w:rPr>
        <w:t>The assay principle combines a one-step enzyme immunoassay sandwich method with a final fluorescent detection (ELFA).</w:t>
      </w:r>
    </w:p>
    <w:p w:rsidR="00AC2061" w:rsidRPr="00AC2061" w:rsidRDefault="00AC2061" w:rsidP="00AC2061">
      <w:pPr>
        <w:rPr>
          <w:rFonts w:ascii="Arial" w:hAnsi="Arial" w:cs="Arial"/>
          <w:b w:val="0"/>
        </w:rPr>
      </w:pPr>
      <w:r w:rsidRPr="00AC2061">
        <w:rPr>
          <w:rFonts w:ascii="Arial" w:hAnsi="Arial" w:cs="Arial"/>
          <w:b w:val="0"/>
        </w:rPr>
        <w:t>The Solid Phase Receptacle (SPR</w:t>
      </w:r>
      <w:r w:rsidRPr="00AC2061">
        <w:rPr>
          <w:rFonts w:ascii="Arial" w:hAnsi="Arial" w:cs="Arial"/>
          <w:b w:val="0"/>
          <w:vertAlign w:val="superscript"/>
        </w:rPr>
        <w:t>®</w:t>
      </w:r>
      <w:r w:rsidRPr="00AC2061">
        <w:rPr>
          <w:rFonts w:ascii="Arial" w:hAnsi="Arial" w:cs="Arial"/>
          <w:b w:val="0"/>
        </w:rPr>
        <w:t>) serves as the solid phase as well as the pipetting device.  Reagents for the assay are ready-to-use and pre-dispensed in the sealed reagent strips.</w:t>
      </w:r>
    </w:p>
    <w:p w:rsidR="00AC2061" w:rsidRPr="00AC2061" w:rsidRDefault="00AC2061" w:rsidP="00AC2061">
      <w:pPr>
        <w:rPr>
          <w:rFonts w:ascii="Arial" w:hAnsi="Arial" w:cs="Arial"/>
          <w:b w:val="0"/>
        </w:rPr>
      </w:pPr>
      <w:r w:rsidRPr="00AC2061">
        <w:rPr>
          <w:rFonts w:ascii="Arial" w:hAnsi="Arial" w:cs="Arial"/>
          <w:b w:val="0"/>
        </w:rPr>
        <w:t>All of the assay steps are performed automatically by the instrument.</w:t>
      </w:r>
    </w:p>
    <w:p w:rsidR="00AC2061" w:rsidRPr="00AC2061" w:rsidRDefault="00AC2061" w:rsidP="00AC2061">
      <w:pPr>
        <w:rPr>
          <w:rFonts w:ascii="Arial" w:hAnsi="Arial" w:cs="Arial"/>
          <w:b w:val="0"/>
        </w:rPr>
      </w:pPr>
      <w:r w:rsidRPr="00AC2061">
        <w:rPr>
          <w:rFonts w:ascii="Arial" w:hAnsi="Arial" w:cs="Arial"/>
          <w:b w:val="0"/>
        </w:rPr>
        <w:t>The sample is transferred into the wells containing anti-procalcitonin antibodies labeled with alkaline phosphatase (conjugate).  The sample/conjugate mixture is cycled in and out of the SPR several times.  This operation enables the antigen to bind with the immunoglobulins fixed to the interior wall of the SPR and the conjugate to form a sandwich.  Unbound components are eliminated during washing steps.</w:t>
      </w:r>
    </w:p>
    <w:p w:rsidR="00AC2061" w:rsidRPr="00AC2061" w:rsidRDefault="00AC2061" w:rsidP="00AC2061">
      <w:pPr>
        <w:rPr>
          <w:rFonts w:ascii="Arial" w:hAnsi="Arial" w:cs="Arial"/>
          <w:b w:val="0"/>
        </w:rPr>
      </w:pPr>
      <w:r w:rsidRPr="00AC2061">
        <w:rPr>
          <w:rFonts w:ascii="Arial" w:hAnsi="Arial" w:cs="Arial"/>
          <w:b w:val="0"/>
        </w:rPr>
        <w:t>Two detection steps are performed successively.  During each step, the substrate (4-methyl-umbelliferyl phosphate) is cycled in and out of the SPR.  The conjugate enzyme catalyzes the hydrolysis of this substrate into a fluorescent product (4-methyl-ubelliferone) the fluorescence of which is measured at 450nm.  The intensity of the fluorescence is proportional to the concentration of antigen present in the sample.</w:t>
      </w:r>
    </w:p>
    <w:p w:rsidR="00AC2061" w:rsidRPr="00AC2061" w:rsidRDefault="00AC2061" w:rsidP="00AC2061">
      <w:pPr>
        <w:rPr>
          <w:rFonts w:ascii="Arial" w:hAnsi="Arial" w:cs="Arial"/>
          <w:b w:val="0"/>
        </w:rPr>
      </w:pPr>
      <w:r w:rsidRPr="00AC2061">
        <w:rPr>
          <w:rFonts w:ascii="Arial" w:hAnsi="Arial" w:cs="Arial"/>
          <w:b w:val="0"/>
        </w:rPr>
        <w:t>At the end of the assay, results are automatically calculated by the instrument in relation to two calibration curves, stored in memory, corresponding to the two detection steps.  A fluorescence threshold value determines the calibration curve to be used for each sample.  The results are then printed out.</w:t>
      </w:r>
    </w:p>
    <w:p w:rsidR="00E55805" w:rsidRPr="00521A62" w:rsidRDefault="00E55805" w:rsidP="00AC2061">
      <w:pPr>
        <w:jc w:val="both"/>
        <w:rPr>
          <w:rFonts w:ascii="Arial" w:hAnsi="Arial"/>
          <w:b w:val="0"/>
          <w:bCs/>
        </w:rPr>
      </w:pPr>
    </w:p>
    <w:p w:rsidR="005B0591" w:rsidRPr="00521A62" w:rsidRDefault="005B0591" w:rsidP="005B0591">
      <w:pPr>
        <w:jc w:val="both"/>
        <w:rPr>
          <w:rFonts w:ascii="Arial" w:hAnsi="Arial" w:cs="Arial"/>
          <w:b w:val="0"/>
        </w:rPr>
      </w:pPr>
    </w:p>
    <w:p w:rsidR="00FB3070" w:rsidRDefault="00FB3070" w:rsidP="0024240E">
      <w:pPr>
        <w:jc w:val="both"/>
        <w:rPr>
          <w:rFonts w:ascii="Arial" w:hAnsi="Arial" w:cs="Arial"/>
          <w:b w:val="0"/>
        </w:rPr>
      </w:pPr>
      <w:r w:rsidRPr="00521A62">
        <w:rPr>
          <w:rFonts w:ascii="Arial" w:hAnsi="Arial" w:cs="Arial"/>
        </w:rPr>
        <w:t>SCOPE:</w:t>
      </w:r>
      <w:r w:rsidR="00E311DA" w:rsidRPr="00521A62">
        <w:rPr>
          <w:rFonts w:ascii="Arial" w:hAnsi="Arial" w:cs="Arial"/>
        </w:rPr>
        <w:t xml:space="preserve">  </w:t>
      </w:r>
      <w:r w:rsidR="00855C6E">
        <w:rPr>
          <w:rFonts w:ascii="Arial" w:hAnsi="Arial" w:cs="Arial"/>
          <w:b w:val="0"/>
        </w:rPr>
        <w:t xml:space="preserve">This procedure provides instruction </w:t>
      </w:r>
      <w:r w:rsidR="00AC2061">
        <w:rPr>
          <w:rFonts w:ascii="Arial" w:hAnsi="Arial" w:cs="Arial"/>
          <w:b w:val="0"/>
        </w:rPr>
        <w:t>Procalcitonin</w:t>
      </w:r>
      <w:r w:rsidR="00855C6E">
        <w:rPr>
          <w:rFonts w:ascii="Arial" w:hAnsi="Arial" w:cs="Arial"/>
          <w:b w:val="0"/>
        </w:rPr>
        <w:t xml:space="preserve"> testing performed on the </w:t>
      </w:r>
      <w:r w:rsidR="00E311DA" w:rsidRPr="00521A62">
        <w:rPr>
          <w:rFonts w:ascii="Arial" w:hAnsi="Arial" w:cs="Arial"/>
          <w:b w:val="0"/>
        </w:rPr>
        <w:t>mini Vidas instrument.</w:t>
      </w:r>
    </w:p>
    <w:p w:rsidR="00AC2061" w:rsidRPr="00521A62" w:rsidRDefault="00AC2061" w:rsidP="0024240E">
      <w:pPr>
        <w:jc w:val="both"/>
        <w:rPr>
          <w:rFonts w:ascii="Arial" w:hAnsi="Arial" w:cs="Arial"/>
        </w:rPr>
      </w:pPr>
    </w:p>
    <w:p w:rsidR="00616735" w:rsidRDefault="00E466DA" w:rsidP="004F4219">
      <w:pPr>
        <w:rPr>
          <w:rFonts w:ascii="Arial" w:hAnsi="Arial" w:cs="Arial"/>
          <w:b w:val="0"/>
        </w:rPr>
      </w:pPr>
      <w:r w:rsidRPr="004F4219">
        <w:rPr>
          <w:rFonts w:ascii="Arial" w:hAnsi="Arial" w:cs="Arial"/>
        </w:rPr>
        <w:t>SPECIMEN:</w:t>
      </w:r>
      <w:r w:rsidR="004A0C01" w:rsidRPr="004F4219">
        <w:rPr>
          <w:rFonts w:ascii="Arial" w:hAnsi="Arial" w:cs="Arial"/>
          <w:b w:val="0"/>
        </w:rPr>
        <w:t xml:space="preserve"> </w:t>
      </w:r>
    </w:p>
    <w:p w:rsidR="004F4219" w:rsidRPr="004F4219" w:rsidRDefault="00616735" w:rsidP="004F4219">
      <w:pPr>
        <w:rPr>
          <w:rFonts w:ascii="Arial" w:hAnsi="Arial" w:cs="Arial"/>
          <w:b w:val="0"/>
        </w:rPr>
      </w:pPr>
      <w:r w:rsidRPr="00616735">
        <w:rPr>
          <w:rFonts w:ascii="Arial" w:hAnsi="Arial" w:cs="Arial"/>
        </w:rPr>
        <w:t>Type:</w:t>
      </w:r>
      <w:r>
        <w:rPr>
          <w:rFonts w:ascii="Arial" w:hAnsi="Arial" w:cs="Arial"/>
          <w:b w:val="0"/>
        </w:rPr>
        <w:t xml:space="preserve"> </w:t>
      </w:r>
      <w:r w:rsidR="004F4219" w:rsidRPr="004F4219">
        <w:rPr>
          <w:rFonts w:ascii="Arial" w:hAnsi="Arial" w:cs="Arial"/>
          <w:b w:val="0"/>
        </w:rPr>
        <w:t>Collect blood by venipuncture to obtain either serum or plasma (lithium heparinate).</w:t>
      </w:r>
    </w:p>
    <w:p w:rsidR="004F4219" w:rsidRPr="004F4219" w:rsidRDefault="004F4219" w:rsidP="004F4219">
      <w:pPr>
        <w:rPr>
          <w:rFonts w:ascii="Arial" w:hAnsi="Arial" w:cs="Arial"/>
          <w:b w:val="0"/>
        </w:rPr>
      </w:pPr>
      <w:r w:rsidRPr="004F4219">
        <w:rPr>
          <w:rFonts w:ascii="Arial" w:hAnsi="Arial" w:cs="Arial"/>
          <w:b w:val="0"/>
        </w:rPr>
        <w:t>For a given patient, the PCT assays must be performed on the same type of sample.</w:t>
      </w:r>
    </w:p>
    <w:p w:rsidR="004F4219" w:rsidRPr="004F4219" w:rsidRDefault="004F4219" w:rsidP="004F4219">
      <w:pPr>
        <w:rPr>
          <w:rFonts w:ascii="Arial" w:hAnsi="Arial" w:cs="Arial"/>
          <w:b w:val="0"/>
        </w:rPr>
      </w:pPr>
      <w:r w:rsidRPr="004F4219">
        <w:rPr>
          <w:rFonts w:ascii="Arial" w:hAnsi="Arial" w:cs="Arial"/>
          <w:b w:val="0"/>
        </w:rPr>
        <w:t>Since EDTA causes a decrease in the values measured, plasma collected in EDTA should not be used.</w:t>
      </w:r>
    </w:p>
    <w:p w:rsidR="004F4219" w:rsidRPr="004F4219" w:rsidRDefault="004F4219" w:rsidP="004F4219">
      <w:pPr>
        <w:rPr>
          <w:rFonts w:ascii="Arial" w:hAnsi="Arial" w:cs="Arial"/>
          <w:b w:val="0"/>
        </w:rPr>
      </w:pPr>
      <w:r w:rsidRPr="004F4219">
        <w:rPr>
          <w:rFonts w:ascii="Arial" w:hAnsi="Arial" w:cs="Arial"/>
          <w:b w:val="0"/>
        </w:rPr>
        <w:t>Centrifuge according to the tube manufacturer’s recommendations to eliminate fibrin.</w:t>
      </w:r>
    </w:p>
    <w:p w:rsidR="004F4219" w:rsidRPr="004F4219" w:rsidRDefault="004F4219" w:rsidP="004F4219">
      <w:pPr>
        <w:rPr>
          <w:rFonts w:ascii="Arial" w:hAnsi="Arial" w:cs="Arial"/>
          <w:b w:val="0"/>
        </w:rPr>
      </w:pPr>
      <w:r w:rsidRPr="004F4219">
        <w:rPr>
          <w:rFonts w:ascii="Arial" w:hAnsi="Arial" w:cs="Arial"/>
          <w:b w:val="0"/>
        </w:rPr>
        <w:t>The sera or plasma, separated from the clot, can be stored at 2 to 8</w:t>
      </w:r>
      <w:r w:rsidRPr="004F4219">
        <w:rPr>
          <w:rFonts w:ascii="Arial" w:hAnsi="Arial" w:cs="Arial"/>
          <w:b w:val="0"/>
          <w:vertAlign w:val="superscript"/>
        </w:rPr>
        <w:t>o</w:t>
      </w:r>
      <w:r w:rsidRPr="004F4219">
        <w:rPr>
          <w:rFonts w:ascii="Arial" w:hAnsi="Arial" w:cs="Arial"/>
          <w:b w:val="0"/>
        </w:rPr>
        <w:t>C for 48 hours.</w:t>
      </w:r>
    </w:p>
    <w:p w:rsidR="004F4219" w:rsidRPr="004F4219" w:rsidRDefault="004F4219" w:rsidP="004F4219">
      <w:pPr>
        <w:rPr>
          <w:rFonts w:ascii="Arial" w:hAnsi="Arial" w:cs="Arial"/>
          <w:b w:val="0"/>
        </w:rPr>
      </w:pPr>
      <w:r w:rsidRPr="004F4219">
        <w:rPr>
          <w:rFonts w:ascii="Arial" w:hAnsi="Arial" w:cs="Arial"/>
          <w:b w:val="0"/>
        </w:rPr>
        <w:lastRenderedPageBreak/>
        <w:t>If longer storage is required, freeze at -25 ± 6</w:t>
      </w:r>
      <w:r w:rsidRPr="004F4219">
        <w:rPr>
          <w:rFonts w:ascii="Arial" w:hAnsi="Arial" w:cs="Arial"/>
          <w:b w:val="0"/>
          <w:vertAlign w:val="superscript"/>
        </w:rPr>
        <w:t>o</w:t>
      </w:r>
      <w:r w:rsidRPr="004F4219">
        <w:rPr>
          <w:rFonts w:ascii="Arial" w:hAnsi="Arial" w:cs="Arial"/>
          <w:b w:val="0"/>
        </w:rPr>
        <w:t>C for up to 6 months.  The sample may undergo 3 freeze/thaw cycles.</w:t>
      </w:r>
    </w:p>
    <w:p w:rsidR="004F4219" w:rsidRPr="004F4219" w:rsidRDefault="004F4219" w:rsidP="004F4219">
      <w:pPr>
        <w:rPr>
          <w:rFonts w:ascii="Arial" w:hAnsi="Arial" w:cs="Arial"/>
          <w:b w:val="0"/>
        </w:rPr>
      </w:pPr>
      <w:r w:rsidRPr="004F4219">
        <w:rPr>
          <w:rFonts w:ascii="Arial" w:hAnsi="Arial" w:cs="Arial"/>
          <w:b w:val="0"/>
        </w:rPr>
        <w:t>None of the following factors have been found to significantly influence this assay: hemolysis, lipemia, or bilirubinemia.</w:t>
      </w:r>
    </w:p>
    <w:p w:rsidR="004F4219" w:rsidRPr="004F4219" w:rsidRDefault="004F4219" w:rsidP="004F4219">
      <w:pPr>
        <w:rPr>
          <w:rFonts w:ascii="Arial" w:hAnsi="Arial" w:cs="Arial"/>
          <w:b w:val="0"/>
        </w:rPr>
      </w:pPr>
      <w:r w:rsidRPr="004F4219">
        <w:rPr>
          <w:rFonts w:ascii="Arial" w:hAnsi="Arial" w:cs="Arial"/>
          <w:b w:val="0"/>
        </w:rPr>
        <w:t>However, it is recommended not to use samples which appear to be hemolyzed, lipemic or icteric and, if possible, to collect a new sample.</w:t>
      </w:r>
    </w:p>
    <w:p w:rsidR="00E7475D" w:rsidRPr="00521A62" w:rsidRDefault="00E7475D" w:rsidP="00F45B6F">
      <w:pPr>
        <w:overflowPunct/>
        <w:textAlignment w:val="auto"/>
        <w:rPr>
          <w:rFonts w:ascii="Arial" w:hAnsi="Arial" w:cs="Arial"/>
          <w:bCs/>
        </w:rPr>
      </w:pPr>
    </w:p>
    <w:p w:rsidR="00F45B6F" w:rsidRDefault="00E55805" w:rsidP="00F45B6F">
      <w:pPr>
        <w:overflowPunct/>
        <w:textAlignment w:val="auto"/>
        <w:rPr>
          <w:rFonts w:ascii="Arial" w:hAnsi="Arial" w:cs="Arial"/>
          <w:bCs/>
        </w:rPr>
      </w:pPr>
      <w:r w:rsidRPr="00521A62">
        <w:rPr>
          <w:rFonts w:ascii="Arial" w:hAnsi="Arial" w:cs="Arial"/>
          <w:bCs/>
        </w:rPr>
        <w:t>I</w:t>
      </w:r>
      <w:r w:rsidR="00F45B6F" w:rsidRPr="00521A62">
        <w:rPr>
          <w:rFonts w:ascii="Arial" w:hAnsi="Arial" w:cs="Arial"/>
          <w:bCs/>
        </w:rPr>
        <w:t>NTERFERENCES</w:t>
      </w:r>
    </w:p>
    <w:p w:rsidR="00616735" w:rsidRPr="00521A62" w:rsidRDefault="00616735" w:rsidP="00F45B6F">
      <w:pPr>
        <w:overflowPunct/>
        <w:textAlignment w:val="auto"/>
        <w:rPr>
          <w:rFonts w:ascii="Arial" w:hAnsi="Arial" w:cs="Arial"/>
          <w:bCs/>
        </w:rPr>
      </w:pPr>
    </w:p>
    <w:p w:rsidR="004F4219" w:rsidRPr="004F4219" w:rsidRDefault="004F4219" w:rsidP="004F4219">
      <w:pPr>
        <w:rPr>
          <w:rFonts w:ascii="Arial" w:hAnsi="Arial" w:cs="Arial"/>
          <w:b w:val="0"/>
        </w:rPr>
      </w:pPr>
      <w:r w:rsidRPr="004F4219">
        <w:rPr>
          <w:rFonts w:ascii="Arial" w:hAnsi="Arial" w:cs="Arial"/>
          <w:b w:val="0"/>
        </w:rPr>
        <w:t xml:space="preserve">Interference may be encountered with certain samples containing antibodies directed against reagent components.  For this reason, assay results should be interpreted taking into consideration the patient’s </w:t>
      </w:r>
      <w:r w:rsidR="005311DC" w:rsidRPr="004F4219">
        <w:rPr>
          <w:rFonts w:ascii="Arial" w:hAnsi="Arial" w:cs="Arial"/>
          <w:b w:val="0"/>
        </w:rPr>
        <w:t>history</w:t>
      </w:r>
      <w:r w:rsidRPr="004F4219">
        <w:rPr>
          <w:rFonts w:ascii="Arial" w:hAnsi="Arial" w:cs="Arial"/>
          <w:b w:val="0"/>
        </w:rPr>
        <w:t xml:space="preserve"> and the results of any other tests performed.</w:t>
      </w:r>
    </w:p>
    <w:p w:rsidR="00E466DA" w:rsidRPr="00521A62" w:rsidRDefault="00E466DA" w:rsidP="00E872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A552B"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 AND MATERIALS:</w:t>
      </w:r>
    </w:p>
    <w:p w:rsidR="000A552B" w:rsidRPr="00521A62" w:rsidRDefault="000A552B"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w:t>
      </w:r>
      <w:r w:rsidR="001071A7" w:rsidRPr="00521A62">
        <w:rPr>
          <w:rFonts w:ascii="Arial" w:hAnsi="Arial" w:cs="Arial"/>
        </w:rPr>
        <w:t xml:space="preserve"> </w:t>
      </w:r>
      <w:r w:rsidR="00E935C8" w:rsidRPr="00521A62">
        <w:rPr>
          <w:rFonts w:ascii="Arial" w:hAnsi="Arial" w:cs="Arial"/>
          <w:b w:val="0"/>
        </w:rPr>
        <w:t>Biomerieux</w:t>
      </w:r>
      <w:r w:rsidR="001071A7" w:rsidRPr="00521A62">
        <w:rPr>
          <w:rFonts w:ascii="Arial" w:hAnsi="Arial" w:cs="Arial"/>
          <w:b w:val="0"/>
        </w:rPr>
        <w:t xml:space="preserve"> Mini Vidas Instrument</w:t>
      </w:r>
    </w:p>
    <w:p w:rsidR="00010026" w:rsidRPr="00521A62" w:rsidRDefault="00010026" w:rsidP="0099211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b w:val="0"/>
        </w:rPr>
        <w:tab/>
      </w:r>
      <w:r w:rsidRPr="00521A62">
        <w:rPr>
          <w:rFonts w:ascii="Arial" w:hAnsi="Arial" w:cs="Arial"/>
          <w:b w:val="0"/>
        </w:rPr>
        <w:tab/>
      </w:r>
      <w:r w:rsidRPr="00521A62">
        <w:rPr>
          <w:rFonts w:ascii="Arial" w:hAnsi="Arial" w:cs="Arial"/>
          <w:b w:val="0"/>
        </w:rPr>
        <w:tab/>
        <w:t xml:space="preserve">        </w:t>
      </w:r>
    </w:p>
    <w:p w:rsidR="000A552B" w:rsidRPr="00521A62" w:rsidRDefault="00175E58" w:rsidP="00175E58">
      <w:pPr>
        <w:overflowPunct/>
        <w:textAlignment w:val="auto"/>
        <w:rPr>
          <w:rFonts w:ascii="Arial" w:hAnsi="Arial" w:cs="Arial"/>
          <w:b w:val="0"/>
        </w:rPr>
      </w:pPr>
      <w:r w:rsidRPr="00521A62">
        <w:rPr>
          <w:rFonts w:ascii="Arial" w:hAnsi="Arial" w:cs="Arial"/>
        </w:rPr>
        <w:t xml:space="preserve">        </w:t>
      </w:r>
      <w:r w:rsidR="00E466DA" w:rsidRPr="00521A62">
        <w:rPr>
          <w:rFonts w:ascii="Arial" w:hAnsi="Arial" w:cs="Arial"/>
        </w:rPr>
        <w:t>Materials</w:t>
      </w:r>
      <w:r w:rsidR="00E466DA" w:rsidRPr="00521A62">
        <w:rPr>
          <w:rFonts w:ascii="Arial" w:hAnsi="Arial" w:cs="Arial"/>
          <w:b w:val="0"/>
        </w:rPr>
        <w:t>:</w:t>
      </w:r>
      <w:r w:rsidRPr="00521A62">
        <w:rPr>
          <w:rFonts w:ascii="Arial" w:hAnsi="Arial" w:cs="Arial"/>
          <w:b w:val="0"/>
        </w:rPr>
        <w:t xml:space="preserve"> </w:t>
      </w:r>
    </w:p>
    <w:p w:rsidR="00175E58" w:rsidRPr="00521A62" w:rsidRDefault="00175E58" w:rsidP="00175E58">
      <w:pPr>
        <w:overflowPunct/>
        <w:textAlignment w:val="auto"/>
        <w:rPr>
          <w:rFonts w:ascii="Arial" w:hAnsi="Arial"/>
          <w:b w:val="0"/>
          <w:bCs/>
        </w:rPr>
      </w:pPr>
      <w:r w:rsidRPr="00521A62">
        <w:rPr>
          <w:rFonts w:ascii="Arial" w:hAnsi="Arial"/>
          <w:b w:val="0"/>
          <w:bCs/>
        </w:rPr>
        <w:t>.</w:t>
      </w:r>
    </w:p>
    <w:p w:rsidR="000A552B" w:rsidRPr="00521A62" w:rsidRDefault="000A552B" w:rsidP="000A552B">
      <w:pPr>
        <w:overflowPunct/>
        <w:textAlignment w:val="auto"/>
        <w:rPr>
          <w:rFonts w:ascii="Arial" w:hAnsi="Arial"/>
          <w:b w:val="0"/>
          <w:bCs/>
        </w:rPr>
      </w:pPr>
      <w:r w:rsidRPr="00521A62">
        <w:rPr>
          <w:rFonts w:ascii="Arial" w:hAnsi="Arial"/>
          <w:bCs/>
        </w:rPr>
        <w:tab/>
      </w:r>
      <w:r w:rsidRPr="00521A62">
        <w:rPr>
          <w:rFonts w:ascii="Arial" w:hAnsi="Arial"/>
          <w:b w:val="0"/>
          <w:bCs/>
        </w:rPr>
        <w:t>A. Reagents and Materials Provided</w:t>
      </w:r>
    </w:p>
    <w:p w:rsidR="00FB325B" w:rsidRPr="00521A62" w:rsidRDefault="00FB325B" w:rsidP="000A552B">
      <w:pPr>
        <w:overflowPunct/>
        <w:textAlignment w:val="auto"/>
        <w:rPr>
          <w:rFonts w:ascii="Arial" w:hAnsi="Arial"/>
          <w:b w:val="0"/>
          <w:bCs/>
        </w:rPr>
      </w:pPr>
    </w:p>
    <w:p w:rsidR="00F45B6F" w:rsidRPr="00521A62" w:rsidRDefault="000A552B" w:rsidP="000A552B">
      <w:pPr>
        <w:overflowPunct/>
        <w:textAlignment w:val="auto"/>
        <w:rPr>
          <w:rFonts w:ascii="Arial" w:hAnsi="Arial"/>
          <w:b w:val="0"/>
          <w:bCs/>
        </w:rPr>
      </w:pPr>
      <w:r w:rsidRPr="00521A62">
        <w:rPr>
          <w:rFonts w:ascii="Arial" w:hAnsi="Arial"/>
          <w:b w:val="0"/>
          <w:bCs/>
        </w:rPr>
        <w:tab/>
        <w:t xml:space="preserve">Refrigerate 2 to 8 </w:t>
      </w:r>
      <w:r w:rsidR="00FB325B" w:rsidRPr="00521A62">
        <w:rPr>
          <w:rFonts w:ascii="Arial" w:hAnsi="Arial"/>
          <w:b w:val="0"/>
          <w:bCs/>
          <w:vertAlign w:val="superscript"/>
        </w:rPr>
        <w:t>o</w:t>
      </w:r>
      <w:r w:rsidRPr="00521A62">
        <w:rPr>
          <w:rFonts w:ascii="Arial" w:hAnsi="Arial"/>
          <w:b w:val="0"/>
          <w:bCs/>
        </w:rPr>
        <w:t>C</w:t>
      </w:r>
      <w:r w:rsidR="00CC5893" w:rsidRPr="00521A62">
        <w:rPr>
          <w:rFonts w:ascii="Arial" w:hAnsi="Arial"/>
          <w:b w:val="0"/>
          <w:bCs/>
        </w:rPr>
        <w:t xml:space="preserve"> </w:t>
      </w:r>
      <w:r w:rsidRPr="00521A62">
        <w:rPr>
          <w:rFonts w:ascii="Arial" w:hAnsi="Arial"/>
          <w:b w:val="0"/>
          <w:bCs/>
        </w:rPr>
        <w:t xml:space="preserve"> Note: Do not freeze the reagent kit.</w:t>
      </w:r>
    </w:p>
    <w:p w:rsidR="000A552B" w:rsidRPr="00521A62" w:rsidRDefault="000A552B" w:rsidP="000A552B">
      <w:pPr>
        <w:overflowPunct/>
        <w:textAlignment w:val="auto"/>
        <w:rPr>
          <w:rFonts w:ascii="Arial" w:hAnsi="Arial"/>
          <w:b w:val="0"/>
          <w:bCs/>
        </w:rPr>
      </w:pP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Reagent Strips</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SPRs</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Calibrators (S1 and S2)</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Controls (C1 and C2)</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MLE Card</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Package Insert</w:t>
      </w:r>
    </w:p>
    <w:p w:rsidR="004F4219" w:rsidRPr="004F4219" w:rsidRDefault="004F4219" w:rsidP="004F4219">
      <w:pPr>
        <w:pStyle w:val="ListParagraph"/>
        <w:numPr>
          <w:ilvl w:val="0"/>
          <w:numId w:val="7"/>
        </w:numPr>
        <w:overflowPunct/>
        <w:autoSpaceDE/>
        <w:autoSpaceDN/>
        <w:adjustRightInd/>
        <w:spacing w:after="200" w:line="276" w:lineRule="auto"/>
        <w:textAlignment w:val="auto"/>
        <w:rPr>
          <w:rFonts w:ascii="Arial" w:hAnsi="Arial" w:cs="Arial"/>
          <w:b w:val="0"/>
        </w:rPr>
      </w:pPr>
      <w:r w:rsidRPr="004F4219">
        <w:rPr>
          <w:rFonts w:ascii="Arial" w:hAnsi="Arial" w:cs="Arial"/>
          <w:b w:val="0"/>
        </w:rPr>
        <w:t>Reagent Preparation and Storage</w:t>
      </w:r>
    </w:p>
    <w:p w:rsidR="004F4219" w:rsidRPr="004F4219" w:rsidRDefault="004F4219" w:rsidP="004F4219">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t>PCT Calibrators – Reconstitute with 2 ml of distilled water.  Let stand 5-10 minutes, then mix.  Once reconstituted, the calibrators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006A47">
        <w:rPr>
          <w:rFonts w:ascii="Arial" w:hAnsi="Arial" w:cs="Arial"/>
          <w:b w:val="0"/>
        </w:rPr>
        <w:t xml:space="preserve">C.  </w:t>
      </w:r>
      <w:r w:rsidRPr="004F4219">
        <w:rPr>
          <w:rFonts w:ascii="Arial" w:hAnsi="Arial" w:cs="Arial"/>
          <w:b w:val="0"/>
        </w:rPr>
        <w:t>Freeze immediately after reconstitution.  Five (5) freeze/thaw cycles are possible.</w:t>
      </w:r>
    </w:p>
    <w:p w:rsidR="00175E58" w:rsidRPr="004F4219" w:rsidRDefault="004F4219" w:rsidP="00AC2061">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lastRenderedPageBreak/>
        <w:t>PCT Controls – Reconstitute with 2 ml of distilled water.  Let stand 5-10 minutes, then mix.  Once reconstituted, the controls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245309">
        <w:rPr>
          <w:rFonts w:ascii="Arial" w:hAnsi="Arial" w:cs="Arial"/>
          <w:b w:val="0"/>
        </w:rPr>
        <w:t xml:space="preserve">C </w:t>
      </w:r>
      <w:r w:rsidRPr="004F4219">
        <w:rPr>
          <w:rFonts w:ascii="Arial" w:hAnsi="Arial" w:cs="Arial"/>
          <w:b w:val="0"/>
        </w:rPr>
        <w:t>Freeze immediately after reconstitution.  Five (5) freeze/thaw cycles are possible.</w:t>
      </w:r>
    </w:p>
    <w:p w:rsidR="00175E58" w:rsidRPr="00521A62" w:rsidRDefault="00F45B6F" w:rsidP="00175E58">
      <w:pPr>
        <w:overflowPunct/>
        <w:textAlignment w:val="auto"/>
        <w:rPr>
          <w:rFonts w:ascii="Arial" w:hAnsi="Arial"/>
          <w:b w:val="0"/>
          <w:bCs/>
        </w:rPr>
      </w:pPr>
      <w:r w:rsidRPr="00521A62">
        <w:rPr>
          <w:rFonts w:ascii="Arial" w:hAnsi="Arial"/>
          <w:b w:val="0"/>
          <w:bCs/>
        </w:rPr>
        <w:t xml:space="preserve">           </w:t>
      </w:r>
      <w:r w:rsidR="00175E58" w:rsidRPr="00521A62">
        <w:rPr>
          <w:rFonts w:ascii="Arial" w:hAnsi="Arial"/>
          <w:b w:val="0"/>
          <w:bCs/>
        </w:rPr>
        <w:t>C. Materials Required But Not Provided</w:t>
      </w:r>
    </w:p>
    <w:p w:rsidR="00FB325B" w:rsidRPr="00521A62" w:rsidRDefault="00FB325B" w:rsidP="00175E58">
      <w:pPr>
        <w:overflowPunct/>
        <w:textAlignment w:val="auto"/>
        <w:rPr>
          <w:rFonts w:ascii="Arial" w:hAnsi="Arial"/>
          <w:b w:val="0"/>
          <w:bCs/>
        </w:rPr>
      </w:pPr>
    </w:p>
    <w:p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 xml:space="preserve"> </w:t>
      </w:r>
      <w:r w:rsidR="004F4219">
        <w:rPr>
          <w:rFonts w:ascii="Arial" w:hAnsi="Arial"/>
          <w:b w:val="0"/>
          <w:bCs/>
        </w:rPr>
        <w:tab/>
      </w:r>
      <w:r w:rsidRPr="00521A62">
        <w:rPr>
          <w:rFonts w:ascii="Arial" w:hAnsi="Arial"/>
          <w:b w:val="0"/>
          <w:bCs/>
        </w:rPr>
        <w:t>1. Calibrated pipette to dispense 200 ul and 2 ml.</w:t>
      </w:r>
    </w:p>
    <w:p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ab/>
      </w:r>
      <w:r w:rsidRPr="00521A62">
        <w:rPr>
          <w:rFonts w:ascii="Arial" w:hAnsi="Arial"/>
          <w:b w:val="0"/>
          <w:bCs/>
        </w:rPr>
        <w:t>2. Disposable pipette tips for pipette.</w:t>
      </w:r>
    </w:p>
    <w:p w:rsidR="00175E58"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 w:val="0"/>
          <w:bCs/>
        </w:rPr>
      </w:pPr>
      <w:r w:rsidRPr="00521A62">
        <w:rPr>
          <w:rFonts w:ascii="Arial" w:hAnsi="Arial"/>
          <w:b w:val="0"/>
          <w:bCs/>
        </w:rPr>
        <w:t xml:space="preserve">   </w:t>
      </w:r>
      <w:r w:rsidR="004F4219">
        <w:rPr>
          <w:rFonts w:ascii="Arial" w:hAnsi="Arial"/>
          <w:b w:val="0"/>
          <w:bCs/>
        </w:rPr>
        <w:tab/>
      </w:r>
      <w:r w:rsidRPr="00521A62">
        <w:rPr>
          <w:rFonts w:ascii="Arial" w:hAnsi="Arial"/>
          <w:b w:val="0"/>
          <w:bCs/>
        </w:rPr>
        <w:t>3. Powderless disposable gloves.</w:t>
      </w:r>
    </w:p>
    <w:p w:rsidR="00236F38" w:rsidRPr="00236F38" w:rsidRDefault="00236F38" w:rsidP="00236F38">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val="0"/>
          <w:bCs/>
        </w:rPr>
      </w:pPr>
      <w:r>
        <w:rPr>
          <w:rFonts w:ascii="Arial" w:hAnsi="Arial"/>
          <w:b w:val="0"/>
          <w:bCs/>
        </w:rPr>
        <w:t>MAS Omni-IMMUNE Integrated Immunoassay Controls</w:t>
      </w:r>
    </w:p>
    <w:p w:rsidR="00175E58" w:rsidRPr="00521A62" w:rsidRDefault="00175E58"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rPr>
        <w:t>Preparation:</w:t>
      </w:r>
      <w:r w:rsidR="00010026" w:rsidRPr="00521A62">
        <w:rPr>
          <w:rFonts w:ascii="Arial" w:hAnsi="Arial" w:cs="Arial"/>
        </w:rPr>
        <w:t xml:space="preserve"> </w:t>
      </w:r>
      <w:r w:rsidR="003B2B6A" w:rsidRPr="00521A62">
        <w:rPr>
          <w:rFonts w:ascii="Arial" w:hAnsi="Arial" w:cs="Arial"/>
          <w:b w:val="0"/>
        </w:rPr>
        <w:t xml:space="preserve">Remove the required reagents and SPR's from the refrigerator.  They can be used immediately.  </w:t>
      </w:r>
      <w:r w:rsidR="000A552B" w:rsidRPr="00521A62">
        <w:rPr>
          <w:rFonts w:ascii="Arial" w:hAnsi="Arial" w:cs="Arial"/>
          <w:b w:val="0"/>
        </w:rPr>
        <w:t>Use</w:t>
      </w:r>
      <w:r w:rsidR="003B2B6A" w:rsidRPr="00521A62">
        <w:rPr>
          <w:rFonts w:ascii="Arial" w:hAnsi="Arial" w:cs="Arial"/>
          <w:b w:val="0"/>
        </w:rPr>
        <w:t xml:space="preserve"> one </w:t>
      </w:r>
      <w:r w:rsidR="004F4219">
        <w:rPr>
          <w:rFonts w:ascii="Arial" w:hAnsi="Arial" w:cs="Arial"/>
          <w:b w:val="0"/>
        </w:rPr>
        <w:t>PCT</w:t>
      </w:r>
      <w:r w:rsidR="003B2B6A" w:rsidRPr="00521A62">
        <w:rPr>
          <w:rFonts w:ascii="Arial" w:hAnsi="Arial" w:cs="Arial"/>
          <w:b w:val="0"/>
        </w:rPr>
        <w:t xml:space="preserve"> and one </w:t>
      </w:r>
      <w:r w:rsidR="004F4219">
        <w:rPr>
          <w:rFonts w:ascii="Arial" w:hAnsi="Arial" w:cs="Arial"/>
          <w:b w:val="0"/>
        </w:rPr>
        <w:t>PCT</w:t>
      </w:r>
      <w:r w:rsidR="003B2B6A" w:rsidRPr="00521A62">
        <w:rPr>
          <w:rFonts w:ascii="Arial" w:hAnsi="Arial" w:cs="Arial"/>
          <w:b w:val="0"/>
        </w:rPr>
        <w:t xml:space="preserve"> SPR from the kit for each sample to be tested.  Make sure the SPR pouch h</w:t>
      </w:r>
      <w:r w:rsidR="001C5BB8" w:rsidRPr="00521A62">
        <w:rPr>
          <w:rFonts w:ascii="Arial" w:hAnsi="Arial" w:cs="Arial"/>
          <w:b w:val="0"/>
        </w:rPr>
        <w:t>as been resealed after the requ</w:t>
      </w:r>
      <w:r w:rsidR="003B2B6A" w:rsidRPr="00521A62">
        <w:rPr>
          <w:rFonts w:ascii="Arial" w:hAnsi="Arial" w:cs="Arial"/>
          <w:b w:val="0"/>
        </w:rPr>
        <w:t xml:space="preserve">ired </w:t>
      </w:r>
      <w:r w:rsidR="001C5BB8" w:rsidRPr="00521A62">
        <w:rPr>
          <w:rFonts w:ascii="Arial" w:hAnsi="Arial" w:cs="Arial"/>
          <w:b w:val="0"/>
        </w:rPr>
        <w:t xml:space="preserve">SPRs have been removed.  </w:t>
      </w:r>
      <w:r w:rsidR="001C5BB8" w:rsidRPr="00521A62">
        <w:rPr>
          <w:rFonts w:ascii="Arial" w:hAnsi="Arial" w:cs="Arial"/>
        </w:rPr>
        <w:t>Note:</w:t>
      </w:r>
      <w:r w:rsidR="001C5BB8" w:rsidRPr="00521A62">
        <w:rPr>
          <w:rFonts w:ascii="Arial" w:hAnsi="Arial" w:cs="Arial"/>
          <w:b w:val="0"/>
        </w:rPr>
        <w:t xml:space="preserve"> Carefully reseal the pouch with the desiccant inside after use to maintain stability of the SPRs.</w:t>
      </w:r>
    </w:p>
    <w:p w:rsidR="00E466DA" w:rsidRPr="00521A62" w:rsidRDefault="00E466DA"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B2B6A" w:rsidRDefault="00E466DA" w:rsidP="003B2B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521A62">
        <w:rPr>
          <w:rFonts w:ascii="Arial" w:hAnsi="Arial" w:cs="Arial"/>
        </w:rPr>
        <w:t>Storage Requirements:</w:t>
      </w:r>
      <w:r w:rsidR="003B2B6A" w:rsidRPr="00521A62">
        <w:rPr>
          <w:rFonts w:ascii="Arial" w:hAnsi="Arial" w:cs="Arial"/>
        </w:rPr>
        <w:t xml:space="preserve">  </w:t>
      </w:r>
    </w:p>
    <w:p w:rsidR="004F4219" w:rsidRPr="004F4219" w:rsidRDefault="00616735" w:rsidP="005B155F">
      <w:pPr>
        <w:ind w:left="562"/>
        <w:rPr>
          <w:rFonts w:ascii="Arial" w:hAnsi="Arial" w:cs="Arial"/>
          <w:b w:val="0"/>
        </w:rPr>
      </w:pPr>
      <w:r>
        <w:rPr>
          <w:rFonts w:ascii="Arial" w:hAnsi="Arial" w:cs="Arial"/>
          <w:b w:val="0"/>
        </w:rPr>
        <w:t>Serum</w:t>
      </w:r>
      <w:r w:rsidR="004F4219" w:rsidRPr="004F4219">
        <w:rPr>
          <w:rFonts w:ascii="Arial" w:hAnsi="Arial" w:cs="Arial"/>
          <w:b w:val="0"/>
        </w:rPr>
        <w:t xml:space="preserve"> or plasma, separated from the clot, can be stored at 2 to 8</w:t>
      </w:r>
      <w:r w:rsidR="004F4219" w:rsidRPr="004F4219">
        <w:rPr>
          <w:rFonts w:ascii="Arial" w:hAnsi="Arial" w:cs="Arial"/>
          <w:b w:val="0"/>
          <w:vertAlign w:val="superscript"/>
        </w:rPr>
        <w:t>o</w:t>
      </w:r>
      <w:r w:rsidR="004F4219" w:rsidRPr="004F4219">
        <w:rPr>
          <w:rFonts w:ascii="Arial" w:hAnsi="Arial" w:cs="Arial"/>
          <w:b w:val="0"/>
        </w:rPr>
        <w:t>C for 48 hours.</w:t>
      </w:r>
    </w:p>
    <w:p w:rsidR="004F4219" w:rsidRPr="004F4219" w:rsidRDefault="004F4219" w:rsidP="005B155F">
      <w:pPr>
        <w:ind w:left="562"/>
        <w:rPr>
          <w:rFonts w:ascii="Arial" w:hAnsi="Arial" w:cs="Arial"/>
          <w:b w:val="0"/>
        </w:rPr>
      </w:pPr>
      <w:r w:rsidRPr="004F4219">
        <w:rPr>
          <w:rFonts w:ascii="Arial" w:hAnsi="Arial" w:cs="Arial"/>
          <w:b w:val="0"/>
        </w:rPr>
        <w:t>If longer storage is required, freeze at -25 ± 6</w:t>
      </w:r>
      <w:r w:rsidRPr="004F4219">
        <w:rPr>
          <w:rFonts w:ascii="Arial" w:hAnsi="Arial" w:cs="Arial"/>
          <w:b w:val="0"/>
          <w:vertAlign w:val="superscript"/>
        </w:rPr>
        <w:t>o</w:t>
      </w:r>
      <w:r w:rsidRPr="004F4219">
        <w:rPr>
          <w:rFonts w:ascii="Arial" w:hAnsi="Arial" w:cs="Arial"/>
          <w:b w:val="0"/>
        </w:rPr>
        <w:t>C for up to 6 months.  The sample may undergo 3 freeze/thaw cycles.</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CALIBRATION:</w:t>
      </w:r>
    </w:p>
    <w:p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Master Lot Entry Data Entry</w:t>
      </w:r>
    </w:p>
    <w:p w:rsidR="005B155F" w:rsidRPr="005B155F" w:rsidRDefault="005B155F" w:rsidP="005B155F">
      <w:pPr>
        <w:ind w:left="1440"/>
        <w:rPr>
          <w:rFonts w:ascii="Arial" w:hAnsi="Arial" w:cs="Arial"/>
          <w:b w:val="0"/>
        </w:rPr>
      </w:pPr>
      <w:r w:rsidRPr="005B155F">
        <w:rPr>
          <w:rFonts w:ascii="Arial" w:hAnsi="Arial" w:cs="Arial"/>
          <w:b w:val="0"/>
        </w:rPr>
        <w:t>Before each new lot of reagents is used, specifications (or factory master calibration curve data) must be entered into the instrument using a master lot entry (MLE) card included in each kit.  If this operation is not performed before initiating the tests, the protocol will not run.  The master lot entry (MLE) only needs to be entered once for each lot.</w:t>
      </w:r>
    </w:p>
    <w:p w:rsidR="005B155F" w:rsidRDefault="00006A47" w:rsidP="005B155F">
      <w:pPr>
        <w:ind w:left="1440"/>
        <w:rPr>
          <w:rFonts w:ascii="Arial" w:hAnsi="Arial" w:cs="Arial"/>
          <w:b w:val="0"/>
        </w:rPr>
      </w:pPr>
      <w:r>
        <w:rPr>
          <w:rFonts w:ascii="Arial" w:hAnsi="Arial" w:cs="Arial"/>
          <w:b w:val="0"/>
        </w:rPr>
        <w:t>Scan the 3D barcode on the box to enter the MLE data as needed.</w:t>
      </w:r>
    </w:p>
    <w:p w:rsidR="00006A47" w:rsidRDefault="00006A47" w:rsidP="00006A47">
      <w:pPr>
        <w:pStyle w:val="ListParagraph"/>
        <w:numPr>
          <w:ilvl w:val="0"/>
          <w:numId w:val="11"/>
        </w:numPr>
        <w:rPr>
          <w:rFonts w:ascii="Arial" w:hAnsi="Arial" w:cs="Arial"/>
          <w:b w:val="0"/>
        </w:rPr>
      </w:pPr>
      <w:r>
        <w:rPr>
          <w:rFonts w:ascii="Arial" w:hAnsi="Arial" w:cs="Arial"/>
          <w:b w:val="0"/>
        </w:rPr>
        <w:t>From the main menu, select Master Lot Menu</w:t>
      </w:r>
    </w:p>
    <w:p w:rsidR="00006A47" w:rsidRDefault="00006A47" w:rsidP="00006A47">
      <w:pPr>
        <w:pStyle w:val="ListParagraph"/>
        <w:numPr>
          <w:ilvl w:val="0"/>
          <w:numId w:val="11"/>
        </w:numPr>
        <w:rPr>
          <w:rFonts w:ascii="Arial" w:hAnsi="Arial" w:cs="Arial"/>
          <w:b w:val="0"/>
        </w:rPr>
      </w:pPr>
      <w:r>
        <w:rPr>
          <w:rFonts w:ascii="Arial" w:hAnsi="Arial" w:cs="Arial"/>
          <w:b w:val="0"/>
        </w:rPr>
        <w:t>Select Scan Master Lot</w:t>
      </w:r>
    </w:p>
    <w:p w:rsidR="00006A47" w:rsidRDefault="00006A47" w:rsidP="00006A47">
      <w:pPr>
        <w:pStyle w:val="ListParagraph"/>
        <w:numPr>
          <w:ilvl w:val="0"/>
          <w:numId w:val="11"/>
        </w:numPr>
        <w:rPr>
          <w:rFonts w:ascii="Arial" w:hAnsi="Arial" w:cs="Arial"/>
          <w:b w:val="0"/>
        </w:rPr>
      </w:pPr>
      <w:r>
        <w:rPr>
          <w:rFonts w:ascii="Arial" w:hAnsi="Arial" w:cs="Arial"/>
          <w:b w:val="0"/>
        </w:rPr>
        <w:t>Use the barcode reader to scan the 3D barcode on the box</w:t>
      </w:r>
      <w:r w:rsidR="009922D6">
        <w:rPr>
          <w:rFonts w:ascii="Arial" w:hAnsi="Arial" w:cs="Arial"/>
          <w:b w:val="0"/>
        </w:rPr>
        <w:t xml:space="preserve"> in a downward motion</w:t>
      </w:r>
    </w:p>
    <w:p w:rsidR="00006A47" w:rsidRDefault="009922D6" w:rsidP="00006A47">
      <w:pPr>
        <w:pStyle w:val="ListParagraph"/>
        <w:numPr>
          <w:ilvl w:val="0"/>
          <w:numId w:val="11"/>
        </w:numPr>
        <w:rPr>
          <w:rFonts w:ascii="Arial" w:hAnsi="Arial" w:cs="Arial"/>
          <w:b w:val="0"/>
        </w:rPr>
      </w:pPr>
      <w:r>
        <w:rPr>
          <w:rFonts w:ascii="Arial" w:hAnsi="Arial" w:cs="Arial"/>
          <w:b w:val="0"/>
        </w:rPr>
        <w:t>Once the barcode reader beeps, the MLE data will print</w:t>
      </w:r>
    </w:p>
    <w:p w:rsidR="009922D6" w:rsidRDefault="009922D6" w:rsidP="00006A47">
      <w:pPr>
        <w:pStyle w:val="ListParagraph"/>
        <w:numPr>
          <w:ilvl w:val="0"/>
          <w:numId w:val="11"/>
        </w:numPr>
        <w:rPr>
          <w:rFonts w:ascii="Arial" w:hAnsi="Arial" w:cs="Arial"/>
          <w:b w:val="0"/>
        </w:rPr>
      </w:pPr>
      <w:r>
        <w:rPr>
          <w:rFonts w:ascii="Arial" w:hAnsi="Arial" w:cs="Arial"/>
          <w:b w:val="0"/>
        </w:rPr>
        <w:t xml:space="preserve">Place the printout in a sheet protector in the MiniVidas logbook </w:t>
      </w:r>
    </w:p>
    <w:p w:rsidR="003F24B9" w:rsidRDefault="003F24B9" w:rsidP="003F24B9">
      <w:pPr>
        <w:pStyle w:val="ListParagraph"/>
        <w:ind w:left="2160"/>
        <w:rPr>
          <w:rFonts w:ascii="Arial" w:hAnsi="Arial" w:cs="Arial"/>
          <w:b w:val="0"/>
        </w:rPr>
      </w:pPr>
    </w:p>
    <w:p w:rsidR="003F24B9" w:rsidRDefault="003F24B9" w:rsidP="003F24B9">
      <w:pPr>
        <w:pStyle w:val="ListParagraph"/>
        <w:ind w:left="2160"/>
        <w:rPr>
          <w:rFonts w:ascii="Arial" w:hAnsi="Arial" w:cs="Arial"/>
          <w:b w:val="0"/>
        </w:rPr>
      </w:pPr>
    </w:p>
    <w:p w:rsidR="003F24B9" w:rsidRPr="00006A47" w:rsidRDefault="003F24B9" w:rsidP="003F24B9">
      <w:pPr>
        <w:pStyle w:val="ListParagraph"/>
        <w:ind w:left="2160"/>
        <w:rPr>
          <w:rFonts w:ascii="Arial" w:hAnsi="Arial" w:cs="Arial"/>
          <w:b w:val="0"/>
        </w:rPr>
      </w:pPr>
    </w:p>
    <w:p w:rsidR="00006A47" w:rsidRPr="005B155F" w:rsidRDefault="00006A47" w:rsidP="005B155F">
      <w:pPr>
        <w:ind w:left="1440"/>
        <w:rPr>
          <w:rFonts w:ascii="Arial" w:hAnsi="Arial" w:cs="Arial"/>
          <w:b w:val="0"/>
        </w:rPr>
      </w:pPr>
    </w:p>
    <w:p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Calibration</w:t>
      </w:r>
    </w:p>
    <w:p w:rsidR="005B155F" w:rsidRPr="005B155F" w:rsidRDefault="005B155F" w:rsidP="005B155F">
      <w:pPr>
        <w:ind w:left="1440"/>
        <w:rPr>
          <w:rFonts w:ascii="Arial" w:hAnsi="Arial" w:cs="Arial"/>
          <w:b w:val="0"/>
        </w:rPr>
      </w:pPr>
      <w:r w:rsidRPr="005B155F">
        <w:rPr>
          <w:rFonts w:ascii="Arial" w:hAnsi="Arial" w:cs="Arial"/>
          <w:b w:val="0"/>
        </w:rPr>
        <w:t>Calibration, using the two calibrators provided in the kit, must be performed upon receipt of a new lot of reagents after the master lot data has been entered.  Calibration should then be performed every 28 days.  This operation provides instrument-specific calibration curves and compensates for possible minor variations in assay signal throughout the shelf life of the kit.</w:t>
      </w:r>
    </w:p>
    <w:p w:rsidR="005B155F" w:rsidRPr="005B155F" w:rsidRDefault="005B155F" w:rsidP="005B155F">
      <w:pPr>
        <w:ind w:left="1440"/>
        <w:rPr>
          <w:rFonts w:ascii="Arial" w:hAnsi="Arial" w:cs="Arial"/>
          <w:b w:val="0"/>
        </w:rPr>
      </w:pPr>
      <w:r w:rsidRPr="005B155F">
        <w:rPr>
          <w:rFonts w:ascii="Arial" w:hAnsi="Arial" w:cs="Arial"/>
          <w:b w:val="0"/>
        </w:rPr>
        <w:t xml:space="preserve">The calibrators, identified as S1 and S2, must be tested in duplicate in the </w:t>
      </w:r>
      <w:r w:rsidR="003F24B9">
        <w:rPr>
          <w:rFonts w:ascii="Arial" w:hAnsi="Arial" w:cs="Arial"/>
          <w:b w:val="0"/>
        </w:rPr>
        <w:t>same run</w:t>
      </w:r>
      <w:r w:rsidRPr="005B155F">
        <w:rPr>
          <w:rFonts w:ascii="Arial" w:hAnsi="Arial" w:cs="Arial"/>
          <w:b w:val="0"/>
        </w:rPr>
        <w:t>.</w:t>
      </w:r>
    </w:p>
    <w:p w:rsidR="005B0591" w:rsidRPr="00521A62" w:rsidRDefault="005B0591" w:rsidP="005B0591">
      <w:pPr>
        <w:overflowPunct/>
        <w:textAlignment w:val="auto"/>
        <w:rPr>
          <w:rFonts w:ascii="Arial" w:hAnsi="Arial"/>
          <w:b w:val="0"/>
          <w:bCs/>
        </w:rPr>
      </w:pPr>
    </w:p>
    <w:p w:rsidR="00EA46C9" w:rsidRPr="00521A62" w:rsidRDefault="00EA46C9" w:rsidP="00A175E2">
      <w:pPr>
        <w:overflowPunct/>
        <w:textAlignment w:val="auto"/>
        <w:rPr>
          <w:rFonts w:ascii="Arial" w:hAnsi="Arial" w:cs="Arial"/>
        </w:rPr>
      </w:pPr>
    </w:p>
    <w:p w:rsidR="00A175E2" w:rsidRDefault="00E466DA" w:rsidP="00A175E2">
      <w:pPr>
        <w:overflowPunct/>
        <w:textAlignment w:val="auto"/>
        <w:rPr>
          <w:rFonts w:ascii="Arial" w:hAnsi="Arial" w:cs="Arial"/>
        </w:rPr>
      </w:pPr>
      <w:r w:rsidRPr="00521A62">
        <w:rPr>
          <w:rFonts w:ascii="Arial" w:hAnsi="Arial" w:cs="Arial"/>
        </w:rPr>
        <w:t>QUALITY CONTROL:</w:t>
      </w:r>
    </w:p>
    <w:p w:rsidR="003F24B9" w:rsidRDefault="005B155F" w:rsidP="005B155F">
      <w:pPr>
        <w:rPr>
          <w:rFonts w:ascii="Arial" w:hAnsi="Arial" w:cs="Arial"/>
          <w:b w:val="0"/>
        </w:rPr>
      </w:pPr>
      <w:r w:rsidRPr="005B155F">
        <w:rPr>
          <w:rFonts w:ascii="Arial" w:hAnsi="Arial" w:cs="Arial"/>
          <w:b w:val="0"/>
        </w:rPr>
        <w:t>Two controls are included in each VIDAS</w:t>
      </w:r>
      <w:r w:rsidRPr="005B155F">
        <w:rPr>
          <w:rFonts w:ascii="Arial" w:hAnsi="Arial" w:cs="Arial"/>
          <w:b w:val="0"/>
          <w:vertAlign w:val="superscript"/>
        </w:rPr>
        <w:t xml:space="preserve">® </w:t>
      </w:r>
      <w:r w:rsidR="003F24B9">
        <w:rPr>
          <w:rFonts w:ascii="Arial" w:hAnsi="Arial" w:cs="Arial"/>
          <w:b w:val="0"/>
        </w:rPr>
        <w:t>B•R•A•H•M•S PCT kit and must be tested:</w:t>
      </w:r>
    </w:p>
    <w:p w:rsidR="003F24B9" w:rsidRDefault="003F24B9" w:rsidP="003F24B9">
      <w:pPr>
        <w:pStyle w:val="ListParagraph"/>
        <w:numPr>
          <w:ilvl w:val="0"/>
          <w:numId w:val="12"/>
        </w:numPr>
        <w:rPr>
          <w:rFonts w:ascii="Arial" w:hAnsi="Arial" w:cs="Arial"/>
          <w:b w:val="0"/>
        </w:rPr>
      </w:pPr>
      <w:r>
        <w:rPr>
          <w:rFonts w:ascii="Arial" w:hAnsi="Arial" w:cs="Arial"/>
          <w:b w:val="0"/>
        </w:rPr>
        <w:t>Daily as patient testing is performed</w:t>
      </w:r>
    </w:p>
    <w:p w:rsidR="003F24B9" w:rsidRDefault="003F24B9" w:rsidP="003F24B9">
      <w:pPr>
        <w:pStyle w:val="ListParagraph"/>
        <w:numPr>
          <w:ilvl w:val="0"/>
          <w:numId w:val="12"/>
        </w:numPr>
        <w:rPr>
          <w:rFonts w:ascii="Arial" w:hAnsi="Arial" w:cs="Arial"/>
          <w:b w:val="0"/>
        </w:rPr>
      </w:pPr>
      <w:r>
        <w:rPr>
          <w:rFonts w:ascii="Arial" w:hAnsi="Arial" w:cs="Arial"/>
          <w:b w:val="0"/>
        </w:rPr>
        <w:t>I</w:t>
      </w:r>
      <w:r w:rsidR="005B155F" w:rsidRPr="003F24B9">
        <w:rPr>
          <w:rFonts w:ascii="Arial" w:hAnsi="Arial" w:cs="Arial"/>
          <w:b w:val="0"/>
        </w:rPr>
        <w:t xml:space="preserve">mmediately after opening a new kit to ensure that reagent performance has not been altered.  </w:t>
      </w:r>
    </w:p>
    <w:p w:rsidR="00EA46C9" w:rsidRPr="00236F38" w:rsidRDefault="003F24B9" w:rsidP="003F24B9">
      <w:pPr>
        <w:pStyle w:val="ListParagraph"/>
        <w:numPr>
          <w:ilvl w:val="0"/>
          <w:numId w:val="12"/>
        </w:numPr>
        <w:rPr>
          <w:rFonts w:ascii="Arial" w:hAnsi="Arial" w:cs="Arial"/>
        </w:rPr>
      </w:pPr>
      <w:r>
        <w:rPr>
          <w:rFonts w:ascii="Arial" w:hAnsi="Arial" w:cs="Arial"/>
          <w:b w:val="0"/>
        </w:rPr>
        <w:t>After e</w:t>
      </w:r>
      <w:r w:rsidR="005B155F" w:rsidRPr="003F24B9">
        <w:rPr>
          <w:rFonts w:ascii="Arial" w:hAnsi="Arial" w:cs="Arial"/>
          <w:b w:val="0"/>
        </w:rPr>
        <w:t>ach calibration</w:t>
      </w:r>
    </w:p>
    <w:p w:rsidR="00236F38" w:rsidRDefault="00236F38" w:rsidP="00236F38">
      <w:pPr>
        <w:rPr>
          <w:rFonts w:ascii="Arial" w:hAnsi="Arial" w:cs="Arial"/>
          <w:b w:val="0"/>
        </w:rPr>
      </w:pPr>
      <w:r w:rsidRPr="00236F38">
        <w:rPr>
          <w:rFonts w:ascii="Arial" w:hAnsi="Arial" w:cs="Arial"/>
          <w:b w:val="0"/>
        </w:rPr>
        <w:t>MAS O</w:t>
      </w:r>
      <w:r>
        <w:rPr>
          <w:rFonts w:ascii="Arial" w:hAnsi="Arial" w:cs="Arial"/>
          <w:b w:val="0"/>
        </w:rPr>
        <w:t>mni-IMMUNE Integrated Immunoassay Control</w:t>
      </w:r>
    </w:p>
    <w:p w:rsidR="00236F38" w:rsidRDefault="00236F38" w:rsidP="00236F38">
      <w:pPr>
        <w:pStyle w:val="ListParagraph"/>
        <w:numPr>
          <w:ilvl w:val="0"/>
          <w:numId w:val="17"/>
        </w:numPr>
        <w:rPr>
          <w:rFonts w:ascii="Arial" w:hAnsi="Arial" w:cs="Arial"/>
          <w:b w:val="0"/>
        </w:rPr>
      </w:pPr>
      <w:r>
        <w:rPr>
          <w:rFonts w:ascii="Arial" w:hAnsi="Arial" w:cs="Arial"/>
          <w:b w:val="0"/>
        </w:rPr>
        <w:t>These are external contols that are used daily and identified as Sample ID 1 and Sample ID 3</w:t>
      </w:r>
    </w:p>
    <w:p w:rsidR="00236F38" w:rsidRPr="00236F38" w:rsidRDefault="00236F38" w:rsidP="00236F38">
      <w:pPr>
        <w:pStyle w:val="ListParagraph"/>
        <w:numPr>
          <w:ilvl w:val="0"/>
          <w:numId w:val="17"/>
        </w:numPr>
        <w:rPr>
          <w:rFonts w:ascii="Arial" w:hAnsi="Arial" w:cs="Arial"/>
          <w:b w:val="0"/>
        </w:rPr>
      </w:pPr>
      <w:r>
        <w:rPr>
          <w:rFonts w:ascii="Arial" w:hAnsi="Arial" w:cs="Arial"/>
          <w:b w:val="0"/>
        </w:rPr>
        <w:t>Ranges for these controls are located on the daily QC logsheet.</w:t>
      </w:r>
    </w:p>
    <w:p w:rsidR="00A175E2" w:rsidRPr="00521A62" w:rsidRDefault="00A175E2" w:rsidP="00A175E2">
      <w:pPr>
        <w:overflowPunct/>
        <w:textAlignment w:val="auto"/>
        <w:rPr>
          <w:rFonts w:ascii="Arial" w:hAnsi="Arial"/>
          <w:b w:val="0"/>
          <w:bCs/>
        </w:rPr>
      </w:pP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45B6F" w:rsidRDefault="00164624" w:rsidP="00F45B6F">
      <w:pPr>
        <w:overflowPunct/>
        <w:textAlignment w:val="auto"/>
        <w:rPr>
          <w:rFonts w:ascii="Arial" w:hAnsi="Arial" w:cs="Arial"/>
        </w:rPr>
      </w:pPr>
      <w:r w:rsidRPr="00521A62">
        <w:rPr>
          <w:rFonts w:ascii="Arial" w:hAnsi="Arial" w:cs="Arial"/>
        </w:rPr>
        <w:t>PROCEDURE</w:t>
      </w:r>
      <w:r w:rsidR="00EF72B5">
        <w:rPr>
          <w:rFonts w:ascii="Arial" w:hAnsi="Arial" w:cs="Arial"/>
        </w:rPr>
        <w:t xml:space="preserve"> FOR RUNNING SAMPLES, CONTROLS</w:t>
      </w:r>
      <w:r w:rsidR="005311DC">
        <w:rPr>
          <w:rFonts w:ascii="Arial" w:hAnsi="Arial" w:cs="Arial"/>
        </w:rPr>
        <w:t>, AND</w:t>
      </w:r>
      <w:r w:rsidR="0046291B">
        <w:rPr>
          <w:rFonts w:ascii="Arial" w:hAnsi="Arial" w:cs="Arial"/>
        </w:rPr>
        <w:t xml:space="preserve"> CALIBRATOR</w:t>
      </w:r>
      <w:r w:rsidR="00E67A24">
        <w:rPr>
          <w:rFonts w:ascii="Arial" w:hAnsi="Arial" w:cs="Arial"/>
        </w:rPr>
        <w:t>S</w:t>
      </w:r>
    </w:p>
    <w:p w:rsidR="005B155F" w:rsidRDefault="005B155F" w:rsidP="00F45B6F">
      <w:pPr>
        <w:overflowPunct/>
        <w:textAlignment w:val="auto"/>
        <w:rPr>
          <w:rFonts w:ascii="Arial" w:hAnsi="Arial" w:cs="Arial"/>
        </w:rPr>
      </w:pP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Remove the VIDAS</w:t>
      </w:r>
      <w:r w:rsidRPr="005B155F">
        <w:rPr>
          <w:rFonts w:ascii="Arial" w:hAnsi="Arial" w:cs="Arial"/>
          <w:b w:val="0"/>
          <w:vertAlign w:val="superscript"/>
        </w:rPr>
        <w:t xml:space="preserve">® </w:t>
      </w:r>
      <w:r w:rsidRPr="005B155F">
        <w:rPr>
          <w:rFonts w:ascii="Arial" w:hAnsi="Arial" w:cs="Arial"/>
          <w:b w:val="0"/>
        </w:rPr>
        <w:t>B•R•A•H•M•S PCT reagent kit from the refrigerator.</w:t>
      </w: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Use one PCT strip a</w:t>
      </w:r>
      <w:r w:rsidR="00B04F86">
        <w:rPr>
          <w:rFonts w:ascii="Arial" w:hAnsi="Arial" w:cs="Arial"/>
          <w:b w:val="0"/>
        </w:rPr>
        <w:t xml:space="preserve">nd one PCT SPR for each </w:t>
      </w:r>
      <w:r w:rsidR="00F82EF7">
        <w:rPr>
          <w:rFonts w:ascii="Arial" w:hAnsi="Arial" w:cs="Arial"/>
          <w:b w:val="0"/>
        </w:rPr>
        <w:t>sample,</w:t>
      </w:r>
      <w:r w:rsidR="00B04F86">
        <w:rPr>
          <w:rFonts w:ascii="Arial" w:hAnsi="Arial" w:cs="Arial"/>
          <w:b w:val="0"/>
        </w:rPr>
        <w:t>control</w:t>
      </w:r>
      <w:r w:rsidR="00F82EF7">
        <w:rPr>
          <w:rFonts w:ascii="Arial" w:hAnsi="Arial" w:cs="Arial"/>
          <w:b w:val="0"/>
        </w:rPr>
        <w:t>, or calibrator</w:t>
      </w:r>
      <w:r w:rsidR="00B04F86">
        <w:rPr>
          <w:rFonts w:ascii="Arial" w:hAnsi="Arial" w:cs="Arial"/>
          <w:b w:val="0"/>
        </w:rPr>
        <w:t xml:space="preserve"> </w:t>
      </w:r>
      <w:r w:rsidRPr="005B155F">
        <w:rPr>
          <w:rFonts w:ascii="Arial" w:hAnsi="Arial" w:cs="Arial"/>
          <w:b w:val="0"/>
        </w:rPr>
        <w:t>to be tested.  Make sure the storage pouch has been carefully resealed after the required SPRs have been removed.</w:t>
      </w:r>
    </w:p>
    <w:p w:rsidR="005B155F" w:rsidRPr="00B04F86" w:rsidRDefault="00B04F86" w:rsidP="00B04F86">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Mix the </w:t>
      </w:r>
      <w:r w:rsidR="005B155F" w:rsidRPr="005B155F">
        <w:rPr>
          <w:rFonts w:ascii="Arial" w:hAnsi="Arial" w:cs="Arial"/>
          <w:b w:val="0"/>
        </w:rPr>
        <w:t>controls</w:t>
      </w:r>
      <w:r w:rsidR="00F82EF7">
        <w:rPr>
          <w:rFonts w:ascii="Arial" w:hAnsi="Arial" w:cs="Arial"/>
          <w:b w:val="0"/>
        </w:rPr>
        <w:t xml:space="preserve"> and calibrators</w:t>
      </w:r>
      <w:r w:rsidR="005B155F" w:rsidRPr="005B155F">
        <w:rPr>
          <w:rFonts w:ascii="Arial" w:hAnsi="Arial" w:cs="Arial"/>
          <w:b w:val="0"/>
        </w:rPr>
        <w:t xml:space="preserve"> with a vortex-type mixer in order to improve result reproducibility.</w:t>
      </w:r>
    </w:p>
    <w:p w:rsidR="00B04F86"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Pipette 200 ul of </w:t>
      </w:r>
      <w:r w:rsidR="00F82EF7">
        <w:rPr>
          <w:rFonts w:ascii="Arial" w:hAnsi="Arial" w:cs="Arial"/>
          <w:b w:val="0"/>
        </w:rPr>
        <w:t xml:space="preserve">sample, </w:t>
      </w:r>
      <w:r w:rsidR="005B155F" w:rsidRPr="005B155F">
        <w:rPr>
          <w:rFonts w:ascii="Arial" w:hAnsi="Arial" w:cs="Arial"/>
          <w:b w:val="0"/>
        </w:rPr>
        <w:t>control</w:t>
      </w:r>
      <w:r w:rsidR="00F82EF7">
        <w:rPr>
          <w:rFonts w:ascii="Arial" w:hAnsi="Arial" w:cs="Arial"/>
          <w:b w:val="0"/>
        </w:rPr>
        <w:t>, or calibrator</w:t>
      </w:r>
      <w:r w:rsidR="005B155F" w:rsidRPr="005B155F">
        <w:rPr>
          <w:rFonts w:ascii="Arial" w:hAnsi="Arial" w:cs="Arial"/>
          <w:b w:val="0"/>
        </w:rPr>
        <w:t xml:space="preserve"> into the sampl</w:t>
      </w:r>
      <w:r>
        <w:rPr>
          <w:rFonts w:ascii="Arial" w:hAnsi="Arial" w:cs="Arial"/>
          <w:b w:val="0"/>
        </w:rPr>
        <w:t xml:space="preserve">e well </w:t>
      </w:r>
    </w:p>
    <w:p w:rsidR="005B155F" w:rsidRPr="005B155F"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The controls must be identified by C1 and C2 and will be tested singly</w:t>
      </w:r>
      <w:r w:rsidR="005B155F" w:rsidRPr="005B155F">
        <w:rPr>
          <w:rFonts w:ascii="Arial" w:hAnsi="Arial" w:cs="Arial"/>
          <w:b w:val="0"/>
        </w:rPr>
        <w:t>.</w:t>
      </w:r>
      <w:r w:rsidR="00F82EF7">
        <w:rPr>
          <w:rFonts w:ascii="Arial" w:hAnsi="Arial" w:cs="Arial"/>
          <w:b w:val="0"/>
        </w:rPr>
        <w:t xml:space="preserve">  The calibrators must be identified by S1 and S2 and run in duplicate.</w:t>
      </w: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lastRenderedPageBreak/>
        <w:t>Insert the VIDAS</w:t>
      </w:r>
      <w:r w:rsidRPr="005B155F">
        <w:rPr>
          <w:rFonts w:ascii="Arial" w:hAnsi="Arial" w:cs="Arial"/>
          <w:b w:val="0"/>
          <w:vertAlign w:val="superscript"/>
        </w:rPr>
        <w:t>®</w:t>
      </w:r>
      <w:r w:rsidRPr="005B155F">
        <w:rPr>
          <w:rFonts w:ascii="Arial" w:hAnsi="Arial" w:cs="Arial"/>
          <w:b w:val="0"/>
        </w:rPr>
        <w:t xml:space="preserve"> SPRs and strips into the positions indicated on the screen.  Verify that the color labels with the assay code on the SPRs and strips match.</w:t>
      </w: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In</w:t>
      </w:r>
      <w:r w:rsidR="00B04F86">
        <w:rPr>
          <w:rFonts w:ascii="Arial" w:hAnsi="Arial" w:cs="Arial"/>
          <w:b w:val="0"/>
        </w:rPr>
        <w:t>itiate the assay processing by pressing START</w:t>
      </w:r>
      <w:r w:rsidRPr="005B155F">
        <w:rPr>
          <w:rFonts w:ascii="Arial" w:hAnsi="Arial" w:cs="Arial"/>
          <w:b w:val="0"/>
        </w:rPr>
        <w:t>.  The instrument performs all the assay steps automatically.  The assay will be completed in approximately 20 minutes.</w:t>
      </w:r>
    </w:p>
    <w:p w:rsidR="000A552B" w:rsidRDefault="005B155F" w:rsidP="009262AE">
      <w:pPr>
        <w:pStyle w:val="ListParagraph"/>
        <w:numPr>
          <w:ilvl w:val="0"/>
          <w:numId w:val="9"/>
        </w:numPr>
        <w:overflowPunct/>
        <w:autoSpaceDE/>
        <w:autoSpaceDN/>
        <w:adjustRightInd/>
        <w:spacing w:after="200" w:line="276" w:lineRule="auto"/>
        <w:textAlignment w:val="auto"/>
        <w:rPr>
          <w:rFonts w:ascii="Arial" w:hAnsi="Arial" w:cs="Arial"/>
          <w:b w:val="0"/>
        </w:rPr>
      </w:pPr>
      <w:r w:rsidRPr="009262AE">
        <w:rPr>
          <w:rFonts w:ascii="Arial" w:hAnsi="Arial" w:cs="Arial"/>
          <w:b w:val="0"/>
        </w:rPr>
        <w:t>After the assay is completed, dispose of SPRs and strips into biohazardous waste.</w:t>
      </w:r>
    </w:p>
    <w:p w:rsid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Refer to daily logsheet to verify that controls are within expected ranges.</w:t>
      </w:r>
    </w:p>
    <w:p w:rsidR="009262AE" w:rsidRP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In the event that controls exceed acceptable limits, do not perform patient testing.  Troubleshoot QC outliers by repeating with fresh control material.</w:t>
      </w:r>
    </w:p>
    <w:p w:rsidR="003F24B9" w:rsidRPr="003F24B9" w:rsidRDefault="003F24B9" w:rsidP="003F24B9">
      <w:pPr>
        <w:overflowPunct/>
        <w:textAlignment w:val="auto"/>
        <w:rPr>
          <w:rFonts w:ascii="Arial" w:hAnsi="Arial"/>
          <w:bCs/>
        </w:rPr>
      </w:pPr>
      <w:r w:rsidRPr="003F24B9">
        <w:rPr>
          <w:rFonts w:ascii="Arial" w:hAnsi="Arial"/>
          <w:bCs/>
        </w:rPr>
        <w:t>EXPECTED VALUES FOR THE CONTROLS AND CALIBRATOR</w:t>
      </w:r>
    </w:p>
    <w:p w:rsidR="003F24B9" w:rsidRPr="003F24B9" w:rsidRDefault="003F24B9" w:rsidP="003F24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F24B9" w:rsidRPr="003F24B9" w:rsidRDefault="003F24B9" w:rsidP="003F24B9">
      <w:pPr>
        <w:overflowPunct/>
        <w:textAlignment w:val="auto"/>
        <w:rPr>
          <w:rFonts w:ascii="Arial" w:hAnsi="Arial"/>
          <w:b w:val="0"/>
          <w:bCs/>
        </w:rPr>
      </w:pPr>
      <w:r w:rsidRPr="003F24B9">
        <w:rPr>
          <w:rFonts w:ascii="Arial" w:hAnsi="Arial"/>
          <w:b w:val="0"/>
          <w:bCs/>
        </w:rPr>
        <w:t xml:space="preserve">The expected values for the controls and calibrator are printed on the MLE card. </w:t>
      </w:r>
      <w:r w:rsidR="009262AE">
        <w:rPr>
          <w:rFonts w:ascii="Arial" w:hAnsi="Arial"/>
          <w:b w:val="0"/>
          <w:bCs/>
        </w:rPr>
        <w:t xml:space="preserve">These values are recorded on the daily logsheet for review.  </w:t>
      </w:r>
      <w:r w:rsidRPr="003F24B9">
        <w:rPr>
          <w:rFonts w:ascii="Arial" w:hAnsi="Arial"/>
          <w:b w:val="0"/>
          <w:bCs/>
        </w:rPr>
        <w:t>If the result from testing the controls and calibrator do not meet these specifications, do not report patient results.</w:t>
      </w:r>
    </w:p>
    <w:p w:rsidR="003F24B9" w:rsidRDefault="003F24B9" w:rsidP="003F24B9">
      <w:pPr>
        <w:overflowPunct/>
        <w:textAlignment w:val="auto"/>
        <w:rPr>
          <w:rFonts w:ascii="Arial" w:hAnsi="Arial"/>
          <w:b w:val="0"/>
          <w:bCs/>
        </w:rPr>
      </w:pPr>
      <w:r w:rsidRPr="003F24B9">
        <w:rPr>
          <w:rFonts w:ascii="Arial" w:hAnsi="Arial"/>
          <w:b w:val="0"/>
          <w:bCs/>
        </w:rPr>
        <w:t>Any outlier will be noted at the bottom of the QC printout.</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 xml:space="preserve">INTERPRETATION &amp; </w:t>
      </w:r>
      <w:r w:rsidR="00E466DA" w:rsidRPr="00521A62">
        <w:rPr>
          <w:rFonts w:ascii="Arial" w:hAnsi="Arial" w:cs="Arial"/>
        </w:rPr>
        <w:t>REPORTING RESULTS:</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521A62">
        <w:rPr>
          <w:rFonts w:ascii="Arial" w:hAnsi="Arial" w:cs="Arial"/>
        </w:rPr>
        <w:tab/>
        <w:t>Reference Ranges:</w:t>
      </w:r>
    </w:p>
    <w:p w:rsidR="0046314D" w:rsidRPr="00521A62" w:rsidRDefault="0024240E" w:rsidP="00F82EF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jc w:val="both"/>
        <w:rPr>
          <w:rFonts w:ascii="Arial" w:hAnsi="Arial"/>
          <w:b w:val="0"/>
        </w:rPr>
      </w:pPr>
      <w:r>
        <w:rPr>
          <w:rFonts w:ascii="Arial" w:hAnsi="Arial"/>
          <w:b w:val="0"/>
        </w:rPr>
        <w:t>Based on ARMC studies, the analytic</w:t>
      </w:r>
      <w:r w:rsidR="005239AB" w:rsidRPr="00521A62">
        <w:rPr>
          <w:rFonts w:ascii="Arial" w:hAnsi="Arial"/>
          <w:b w:val="0"/>
        </w:rPr>
        <w:t xml:space="preserve"> measurement rang</w:t>
      </w:r>
      <w:r w:rsidR="0046314D" w:rsidRPr="00521A62">
        <w:rPr>
          <w:rFonts w:ascii="Arial" w:hAnsi="Arial"/>
          <w:b w:val="0"/>
        </w:rPr>
        <w:t>e of the mini Vidas</w:t>
      </w:r>
      <w:r>
        <w:rPr>
          <w:rFonts w:ascii="Arial" w:hAnsi="Arial"/>
          <w:b w:val="0"/>
        </w:rPr>
        <w:t xml:space="preserve"> </w:t>
      </w:r>
      <w:r w:rsidR="00616735">
        <w:rPr>
          <w:rFonts w:ascii="Arial" w:hAnsi="Arial"/>
          <w:b w:val="0"/>
        </w:rPr>
        <w:t>Procalcitonin assay is</w:t>
      </w:r>
      <w:r w:rsidR="008829CB">
        <w:rPr>
          <w:rFonts w:ascii="Arial" w:hAnsi="Arial"/>
          <w:b w:val="0"/>
        </w:rPr>
        <w:t xml:space="preserve"> </w:t>
      </w:r>
      <w:bookmarkStart w:id="0" w:name="_GoBack"/>
      <w:bookmarkEnd w:id="0"/>
      <w:r w:rsidR="008829CB" w:rsidRPr="003E5956">
        <w:rPr>
          <w:rFonts w:ascii="Arial" w:hAnsi="Arial"/>
          <w:b w:val="0"/>
          <w:highlight w:val="yellow"/>
        </w:rPr>
        <w:t>0.</w:t>
      </w:r>
      <w:r w:rsidR="003E5956" w:rsidRPr="003E5956">
        <w:rPr>
          <w:rFonts w:ascii="Arial" w:hAnsi="Arial"/>
          <w:b w:val="0"/>
          <w:highlight w:val="yellow"/>
        </w:rPr>
        <w:t>1</w:t>
      </w:r>
      <w:r w:rsidR="008829CB" w:rsidRPr="003E5956">
        <w:rPr>
          <w:rFonts w:ascii="Arial" w:hAnsi="Arial"/>
          <w:b w:val="0"/>
          <w:highlight w:val="yellow"/>
        </w:rPr>
        <w:t>0 ng/ml to 150</w:t>
      </w:r>
      <w:r w:rsidR="009262AE" w:rsidRPr="003E5956">
        <w:rPr>
          <w:rFonts w:ascii="Arial" w:hAnsi="Arial"/>
          <w:b w:val="0"/>
          <w:highlight w:val="yellow"/>
        </w:rPr>
        <w:t xml:space="preserve"> ng/ml.</w:t>
      </w:r>
    </w:p>
    <w:p w:rsidR="005239AB" w:rsidRPr="00521A62" w:rsidRDefault="0046314D" w:rsidP="0024240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sidRPr="00521A62">
        <w:rPr>
          <w:rFonts w:ascii="Arial" w:hAnsi="Arial"/>
          <w:b w:val="0"/>
        </w:rPr>
        <w:tab/>
      </w:r>
    </w:p>
    <w:p w:rsidR="00600693" w:rsidRPr="005B155F" w:rsidRDefault="0024240E" w:rsidP="005B155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Pr>
          <w:rFonts w:ascii="Arial" w:hAnsi="Arial"/>
          <w:b w:val="0"/>
        </w:rPr>
        <w:tab/>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600693" w:rsidRPr="00521A62" w:rsidRDefault="00E466DA" w:rsidP="00600693">
      <w:pPr>
        <w:overflowPunct/>
        <w:textAlignment w:val="auto"/>
        <w:rPr>
          <w:rFonts w:ascii="Arial" w:hAnsi="Arial" w:cs="Arial"/>
        </w:rPr>
      </w:pPr>
      <w:r w:rsidRPr="00521A62">
        <w:rPr>
          <w:rFonts w:ascii="Arial" w:hAnsi="Arial" w:cs="Arial"/>
        </w:rPr>
        <w:t>Reporting  Format:</w:t>
      </w:r>
    </w:p>
    <w:p w:rsidR="00616735" w:rsidRDefault="00616735" w:rsidP="00616735">
      <w:pPr>
        <w:rPr>
          <w:rFonts w:ascii="Arial" w:hAnsi="Arial" w:cs="Arial"/>
          <w:b w:val="0"/>
        </w:rPr>
      </w:pPr>
      <w:r w:rsidRPr="00616735">
        <w:rPr>
          <w:rFonts w:ascii="Arial" w:hAnsi="Arial" w:cs="Arial"/>
          <w:b w:val="0"/>
        </w:rPr>
        <w:t>Once the assay is completed, the results are analyzed automatically by the computer using two calibration curves which are stored by the instrument, and then printed.  The concentrations are expressed in ng/ml.</w:t>
      </w:r>
    </w:p>
    <w:p w:rsidR="00F82EF7" w:rsidRDefault="00F82EF7" w:rsidP="00616735">
      <w:pPr>
        <w:rPr>
          <w:rFonts w:ascii="Arial" w:hAnsi="Arial" w:cs="Arial"/>
          <w:b w:val="0"/>
        </w:rPr>
      </w:pPr>
    </w:p>
    <w:p w:rsidR="00F82EF7" w:rsidRPr="00616735" w:rsidRDefault="00F82EF7" w:rsidP="00616735">
      <w:pPr>
        <w:rPr>
          <w:rFonts w:ascii="Arial" w:hAnsi="Arial" w:cs="Arial"/>
          <w:b w:val="0"/>
        </w:rPr>
      </w:pPr>
    </w:p>
    <w:p w:rsidR="00F82EF7" w:rsidRDefault="00F82EF7" w:rsidP="00F82EF7">
      <w:pPr>
        <w:rPr>
          <w:rFonts w:ascii="Arial" w:hAnsi="Arial" w:cs="Arial"/>
          <w:b w:val="0"/>
        </w:rPr>
      </w:pPr>
      <w:r w:rsidRPr="00F82EF7">
        <w:rPr>
          <w:rFonts w:ascii="Arial" w:hAnsi="Arial" w:cs="Arial"/>
        </w:rPr>
        <w:t>Result Interpretation:</w:t>
      </w:r>
      <w:r>
        <w:rPr>
          <w:rFonts w:ascii="Arial" w:hAnsi="Arial" w:cs="Arial"/>
          <w:b w:val="0"/>
        </w:rPr>
        <w:t xml:space="preserve">  </w:t>
      </w:r>
      <w:r w:rsidRPr="00616735">
        <w:rPr>
          <w:rFonts w:ascii="Arial" w:hAnsi="Arial" w:cs="Arial"/>
          <w:b w:val="0"/>
        </w:rPr>
        <w:t xml:space="preserve">PCT concentrations between 0.5 and 2.0 ng/mL should be interpreted taking into account the patient’s history.  </w:t>
      </w:r>
    </w:p>
    <w:p w:rsidR="00F82EF7" w:rsidRDefault="00F82EF7" w:rsidP="00F82EF7">
      <w:pPr>
        <w:rPr>
          <w:rFonts w:ascii="Arial" w:hAnsi="Arial" w:cs="Arial"/>
          <w:b w:val="0"/>
        </w:rPr>
      </w:pPr>
      <w:r w:rsidRPr="00616735">
        <w:rPr>
          <w:rFonts w:ascii="Arial" w:hAnsi="Arial" w:cs="Arial"/>
          <w:b w:val="0"/>
        </w:rPr>
        <w:t>It is recommended to retest PCT within 6-24 hours if any concentrations &lt; 2 ng/mL are obtained.</w:t>
      </w:r>
    </w:p>
    <w:p w:rsidR="00F82EF7" w:rsidRDefault="00F82EF7" w:rsidP="00F82EF7">
      <w:pPr>
        <w:rPr>
          <w:rFonts w:ascii="Arial" w:hAnsi="Arial" w:cs="Arial"/>
          <w:b w:val="0"/>
        </w:rPr>
      </w:pPr>
      <w:r w:rsidRPr="00616735">
        <w:rPr>
          <w:rFonts w:ascii="Arial" w:hAnsi="Arial" w:cs="Arial"/>
          <w:b w:val="0"/>
        </w:rPr>
        <w:t>Interpretation of test results should be made taking into consideration the patient’s history, and the results of any other tests performed.</w:t>
      </w:r>
    </w:p>
    <w:p w:rsidR="00616735" w:rsidRPr="00616735" w:rsidRDefault="00616735" w:rsidP="00616735">
      <w:pPr>
        <w:rPr>
          <w:rFonts w:ascii="Arial" w:hAnsi="Arial" w:cs="Arial"/>
          <w:b w:val="0"/>
        </w:rPr>
      </w:pPr>
      <w:r w:rsidRPr="00616735">
        <w:rPr>
          <w:rFonts w:ascii="Arial" w:hAnsi="Arial" w:cs="Arial"/>
          <w:b w:val="0"/>
        </w:rPr>
        <w:lastRenderedPageBreak/>
        <w:t>The results obtained with VIDAS</w:t>
      </w:r>
      <w:r w:rsidRPr="00616735">
        <w:rPr>
          <w:rFonts w:ascii="Arial" w:hAnsi="Arial" w:cs="Arial"/>
          <w:b w:val="0"/>
          <w:vertAlign w:val="superscript"/>
        </w:rPr>
        <w:t xml:space="preserve">® </w:t>
      </w:r>
      <w:r w:rsidRPr="00616735">
        <w:rPr>
          <w:rFonts w:ascii="Arial" w:hAnsi="Arial" w:cs="Arial"/>
          <w:b w:val="0"/>
        </w:rPr>
        <w:t>B•R•A•H•M•S PCT during a study performed on patients admitted to intensive care units are as follows:</w:t>
      </w:r>
    </w:p>
    <w:p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&lt; 0.5 ng/mL represents a low risk of severe sepsis and/or septic shock.</w:t>
      </w:r>
    </w:p>
    <w:p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&gt; 2 ng/mL represents a high risk of severe sepsis and/or septic shock.</w:t>
      </w:r>
    </w:p>
    <w:p w:rsidR="00616735" w:rsidRPr="00616735" w:rsidRDefault="00616735" w:rsidP="00616735">
      <w:pPr>
        <w:rPr>
          <w:rFonts w:ascii="Arial" w:hAnsi="Arial" w:cs="Arial"/>
          <w:b w:val="0"/>
        </w:rPr>
      </w:pPr>
      <w:r w:rsidRPr="00616735">
        <w:rPr>
          <w:rFonts w:ascii="Arial" w:hAnsi="Arial" w:cs="Arial"/>
          <w:b w:val="0"/>
        </w:rPr>
        <w:t xml:space="preserve">Nevertheless, concentrations &lt; 0.5 ng/mL do not exclude an infection, on account of localized infections (without systemic signs) which can be associated with such low concentrations, or a systemic infection in its initial stages (&lt; 6 hours).  Furthermore, increased procalcitonin can occur without infection.  </w:t>
      </w:r>
    </w:p>
    <w:p w:rsidR="00F82EF7" w:rsidRPr="00616735" w:rsidRDefault="00F82EF7" w:rsidP="00616735">
      <w:pPr>
        <w:rPr>
          <w:rFonts w:ascii="Arial" w:hAnsi="Arial" w:cs="Arial"/>
          <w:b w:val="0"/>
        </w:rPr>
      </w:pPr>
    </w:p>
    <w:p w:rsidR="00616735" w:rsidRDefault="006167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10F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21A62">
        <w:rPr>
          <w:rFonts w:ascii="Arial" w:hAnsi="Arial" w:cs="Arial"/>
        </w:rPr>
        <w:t>PROCEDURE NOTES:</w:t>
      </w:r>
      <w:r w:rsidR="00410FBF">
        <w:rPr>
          <w:rFonts w:ascii="Arial" w:hAnsi="Arial" w:cs="Arial"/>
        </w:rPr>
        <w:t xml:space="preserve">  </w:t>
      </w:r>
      <w:r w:rsidR="00410FBF">
        <w:rPr>
          <w:rFonts w:ascii="Arial" w:hAnsi="Arial" w:cs="Arial"/>
          <w:b w:val="0"/>
        </w:rPr>
        <w:t>None of the following factors have been found to significantly influence this assay but samples with visible signs should not be used:  Hemolysis, lipemia, or bilirubinemia.</w:t>
      </w:r>
    </w:p>
    <w:p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5239AB" w:rsidRPr="00521A62" w:rsidRDefault="005239AB" w:rsidP="00F45539">
      <w:pPr>
        <w:overflowPunct/>
        <w:textAlignment w:val="auto"/>
        <w:rPr>
          <w:rFonts w:ascii="Arial" w:hAnsi="Arial" w:cs="Arial"/>
        </w:rPr>
      </w:pPr>
    </w:p>
    <w:p w:rsidR="00F45539" w:rsidRPr="00521A62" w:rsidRDefault="00E466DA" w:rsidP="00F45539">
      <w:pPr>
        <w:overflowPunct/>
        <w:textAlignment w:val="auto"/>
        <w:rPr>
          <w:rFonts w:ascii="Arial" w:hAnsi="Arial" w:cs="Arial"/>
        </w:rPr>
      </w:pPr>
      <w:r w:rsidRPr="00521A62">
        <w:rPr>
          <w:rFonts w:ascii="Arial" w:hAnsi="Arial" w:cs="Arial"/>
        </w:rPr>
        <w:t>LIMITATIONS OF THE  PROCEDURE:</w:t>
      </w:r>
    </w:p>
    <w:p w:rsidR="0046314D" w:rsidRPr="00410FBF" w:rsidRDefault="00410FBF" w:rsidP="00F45539">
      <w:pPr>
        <w:overflowPunct/>
        <w:textAlignment w:val="auto"/>
        <w:rPr>
          <w:rFonts w:ascii="Arial" w:hAnsi="Arial" w:cs="Arial"/>
          <w:b w:val="0"/>
        </w:rPr>
      </w:pPr>
      <w:r>
        <w:rPr>
          <w:rFonts w:ascii="Arial" w:hAnsi="Arial" w:cs="Arial"/>
          <w:b w:val="0"/>
        </w:rPr>
        <w:t>Interference may be encountered with certain samples containing antibodies directed against reagent components.  For this reason, assay results should be interpreted taking into consideration the patient’s history, and the results of any other tests performed.</w:t>
      </w:r>
    </w:p>
    <w:p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REFERENCES:</w:t>
      </w:r>
    </w:p>
    <w:p w:rsidR="00E67A24" w:rsidRDefault="00E67A24" w:rsidP="00E67A24">
      <w:pPr>
        <w:rPr>
          <w:rFonts w:ascii="Arial" w:hAnsi="Arial" w:cs="Arial"/>
          <w:b w:val="0"/>
        </w:rPr>
      </w:pPr>
      <w:r w:rsidRPr="00757401">
        <w:rPr>
          <w:rFonts w:ascii="Arial" w:hAnsi="Arial" w:cs="Arial"/>
          <w:b w:val="0"/>
        </w:rPr>
        <w:t>VIDAS System package insert.  Refer to the insert for the complete details of the procedure, references, and performance of the product.</w:t>
      </w:r>
      <w:r>
        <w:rPr>
          <w:rFonts w:ascii="Arial" w:hAnsi="Arial" w:cs="Arial"/>
          <w:b w:val="0"/>
        </w:rPr>
        <w:tab/>
        <w:t>January 2015</w:t>
      </w:r>
    </w:p>
    <w:p w:rsidR="00236F38" w:rsidRDefault="00236F38" w:rsidP="00E67A24">
      <w:pPr>
        <w:rPr>
          <w:rFonts w:ascii="Arial" w:hAnsi="Arial" w:cs="Arial"/>
          <w:b w:val="0"/>
        </w:rPr>
      </w:pPr>
    </w:p>
    <w:p w:rsidR="00236F38" w:rsidRDefault="00236F38" w:rsidP="00E67A24">
      <w:pPr>
        <w:rPr>
          <w:rFonts w:ascii="Arial" w:hAnsi="Arial" w:cs="Arial"/>
          <w:b w:val="0"/>
        </w:rPr>
      </w:pPr>
      <w:r>
        <w:rPr>
          <w:rFonts w:ascii="Arial" w:hAnsi="Arial" w:cs="Arial"/>
          <w:b w:val="0"/>
        </w:rPr>
        <w:t>MAS Omni-IMMUNE package insert.  Thermo Scientific         December 2015</w:t>
      </w:r>
    </w:p>
    <w:p w:rsidR="00A24BA6" w:rsidRDefault="00A24BA6" w:rsidP="00E67A24">
      <w:pPr>
        <w:rPr>
          <w:rFonts w:ascii="Arial" w:hAnsi="Arial" w:cs="Arial"/>
          <w:b w:val="0"/>
        </w:rPr>
      </w:pPr>
    </w:p>
    <w:p w:rsidR="005239AB" w:rsidRPr="00521A62"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239AB" w:rsidRPr="00521A62"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67A24" w:rsidRDefault="00E67A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67A24" w:rsidRDefault="00E67A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10FBF" w:rsidRPr="00521A62" w:rsidRDefault="00410F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Pr="00521A62"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521A62"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Director</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bl>
    <w:p w:rsidR="00A11625" w:rsidRPr="00521A62" w:rsidRDefault="00A1162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70548" w:rsidRDefault="00F70548" w:rsidP="00487F2F">
      <w:pPr>
        <w:jc w:val="center"/>
        <w:rPr>
          <w:rFonts w:ascii="Arial" w:hAnsi="Arial" w:cs="Arial"/>
          <w:sz w:val="28"/>
          <w:szCs w:val="28"/>
        </w:rPr>
      </w:pPr>
    </w:p>
    <w:p w:rsidR="00F70548" w:rsidRDefault="00F70548" w:rsidP="00487F2F">
      <w:pPr>
        <w:jc w:val="center"/>
        <w:rPr>
          <w:rFonts w:ascii="Arial" w:hAnsi="Arial" w:cs="Arial"/>
          <w:sz w:val="28"/>
          <w:szCs w:val="28"/>
        </w:rPr>
      </w:pPr>
    </w:p>
    <w:p w:rsidR="00F70548" w:rsidRDefault="00F70548" w:rsidP="00487F2F">
      <w:pPr>
        <w:jc w:val="center"/>
        <w:rPr>
          <w:rFonts w:ascii="Arial" w:hAnsi="Arial" w:cs="Arial"/>
          <w:sz w:val="28"/>
          <w:szCs w:val="28"/>
        </w:rPr>
      </w:pPr>
    </w:p>
    <w:p w:rsidR="00487F2F" w:rsidRPr="00521A62" w:rsidRDefault="00487F2F" w:rsidP="00487F2F">
      <w:pPr>
        <w:jc w:val="center"/>
        <w:rPr>
          <w:rFonts w:ascii="Arial" w:hAnsi="Arial" w:cs="Arial"/>
          <w:sz w:val="28"/>
          <w:szCs w:val="28"/>
        </w:rPr>
      </w:pPr>
      <w:r w:rsidRPr="00521A62">
        <w:rPr>
          <w:rFonts w:ascii="Arial" w:hAnsi="Arial" w:cs="Arial"/>
          <w:sz w:val="28"/>
          <w:szCs w:val="28"/>
        </w:rPr>
        <w:t>HISTORY PAGE</w:t>
      </w:r>
    </w:p>
    <w:p w:rsidR="00487F2F" w:rsidRPr="00521A62" w:rsidRDefault="00487F2F" w:rsidP="00487F2F">
      <w:pPr>
        <w:rPr>
          <w:rFonts w:ascii="Arial" w:hAnsi="Arial" w:cs="Arial"/>
        </w:rPr>
      </w:pPr>
    </w:p>
    <w:p w:rsidR="00487F2F" w:rsidRPr="00521A62" w:rsidRDefault="00487F2F" w:rsidP="00487F2F">
      <w:pPr>
        <w:rPr>
          <w:rFonts w:ascii="Arial" w:hAnsi="Arial" w:cs="Arial"/>
        </w:rPr>
      </w:pPr>
      <w:r w:rsidRPr="00521A62">
        <w:rPr>
          <w:rFonts w:ascii="Arial" w:hAnsi="Arial" w:cs="Arial"/>
        </w:rPr>
        <w:t xml:space="preserve">SOP Number: </w:t>
      </w:r>
      <w:r w:rsidR="00D31853">
        <w:rPr>
          <w:rFonts w:ascii="Arial" w:hAnsi="Arial" w:cs="Arial"/>
        </w:rPr>
        <w:t>COAG</w:t>
      </w:r>
    </w:p>
    <w:p w:rsidR="00487F2F" w:rsidRPr="00521A62" w:rsidRDefault="00487F2F" w:rsidP="00487F2F">
      <w:pPr>
        <w:rPr>
          <w:rFonts w:ascii="Arial" w:hAnsi="Arial" w:cs="Arial"/>
        </w:rPr>
      </w:pPr>
      <w:r w:rsidRPr="00521A62">
        <w:rPr>
          <w:rFonts w:ascii="Arial" w:hAnsi="Arial" w:cs="Arial"/>
        </w:rPr>
        <w:t xml:space="preserve">SOP Title: </w:t>
      </w:r>
      <w:r w:rsidR="00906FC6">
        <w:rPr>
          <w:rFonts w:ascii="Arial" w:hAnsi="Arial" w:cs="Arial"/>
        </w:rPr>
        <w:t xml:space="preserve">miniVidas </w:t>
      </w:r>
      <w:r w:rsidR="005B155F">
        <w:rPr>
          <w:rFonts w:ascii="Arial" w:hAnsi="Arial" w:cs="Arial"/>
        </w:rPr>
        <w:t>Procalcitonin</w:t>
      </w:r>
      <w:r w:rsidR="00906FC6">
        <w:rPr>
          <w:rFonts w:ascii="Arial" w:hAnsi="Arial" w:cs="Arial"/>
        </w:rPr>
        <w:t xml:space="preserve"> Assay</w:t>
      </w:r>
    </w:p>
    <w:p w:rsidR="00487F2F" w:rsidRPr="00521A62" w:rsidRDefault="00487F2F" w:rsidP="00487F2F">
      <w:pPr>
        <w:rPr>
          <w:rFonts w:ascii="Arial" w:hAnsi="Arial" w:cs="Arial"/>
          <w:b w:val="0"/>
        </w:rPr>
      </w:pPr>
      <w:r w:rsidRPr="00521A62">
        <w:rPr>
          <w:rFonts w:ascii="Arial" w:hAnsi="Arial" w:cs="Arial"/>
        </w:rPr>
        <w:t xml:space="preserve">Written By: </w:t>
      </w:r>
      <w:r w:rsidR="005B155F">
        <w:rPr>
          <w:rFonts w:ascii="Arial" w:hAnsi="Arial" w:cs="Arial"/>
        </w:rPr>
        <w:t>Quanisha Dyson</w:t>
      </w:r>
    </w:p>
    <w:p w:rsidR="00487F2F" w:rsidRPr="00521A62" w:rsidRDefault="00487F2F" w:rsidP="00487F2F">
      <w:pPr>
        <w:rPr>
          <w:rFonts w:ascii="Arial" w:hAnsi="Arial" w:cs="Arial"/>
          <w:b w:val="0"/>
        </w:rPr>
      </w:pPr>
      <w:r w:rsidRPr="00521A62">
        <w:rPr>
          <w:rFonts w:ascii="Arial" w:hAnsi="Arial" w:cs="Arial"/>
        </w:rPr>
        <w:t xml:space="preserve">Manual in which Hard Copy of this SOP is located: </w:t>
      </w:r>
      <w:r w:rsidR="007B63ED">
        <w:rPr>
          <w:rFonts w:ascii="Arial" w:hAnsi="Arial" w:cs="Arial"/>
        </w:rPr>
        <w:t>ARMC</w:t>
      </w:r>
      <w:r w:rsidR="00E67A24">
        <w:rPr>
          <w:rFonts w:ascii="Arial" w:hAnsi="Arial" w:cs="Arial"/>
        </w:rPr>
        <w:t xml:space="preserve"> Coagulation </w:t>
      </w:r>
      <w:r w:rsidR="007B63ED">
        <w:rPr>
          <w:rFonts w:ascii="Arial" w:hAnsi="Arial" w:cs="Arial"/>
        </w:rPr>
        <w:t>Manual</w:t>
      </w:r>
    </w:p>
    <w:p w:rsidR="00487F2F" w:rsidRPr="00521A62" w:rsidRDefault="00487F2F" w:rsidP="00487F2F">
      <w:pPr>
        <w:rPr>
          <w:rFonts w:ascii="Arial" w:hAnsi="Arial" w:cs="Arial"/>
          <w:b w:val="0"/>
        </w:rPr>
      </w:pPr>
      <w:r w:rsidRPr="00521A62">
        <w:rPr>
          <w:rFonts w:ascii="Arial" w:hAnsi="Arial" w:cs="Arial"/>
        </w:rPr>
        <w:t xml:space="preserve">Distribution: </w:t>
      </w:r>
      <w:r w:rsidR="007B63ED">
        <w:rPr>
          <w:rFonts w:ascii="Arial" w:hAnsi="Arial" w:cs="Arial"/>
        </w:rPr>
        <w:t>ARMC</w:t>
      </w:r>
      <w:r w:rsidR="00E67A24">
        <w:rPr>
          <w:rFonts w:ascii="Arial" w:hAnsi="Arial" w:cs="Arial"/>
        </w:rPr>
        <w:t xml:space="preserve"> </w:t>
      </w:r>
      <w:r w:rsidR="003420FE">
        <w:rPr>
          <w:rFonts w:ascii="Arial" w:hAnsi="Arial" w:cs="Arial"/>
        </w:rPr>
        <w:t xml:space="preserve">Lab </w:t>
      </w:r>
      <w:r w:rsidR="00E67A24">
        <w:rPr>
          <w:rFonts w:ascii="Arial" w:hAnsi="Arial" w:cs="Arial"/>
        </w:rPr>
        <w:t xml:space="preserve">Coagulation </w:t>
      </w:r>
      <w:r w:rsidR="007B63ED">
        <w:rPr>
          <w:rFonts w:ascii="Arial" w:hAnsi="Arial" w:cs="Arial"/>
        </w:rPr>
        <w:t>Manual</w:t>
      </w:r>
    </w:p>
    <w:p w:rsidR="00487F2F" w:rsidRPr="00521A62" w:rsidRDefault="00487F2F" w:rsidP="00487F2F">
      <w:pPr>
        <w:rPr>
          <w:rFonts w:ascii="Arial" w:hAnsi="Arial" w:cs="Arial"/>
        </w:rPr>
      </w:pPr>
      <w:r w:rsidRPr="00521A62">
        <w:rPr>
          <w:rFonts w:ascii="Arial" w:hAnsi="Arial" w:cs="Arial"/>
        </w:rPr>
        <w:t>Supersedes Procedure:</w:t>
      </w:r>
      <w:r w:rsidR="003420FE">
        <w:rPr>
          <w:rFonts w:ascii="Arial" w:hAnsi="Arial" w:cs="Arial"/>
        </w:rPr>
        <w:t xml:space="preserve"> N/A</w:t>
      </w:r>
    </w:p>
    <w:p w:rsidR="00487F2F" w:rsidRPr="00521A62" w:rsidRDefault="00487F2F" w:rsidP="00487F2F">
      <w:pPr>
        <w:rPr>
          <w:rFonts w:ascii="Arial" w:hAnsi="Arial" w:cs="Arial"/>
        </w:rPr>
      </w:pPr>
    </w:p>
    <w:p w:rsidR="00487F2F" w:rsidRPr="00521A62" w:rsidRDefault="00487F2F" w:rsidP="00487F2F">
      <w:pPr>
        <w:jc w:val="center"/>
        <w:rPr>
          <w:rFonts w:ascii="Arial" w:hAnsi="Arial" w:cs="Arial"/>
        </w:rPr>
      </w:pPr>
      <w:r w:rsidRPr="00521A62">
        <w:rPr>
          <w:rFonts w:ascii="Arial" w:hAnsi="Arial" w:cs="Arial"/>
        </w:rPr>
        <w:t>SOP CHANGE CONTROL</w:t>
      </w:r>
    </w:p>
    <w:tbl>
      <w:tblPr>
        <w:tblW w:w="10656" w:type="dxa"/>
        <w:tblInd w:w="-645" w:type="dxa"/>
        <w:tblLook w:val="04A0" w:firstRow="1" w:lastRow="0" w:firstColumn="1" w:lastColumn="0" w:noHBand="0" w:noVBand="1"/>
      </w:tblPr>
      <w:tblGrid>
        <w:gridCol w:w="1340"/>
        <w:gridCol w:w="1084"/>
        <w:gridCol w:w="1492"/>
        <w:gridCol w:w="960"/>
        <w:gridCol w:w="4820"/>
        <w:gridCol w:w="960"/>
      </w:tblGrid>
      <w:tr w:rsidR="00487F2F" w:rsidRPr="00521A62" w:rsidTr="008829CB">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2576" w:type="dxa"/>
            <w:gridSpan w:val="2"/>
            <w:tcBorders>
              <w:top w:val="single" w:sz="4" w:space="0" w:color="auto"/>
              <w:left w:val="nil"/>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In</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Mgmt.</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Effect</w:t>
            </w:r>
          </w:p>
        </w:tc>
      </w:tr>
      <w:tr w:rsidR="00487F2F" w:rsidRPr="00521A62" w:rsidTr="008829CB">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r w:rsidR="008829CB">
              <w:rPr>
                <w:rFonts w:ascii="Arial" w:hAnsi="Arial" w:cs="Arial"/>
                <w:bCs/>
                <w:color w:val="000000"/>
              </w:rPr>
              <w:t>Q.Dyson</w:t>
            </w:r>
          </w:p>
        </w:tc>
        <w:tc>
          <w:tcPr>
            <w:tcW w:w="1084" w:type="dxa"/>
            <w:tcBorders>
              <w:top w:val="nil"/>
              <w:left w:val="nil"/>
              <w:bottom w:val="nil"/>
              <w:right w:val="single" w:sz="4" w:space="0" w:color="auto"/>
            </w:tcBorders>
            <w:shd w:val="clear" w:color="auto" w:fill="auto"/>
            <w:noWrap/>
            <w:vAlign w:val="bottom"/>
            <w:hideMark/>
          </w:tcPr>
          <w:p w:rsidR="00487F2F" w:rsidRPr="00521A62" w:rsidRDefault="008829CB" w:rsidP="003B2B6A">
            <w:pPr>
              <w:rPr>
                <w:rFonts w:ascii="Arial" w:hAnsi="Arial" w:cs="Arial"/>
                <w:bCs/>
                <w:color w:val="000000"/>
              </w:rPr>
            </w:pPr>
            <w:r>
              <w:rPr>
                <w:rFonts w:ascii="Arial" w:hAnsi="Arial" w:cs="Arial"/>
                <w:bCs/>
                <w:color w:val="000000"/>
              </w:rPr>
              <w:t>1/29/18</w:t>
            </w:r>
            <w:r w:rsidR="00487F2F"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8829CB" w:rsidP="003B2B6A">
            <w:pPr>
              <w:jc w:val="center"/>
              <w:rPr>
                <w:rFonts w:ascii="Arial" w:hAnsi="Arial" w:cs="Arial"/>
                <w:bCs/>
                <w:color w:val="000000"/>
              </w:rPr>
            </w:pPr>
            <w:r>
              <w:rPr>
                <w:rFonts w:ascii="Arial" w:hAnsi="Arial" w:cs="Arial"/>
                <w:bCs/>
                <w:color w:val="000000"/>
              </w:rPr>
              <w:t>Updated reportable range (0.10 to 150)</w:t>
            </w:r>
            <w:r w:rsidR="00487F2F"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084"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8829CB">
        <w:trPr>
          <w:trHeight w:val="402"/>
        </w:trPr>
        <w:tc>
          <w:tcPr>
            <w:tcW w:w="134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1084"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521A62" w:rsidRDefault="00487F2F" w:rsidP="003B2B6A">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r w:rsidR="00487F2F" w:rsidRPr="00521A62" w:rsidTr="008829CB">
        <w:trPr>
          <w:trHeight w:val="402"/>
        </w:trPr>
        <w:tc>
          <w:tcPr>
            <w:tcW w:w="9696" w:type="dxa"/>
            <w:gridSpan w:val="5"/>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r w:rsidR="00487F2F" w:rsidRPr="00521A62" w:rsidTr="008829CB">
        <w:trPr>
          <w:trHeight w:val="402"/>
        </w:trPr>
        <w:tc>
          <w:tcPr>
            <w:tcW w:w="9696" w:type="dxa"/>
            <w:gridSpan w:val="5"/>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bl>
    <w:p w:rsidR="00487F2F" w:rsidRPr="00521A62"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RPr="00521A62" w:rsidSect="003C2C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53" w:rsidRDefault="005F6853">
      <w:r>
        <w:separator/>
      </w:r>
    </w:p>
  </w:endnote>
  <w:endnote w:type="continuationSeparator" w:id="0">
    <w:p w:rsidR="005F6853" w:rsidRDefault="005F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53" w:rsidRPr="003C3289" w:rsidRDefault="005F6853">
    <w:pPr>
      <w:pStyle w:val="Footer"/>
      <w:rPr>
        <w:rStyle w:val="PageNumber"/>
        <w:rFonts w:ascii="Arial" w:hAnsi="Arial" w:cs="Arial"/>
        <w:b w:val="0"/>
      </w:rPr>
    </w:pPr>
    <w:r>
      <w:tab/>
    </w:r>
    <w:r>
      <w:tab/>
    </w:r>
    <w:r w:rsidRPr="003C3289">
      <w:rPr>
        <w:rFonts w:ascii="Arial" w:hAnsi="Arial" w:cs="Arial"/>
        <w:b w:val="0"/>
      </w:rPr>
      <w:t xml:space="preserve">Page </w:t>
    </w:r>
    <w:r w:rsidR="001B4FF3"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1B4FF3" w:rsidRPr="003C3289">
      <w:rPr>
        <w:rStyle w:val="PageNumber"/>
        <w:rFonts w:ascii="Arial" w:hAnsi="Arial" w:cs="Arial"/>
        <w:b w:val="0"/>
      </w:rPr>
      <w:fldChar w:fldCharType="separate"/>
    </w:r>
    <w:r w:rsidR="001B429F">
      <w:rPr>
        <w:rStyle w:val="PageNumber"/>
        <w:rFonts w:ascii="Arial" w:hAnsi="Arial" w:cs="Arial"/>
        <w:b w:val="0"/>
        <w:noProof/>
      </w:rPr>
      <w:t>2</w:t>
    </w:r>
    <w:r w:rsidR="001B4FF3" w:rsidRPr="003C3289">
      <w:rPr>
        <w:rStyle w:val="PageNumber"/>
        <w:rFonts w:ascii="Arial" w:hAnsi="Arial" w:cs="Arial"/>
        <w:b w:val="0"/>
      </w:rPr>
      <w:fldChar w:fldCharType="end"/>
    </w:r>
    <w:r w:rsidR="00E8726E">
      <w:rPr>
        <w:rStyle w:val="PageNumber"/>
        <w:rFonts w:ascii="Arial" w:hAnsi="Arial" w:cs="Arial"/>
        <w:b w:val="0"/>
      </w:rPr>
      <w:t xml:space="preserve"> of 8</w:t>
    </w:r>
  </w:p>
  <w:p w:rsidR="005F6853" w:rsidRDefault="005F6853">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53" w:rsidRDefault="005F6853">
      <w:r>
        <w:separator/>
      </w:r>
    </w:p>
  </w:footnote>
  <w:footnote w:type="continuationSeparator" w:id="0">
    <w:p w:rsidR="005F6853" w:rsidRDefault="005F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853" w:rsidRPr="003C3289" w:rsidRDefault="005F6853">
    <w:pPr>
      <w:pStyle w:val="Header"/>
      <w:rPr>
        <w:rFonts w:ascii="Arial" w:hAnsi="Arial" w:cs="Arial"/>
        <w:b w:val="0"/>
      </w:rPr>
    </w:pPr>
    <w:r>
      <w:tab/>
      <w:t xml:space="preserve">                                                                                               </w:t>
    </w:r>
  </w:p>
  <w:p w:rsidR="005F6853" w:rsidRDefault="005F6853" w:rsidP="00164624">
    <w:pPr>
      <w:pStyle w:val="Header"/>
      <w:rPr>
        <w:rFonts w:ascii="Arial" w:hAnsi="Arial" w:cs="Arial"/>
        <w:b w:val="0"/>
      </w:rPr>
    </w:pPr>
    <w:r w:rsidRPr="004C3BBF">
      <w:rPr>
        <w:rFonts w:ascii="Arial" w:hAnsi="Arial" w:cs="Arial"/>
        <w:b w:val="0"/>
      </w:rPr>
      <w:t>Clinical Laboratory</w:t>
    </w:r>
    <w:r>
      <w:rPr>
        <w:rFonts w:ascii="Arial" w:hAnsi="Arial" w:cs="Arial"/>
        <w:b w:val="0"/>
      </w:rPr>
      <w:t xml:space="preserve">                                                                      COAG-</w:t>
    </w:r>
    <w:r w:rsidR="00236F38">
      <w:rPr>
        <w:rFonts w:ascii="Arial" w:hAnsi="Arial" w:cs="Arial"/>
        <w:b w:val="0"/>
      </w:rPr>
      <w:t>716</w:t>
    </w:r>
  </w:p>
  <w:p w:rsidR="005F6853" w:rsidRPr="004C3BBF" w:rsidRDefault="005F6853" w:rsidP="00164624">
    <w:pPr>
      <w:pStyle w:val="Header"/>
      <w:rPr>
        <w:rFonts w:ascii="Arial" w:hAnsi="Arial" w:cs="Arial"/>
        <w:b w:val="0"/>
      </w:rPr>
    </w:pPr>
    <w:r>
      <w:rPr>
        <w:rFonts w:ascii="Arial" w:hAnsi="Arial" w:cs="Arial"/>
        <w:b w:val="0"/>
      </w:rPr>
      <w:t>Alamance Regional Medical Center                                           Effective Date: 0</w:t>
    </w:r>
    <w:r w:rsidR="00AC2061">
      <w:rPr>
        <w:rFonts w:ascii="Arial" w:hAnsi="Arial" w:cs="Arial"/>
        <w:b w:val="0"/>
      </w:rPr>
      <w:t>4</w:t>
    </w:r>
    <w:r>
      <w:rPr>
        <w:rFonts w:ascii="Arial" w:hAnsi="Arial" w:cs="Arial"/>
        <w:b w:val="0"/>
      </w:rPr>
      <w:t>/</w:t>
    </w:r>
    <w:r w:rsidR="00AC2061">
      <w:rPr>
        <w:rFonts w:ascii="Arial" w:hAnsi="Arial" w:cs="Arial"/>
        <w:b w:val="0"/>
      </w:rPr>
      <w:t>1</w:t>
    </w:r>
    <w:r w:rsidR="005311DC">
      <w:rPr>
        <w:rFonts w:ascii="Arial" w:hAnsi="Arial" w:cs="Arial"/>
        <w:b w:val="0"/>
      </w:rPr>
      <w:t>4</w:t>
    </w:r>
    <w:r>
      <w:rPr>
        <w:rFonts w:ascii="Arial" w:hAnsi="Arial" w:cs="Arial"/>
        <w:b w:val="0"/>
      </w:rPr>
      <w:t>/15</w:t>
    </w:r>
  </w:p>
  <w:p w:rsidR="005F6853" w:rsidRDefault="005F6853">
    <w:pPr>
      <w:pStyle w:val="Header"/>
      <w:rPr>
        <w:rFonts w:ascii="Arial" w:hAnsi="Arial" w:cs="Arial"/>
        <w:b w:val="0"/>
      </w:rPr>
    </w:pPr>
    <w:r>
      <w:rPr>
        <w:rFonts w:ascii="Arial" w:hAnsi="Arial" w:cs="Arial"/>
        <w:b w:val="0"/>
      </w:rPr>
      <w:t>Burlington</w:t>
    </w:r>
    <w:r w:rsidRPr="004C3BBF">
      <w:rPr>
        <w:rFonts w:ascii="Arial" w:hAnsi="Arial" w:cs="Arial"/>
        <w:b w:val="0"/>
      </w:rPr>
      <w:t>, NC</w:t>
    </w:r>
    <w:r>
      <w:rPr>
        <w:rFonts w:ascii="Arial" w:hAnsi="Arial" w:cs="Arial"/>
        <w:b w:val="0"/>
      </w:rPr>
      <w:t xml:space="preserve"> 27215</w:t>
    </w:r>
  </w:p>
  <w:p w:rsidR="005F6853" w:rsidRDefault="005F6853">
    <w:pPr>
      <w:pStyle w:val="Header"/>
      <w:rPr>
        <w:rFonts w:ascii="Arial" w:hAnsi="Arial" w:cs="Arial"/>
        <w:b w:val="0"/>
      </w:rPr>
    </w:pPr>
  </w:p>
  <w:p w:rsidR="005F6853" w:rsidRDefault="005F6853" w:rsidP="004C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A05"/>
    <w:multiLevelType w:val="hybridMultilevel"/>
    <w:tmpl w:val="E8D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14D2E"/>
    <w:multiLevelType w:val="hybridMultilevel"/>
    <w:tmpl w:val="E09C8032"/>
    <w:lvl w:ilvl="0" w:tplc="AF5E5C4A">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74F2C"/>
    <w:multiLevelType w:val="hybridMultilevel"/>
    <w:tmpl w:val="2C80AF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B70A43"/>
    <w:multiLevelType w:val="hybridMultilevel"/>
    <w:tmpl w:val="E2B83E0E"/>
    <w:lvl w:ilvl="0" w:tplc="B726A73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52284"/>
    <w:multiLevelType w:val="hybridMultilevel"/>
    <w:tmpl w:val="0DE20D04"/>
    <w:lvl w:ilvl="0" w:tplc="70BC618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E62066"/>
    <w:multiLevelType w:val="hybridMultilevel"/>
    <w:tmpl w:val="5536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F68F0"/>
    <w:multiLevelType w:val="hybridMultilevel"/>
    <w:tmpl w:val="DFA2E804"/>
    <w:lvl w:ilvl="0" w:tplc="000C31E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812FDA"/>
    <w:multiLevelType w:val="hybridMultilevel"/>
    <w:tmpl w:val="5B80B4C0"/>
    <w:lvl w:ilvl="0" w:tplc="9530FC9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E055E2"/>
    <w:multiLevelType w:val="hybridMultilevel"/>
    <w:tmpl w:val="0C0C7C86"/>
    <w:lvl w:ilvl="0" w:tplc="9C061296">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C034A"/>
    <w:multiLevelType w:val="hybridMultilevel"/>
    <w:tmpl w:val="B1B8959C"/>
    <w:lvl w:ilvl="0" w:tplc="9C061296">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92DFA"/>
    <w:multiLevelType w:val="hybridMultilevel"/>
    <w:tmpl w:val="03E24702"/>
    <w:lvl w:ilvl="0" w:tplc="35988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965968"/>
    <w:multiLevelType w:val="hybridMultilevel"/>
    <w:tmpl w:val="7D2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F36D4"/>
    <w:multiLevelType w:val="hybridMultilevel"/>
    <w:tmpl w:val="A29836F8"/>
    <w:lvl w:ilvl="0" w:tplc="24AC339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676642"/>
    <w:multiLevelType w:val="hybridMultilevel"/>
    <w:tmpl w:val="A17A5CF4"/>
    <w:lvl w:ilvl="0" w:tplc="9C061296">
      <w:start w:val="4"/>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145213A"/>
    <w:multiLevelType w:val="hybridMultilevel"/>
    <w:tmpl w:val="EB8E30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4CD247F"/>
    <w:multiLevelType w:val="hybridMultilevel"/>
    <w:tmpl w:val="8578F2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2D2E5E"/>
    <w:multiLevelType w:val="hybridMultilevel"/>
    <w:tmpl w:val="091CB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0"/>
  </w:num>
  <w:num w:numId="5">
    <w:abstractNumId w:val="15"/>
  </w:num>
  <w:num w:numId="6">
    <w:abstractNumId w:val="16"/>
  </w:num>
  <w:num w:numId="7">
    <w:abstractNumId w:val="7"/>
  </w:num>
  <w:num w:numId="8">
    <w:abstractNumId w:val="12"/>
  </w:num>
  <w:num w:numId="9">
    <w:abstractNumId w:val="3"/>
  </w:num>
  <w:num w:numId="10">
    <w:abstractNumId w:val="1"/>
  </w:num>
  <w:num w:numId="11">
    <w:abstractNumId w:val="14"/>
  </w:num>
  <w:num w:numId="12">
    <w:abstractNumId w:val="0"/>
  </w:num>
  <w:num w:numId="13">
    <w:abstractNumId w:val="2"/>
  </w:num>
  <w:num w:numId="14">
    <w:abstractNumId w:val="8"/>
  </w:num>
  <w:num w:numId="15">
    <w:abstractNumId w:val="1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6A47"/>
    <w:rsid w:val="00010026"/>
    <w:rsid w:val="0006729F"/>
    <w:rsid w:val="00082169"/>
    <w:rsid w:val="00091AAC"/>
    <w:rsid w:val="000A552B"/>
    <w:rsid w:val="000C2107"/>
    <w:rsid w:val="001071A7"/>
    <w:rsid w:val="0011039A"/>
    <w:rsid w:val="00164007"/>
    <w:rsid w:val="00164624"/>
    <w:rsid w:val="00175E58"/>
    <w:rsid w:val="001B429F"/>
    <w:rsid w:val="001B4FF3"/>
    <w:rsid w:val="001C5BB8"/>
    <w:rsid w:val="001E29EE"/>
    <w:rsid w:val="00236F38"/>
    <w:rsid w:val="0024240E"/>
    <w:rsid w:val="00245309"/>
    <w:rsid w:val="002A7E9F"/>
    <w:rsid w:val="002E684A"/>
    <w:rsid w:val="00301F14"/>
    <w:rsid w:val="0033366C"/>
    <w:rsid w:val="003420FE"/>
    <w:rsid w:val="0035508E"/>
    <w:rsid w:val="00373D78"/>
    <w:rsid w:val="00380CBE"/>
    <w:rsid w:val="0039094A"/>
    <w:rsid w:val="003B2B6A"/>
    <w:rsid w:val="003C2174"/>
    <w:rsid w:val="003C2C5B"/>
    <w:rsid w:val="003C3289"/>
    <w:rsid w:val="003E5956"/>
    <w:rsid w:val="003F00AF"/>
    <w:rsid w:val="003F24B9"/>
    <w:rsid w:val="003F5B22"/>
    <w:rsid w:val="00410FBF"/>
    <w:rsid w:val="00447B2F"/>
    <w:rsid w:val="0046291B"/>
    <w:rsid w:val="0046314D"/>
    <w:rsid w:val="00487F2F"/>
    <w:rsid w:val="004A0C01"/>
    <w:rsid w:val="004C3BBF"/>
    <w:rsid w:val="004E1118"/>
    <w:rsid w:val="004F4219"/>
    <w:rsid w:val="00521A62"/>
    <w:rsid w:val="005239AB"/>
    <w:rsid w:val="005311DC"/>
    <w:rsid w:val="005419BC"/>
    <w:rsid w:val="00582432"/>
    <w:rsid w:val="005B0591"/>
    <w:rsid w:val="005B155F"/>
    <w:rsid w:val="005F031D"/>
    <w:rsid w:val="005F6853"/>
    <w:rsid w:val="00600693"/>
    <w:rsid w:val="00616735"/>
    <w:rsid w:val="006230C3"/>
    <w:rsid w:val="0067707A"/>
    <w:rsid w:val="006836B5"/>
    <w:rsid w:val="00683B27"/>
    <w:rsid w:val="0069376B"/>
    <w:rsid w:val="00694631"/>
    <w:rsid w:val="006B4362"/>
    <w:rsid w:val="00794689"/>
    <w:rsid w:val="007B63ED"/>
    <w:rsid w:val="007C6C74"/>
    <w:rsid w:val="00814B31"/>
    <w:rsid w:val="00826ADE"/>
    <w:rsid w:val="008366E8"/>
    <w:rsid w:val="00855C6E"/>
    <w:rsid w:val="008829CB"/>
    <w:rsid w:val="008858DC"/>
    <w:rsid w:val="0089272F"/>
    <w:rsid w:val="008933A1"/>
    <w:rsid w:val="00906FC6"/>
    <w:rsid w:val="00912694"/>
    <w:rsid w:val="009262AE"/>
    <w:rsid w:val="0099211B"/>
    <w:rsid w:val="009922D6"/>
    <w:rsid w:val="009F0DF9"/>
    <w:rsid w:val="00A11625"/>
    <w:rsid w:val="00A13B12"/>
    <w:rsid w:val="00A175E2"/>
    <w:rsid w:val="00A24BA6"/>
    <w:rsid w:val="00A51996"/>
    <w:rsid w:val="00A64033"/>
    <w:rsid w:val="00AA2E7E"/>
    <w:rsid w:val="00AC2061"/>
    <w:rsid w:val="00AF1AC3"/>
    <w:rsid w:val="00B04F86"/>
    <w:rsid w:val="00B111D2"/>
    <w:rsid w:val="00B20224"/>
    <w:rsid w:val="00BA0158"/>
    <w:rsid w:val="00BB72C0"/>
    <w:rsid w:val="00BD4478"/>
    <w:rsid w:val="00C81003"/>
    <w:rsid w:val="00C941E6"/>
    <w:rsid w:val="00CA499C"/>
    <w:rsid w:val="00CC5893"/>
    <w:rsid w:val="00D31853"/>
    <w:rsid w:val="00D70D8B"/>
    <w:rsid w:val="00D80C0E"/>
    <w:rsid w:val="00D81703"/>
    <w:rsid w:val="00DB22A7"/>
    <w:rsid w:val="00E04222"/>
    <w:rsid w:val="00E13BB0"/>
    <w:rsid w:val="00E311DA"/>
    <w:rsid w:val="00E466DA"/>
    <w:rsid w:val="00E55805"/>
    <w:rsid w:val="00E650E6"/>
    <w:rsid w:val="00E67A24"/>
    <w:rsid w:val="00E7475D"/>
    <w:rsid w:val="00E8726E"/>
    <w:rsid w:val="00E935C8"/>
    <w:rsid w:val="00EA23CC"/>
    <w:rsid w:val="00EA46C9"/>
    <w:rsid w:val="00EE091A"/>
    <w:rsid w:val="00EF72B5"/>
    <w:rsid w:val="00F34BB6"/>
    <w:rsid w:val="00F42697"/>
    <w:rsid w:val="00F45539"/>
    <w:rsid w:val="00F45B6F"/>
    <w:rsid w:val="00F56397"/>
    <w:rsid w:val="00F70548"/>
    <w:rsid w:val="00F82EF7"/>
    <w:rsid w:val="00FB3070"/>
    <w:rsid w:val="00FB325B"/>
    <w:rsid w:val="00FD55A1"/>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D29D5E"/>
  <w15:docId w15:val="{C0FC910E-EB40-44AB-910C-F1B5FEE1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5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06590-B2C6-4F63-8385-0989BF9E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GP2-A2 TEMPLATE</dc:title>
  <dc:subject>procedure manual template</dc:subject>
  <dc:creator>rubrmari</dc:creator>
  <cp:keywords>procedure, template, GP2-A2</cp:keywords>
  <dc:description>Prepared form for developing clinical laboratory technical procedure manuals</dc:description>
  <cp:lastModifiedBy>Dyson, Quanisha</cp:lastModifiedBy>
  <cp:revision>2</cp:revision>
  <cp:lastPrinted>2015-03-19T12:46:00Z</cp:lastPrinted>
  <dcterms:created xsi:type="dcterms:W3CDTF">2018-01-29T15:11:00Z</dcterms:created>
  <dcterms:modified xsi:type="dcterms:W3CDTF">2018-01-29T15:11:00Z</dcterms:modified>
</cp:coreProperties>
</file>