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3F" w:rsidRDefault="00E1443F">
      <w:pPr>
        <w:rPr>
          <w:rFonts w:ascii="Arial" w:hAnsi="Arial" w:cs="Arial"/>
          <w:sz w:val="24"/>
          <w:szCs w:val="24"/>
        </w:rPr>
      </w:pPr>
      <w:r w:rsidRPr="00E1443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00875" cy="1085850"/>
            <wp:effectExtent l="0" t="0" r="0" b="0"/>
            <wp:docPr id="1" name="Picture 1" descr="U:\From_O_Drive\Logo's\CH-T3-ARMC-Laboratory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rom_O_Drive\Logo's\CH-T3-ARMC-Laboratory Servic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36" cy="10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3F" w:rsidRDefault="00E1443F">
      <w:pPr>
        <w:rPr>
          <w:rFonts w:ascii="Arial" w:hAnsi="Arial" w:cs="Arial"/>
          <w:sz w:val="24"/>
          <w:szCs w:val="24"/>
        </w:rPr>
      </w:pPr>
    </w:p>
    <w:p w:rsidR="002D0B9E" w:rsidRPr="00B97EBE" w:rsidRDefault="00480A86">
      <w:pP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>To:</w:t>
      </w:r>
      <w:r w:rsidR="00E1443F">
        <w:rPr>
          <w:rFonts w:ascii="Arial" w:hAnsi="Arial" w:cs="Arial"/>
          <w:sz w:val="24"/>
          <w:szCs w:val="24"/>
        </w:rPr>
        <w:t xml:space="preserve"> Alamance Regional Medical Staff</w:t>
      </w:r>
      <w:r w:rsidRPr="00B97EBE">
        <w:rPr>
          <w:rFonts w:ascii="Arial" w:hAnsi="Arial" w:cs="Arial"/>
          <w:sz w:val="24"/>
          <w:szCs w:val="24"/>
        </w:rPr>
        <w:t xml:space="preserve">  </w:t>
      </w:r>
    </w:p>
    <w:p w:rsidR="00480A86" w:rsidRDefault="00480A86">
      <w:pP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 xml:space="preserve">From:  </w:t>
      </w:r>
      <w:r w:rsidR="00E1443F">
        <w:rPr>
          <w:rFonts w:ascii="Arial" w:hAnsi="Arial" w:cs="Arial"/>
          <w:sz w:val="24"/>
          <w:szCs w:val="24"/>
        </w:rPr>
        <w:t xml:space="preserve">Joshua Kish, MD, FCAP, </w:t>
      </w:r>
      <w:proofErr w:type="gramStart"/>
      <w:r w:rsidR="00E1443F">
        <w:rPr>
          <w:rFonts w:ascii="Arial" w:hAnsi="Arial" w:cs="Arial"/>
          <w:sz w:val="24"/>
          <w:szCs w:val="24"/>
        </w:rPr>
        <w:t>FASCP</w:t>
      </w:r>
      <w:proofErr w:type="gramEnd"/>
    </w:p>
    <w:p w:rsidR="00E1443F" w:rsidRPr="00B97EBE" w:rsidRDefault="00E14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Chief of Pathology, Cone Health</w:t>
      </w:r>
    </w:p>
    <w:p w:rsidR="00480A86" w:rsidRPr="00B97EBE" w:rsidRDefault="00480A86">
      <w:pP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>Date:</w:t>
      </w:r>
      <w:r w:rsidR="00E1443F">
        <w:rPr>
          <w:rFonts w:ascii="Arial" w:hAnsi="Arial" w:cs="Arial"/>
          <w:sz w:val="24"/>
          <w:szCs w:val="24"/>
        </w:rPr>
        <w:t xml:space="preserve"> </w:t>
      </w:r>
      <w:r w:rsidR="008A7E68">
        <w:rPr>
          <w:rFonts w:ascii="Arial" w:hAnsi="Arial" w:cs="Arial"/>
          <w:sz w:val="24"/>
          <w:szCs w:val="24"/>
        </w:rPr>
        <w:t xml:space="preserve">  </w:t>
      </w:r>
      <w:r w:rsidR="00E1443F">
        <w:rPr>
          <w:rFonts w:ascii="Arial" w:hAnsi="Arial" w:cs="Arial"/>
          <w:sz w:val="24"/>
          <w:szCs w:val="24"/>
        </w:rPr>
        <w:t>June 19, 2018</w:t>
      </w:r>
    </w:p>
    <w:p w:rsidR="00480A86" w:rsidRPr="00B97EBE" w:rsidRDefault="00480A86" w:rsidP="008A7E6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>Subject: Discontinue FDP testing at Alamance Regional</w:t>
      </w:r>
    </w:p>
    <w:p w:rsidR="00480A86" w:rsidRDefault="00480A86">
      <w:pPr>
        <w:rPr>
          <w:rFonts w:ascii="Arial" w:hAnsi="Arial" w:cs="Arial"/>
          <w:sz w:val="24"/>
          <w:szCs w:val="24"/>
        </w:rPr>
      </w:pPr>
    </w:p>
    <w:p w:rsidR="00B97EBE" w:rsidRPr="008A7E68" w:rsidRDefault="00B97EBE">
      <w:pPr>
        <w:rPr>
          <w:rFonts w:ascii="Arial" w:hAnsi="Arial" w:cs="Arial"/>
          <w:b/>
          <w:sz w:val="24"/>
          <w:szCs w:val="24"/>
        </w:rPr>
      </w:pPr>
      <w:r w:rsidRPr="008A7E68">
        <w:rPr>
          <w:rFonts w:ascii="Arial" w:hAnsi="Arial" w:cs="Arial"/>
          <w:b/>
          <w:sz w:val="24"/>
          <w:szCs w:val="24"/>
        </w:rPr>
        <w:t xml:space="preserve">Alamance Regional Clinical Laboratory will no longer offer Fibrinogen Degradation Products (FDP) test as of </w:t>
      </w:r>
      <w:r w:rsidR="00E1443F" w:rsidRPr="008A7E68">
        <w:rPr>
          <w:rFonts w:ascii="Arial" w:hAnsi="Arial" w:cs="Arial"/>
          <w:b/>
          <w:sz w:val="24"/>
          <w:szCs w:val="24"/>
        </w:rPr>
        <w:t>June 26,</w:t>
      </w:r>
      <w:r w:rsidRPr="008A7E68">
        <w:rPr>
          <w:rFonts w:ascii="Arial" w:hAnsi="Arial" w:cs="Arial"/>
          <w:b/>
          <w:sz w:val="24"/>
          <w:szCs w:val="24"/>
        </w:rPr>
        <w:t xml:space="preserve"> 2018.</w:t>
      </w:r>
    </w:p>
    <w:p w:rsidR="00B97EBE" w:rsidRDefault="00B97EBE">
      <w:pPr>
        <w:rPr>
          <w:rFonts w:ascii="Arial" w:hAnsi="Arial" w:cs="Arial"/>
          <w:sz w:val="24"/>
          <w:szCs w:val="24"/>
        </w:rPr>
      </w:pPr>
    </w:p>
    <w:p w:rsidR="00B97EBE" w:rsidRDefault="00A83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Activation of the coagulation cascade results in the generation of </w:t>
      </w:r>
      <w:r w:rsidR="00480A86" w:rsidRPr="00B97EBE">
        <w:rPr>
          <w:rFonts w:ascii="Arial" w:hAnsi="Arial" w:cs="Arial"/>
          <w:sz w:val="24"/>
          <w:szCs w:val="24"/>
        </w:rPr>
        <w:t>Fibrin Degradation</w:t>
      </w:r>
      <w:r w:rsidR="00B97EBE">
        <w:rPr>
          <w:rFonts w:ascii="Arial" w:hAnsi="Arial" w:cs="Arial"/>
          <w:sz w:val="24"/>
          <w:szCs w:val="24"/>
        </w:rPr>
        <w:t xml:space="preserve"> Products (FDPs). The FDPs are fragments of different molecular weights, which includes D-Dimer. </w:t>
      </w:r>
    </w:p>
    <w:p w:rsidR="00A83858" w:rsidRPr="00B97EBE" w:rsidRDefault="00A83858" w:rsidP="00A83858">
      <w:pP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 xml:space="preserve">The current FDP test </w:t>
      </w:r>
      <w:r>
        <w:rPr>
          <w:rFonts w:ascii="Arial" w:hAnsi="Arial" w:cs="Arial"/>
          <w:sz w:val="24"/>
          <w:szCs w:val="24"/>
        </w:rPr>
        <w:t xml:space="preserve">that </w:t>
      </w:r>
      <w:proofErr w:type="gramStart"/>
      <w:r>
        <w:rPr>
          <w:rFonts w:ascii="Arial" w:hAnsi="Arial" w:cs="Arial"/>
          <w:sz w:val="24"/>
          <w:szCs w:val="24"/>
        </w:rPr>
        <w:t>will be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discontinued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97EBE">
        <w:rPr>
          <w:rFonts w:ascii="Arial" w:hAnsi="Arial" w:cs="Arial"/>
          <w:sz w:val="24"/>
          <w:szCs w:val="24"/>
        </w:rPr>
        <w:t>is a semi-quantitative assay that uses latex agglutination as a screening aid for disseminated intravascular coagulation.  This test is capable of detecting the presence of all major breakdown products of fibrin or fibrinogen.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3858" w:rsidRPr="00B97EBE" w:rsidRDefault="00A83858" w:rsidP="00A83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D-Dimer </w:t>
      </w:r>
      <w:proofErr w:type="gramStart"/>
      <w:r>
        <w:rPr>
          <w:rFonts w:ascii="Arial" w:hAnsi="Arial" w:cs="Arial"/>
          <w:sz w:val="24"/>
          <w:szCs w:val="24"/>
        </w:rPr>
        <w:t>is presumed</w:t>
      </w:r>
      <w:proofErr w:type="gramEnd"/>
      <w:r>
        <w:rPr>
          <w:rFonts w:ascii="Arial" w:hAnsi="Arial" w:cs="Arial"/>
          <w:sz w:val="24"/>
          <w:szCs w:val="24"/>
        </w:rPr>
        <w:t xml:space="preserve"> to be a better indicator of fibrinolysis than FDPs. </w:t>
      </w:r>
      <w:r w:rsidRPr="00B97EBE">
        <w:rPr>
          <w:rFonts w:ascii="Arial" w:hAnsi="Arial" w:cs="Arial"/>
          <w:sz w:val="24"/>
          <w:szCs w:val="24"/>
        </w:rPr>
        <w:t>The measurement of D-Dimer levels by ELFA (</w:t>
      </w:r>
      <w:proofErr w:type="gramStart"/>
      <w:r w:rsidRPr="00B97EBE">
        <w:rPr>
          <w:rFonts w:ascii="Arial" w:hAnsi="Arial" w:cs="Arial"/>
          <w:sz w:val="24"/>
          <w:szCs w:val="24"/>
        </w:rPr>
        <w:t>enzyme immunoassay sandwich assay</w:t>
      </w:r>
      <w:proofErr w:type="gramEnd"/>
      <w:r w:rsidRPr="00B97EBE">
        <w:rPr>
          <w:rFonts w:ascii="Arial" w:hAnsi="Arial" w:cs="Arial"/>
          <w:sz w:val="24"/>
          <w:szCs w:val="24"/>
        </w:rPr>
        <w:t xml:space="preserve"> with fluorescent detection) has more advantages than the measurement of plasma FDPs by latex agglutination.</w:t>
      </w:r>
    </w:p>
    <w:p w:rsidR="003F40A8" w:rsidRPr="00B97EBE" w:rsidRDefault="003F40A8">
      <w:pPr>
        <w:rPr>
          <w:rFonts w:ascii="Arial" w:hAnsi="Arial" w:cs="Arial"/>
          <w:sz w:val="24"/>
          <w:szCs w:val="24"/>
        </w:rPr>
      </w:pPr>
      <w:r w:rsidRPr="00B97EBE">
        <w:rPr>
          <w:rFonts w:ascii="Arial" w:hAnsi="Arial" w:cs="Arial"/>
          <w:sz w:val="24"/>
          <w:szCs w:val="24"/>
        </w:rPr>
        <w:t>Our current D-Dimer Exclusion is indicated for use in conjunction with a clinical pretest probability assessment model to exclude deep vein thrombosis (DVT) and pulmonary embolism (PE) in outpatients suspected of DVT or PE.  It is not safe to use D-Dimer for exclusion of DVT and PE in the inpatient population due to high pre-test probability, long duration of symptoms associated with these disorders, and the high proportion of comorbid conditions associated wit</w:t>
      </w:r>
      <w:r w:rsidR="00FF44C7" w:rsidRPr="00B97EBE">
        <w:rPr>
          <w:rFonts w:ascii="Arial" w:hAnsi="Arial" w:cs="Arial"/>
          <w:sz w:val="24"/>
          <w:szCs w:val="24"/>
        </w:rPr>
        <w:t>h elevated D-Dimer levels.  The current</w:t>
      </w:r>
      <w:r w:rsidRPr="00B97EBE">
        <w:rPr>
          <w:rFonts w:ascii="Arial" w:hAnsi="Arial" w:cs="Arial"/>
          <w:sz w:val="24"/>
          <w:szCs w:val="24"/>
        </w:rPr>
        <w:t xml:space="preserve"> test also gives a quan</w:t>
      </w:r>
      <w:r w:rsidR="00FF44C7" w:rsidRPr="00B97EBE">
        <w:rPr>
          <w:rFonts w:ascii="Arial" w:hAnsi="Arial" w:cs="Arial"/>
          <w:sz w:val="24"/>
          <w:szCs w:val="24"/>
        </w:rPr>
        <w:t>titative result for physicians to use in conjunction with various other factors to determine fibrin degradation.</w:t>
      </w:r>
    </w:p>
    <w:sectPr w:rsidR="003F40A8" w:rsidRPr="00B97E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3F" w:rsidRDefault="00E1443F" w:rsidP="00E1443F">
      <w:pPr>
        <w:spacing w:after="0" w:line="240" w:lineRule="auto"/>
      </w:pPr>
      <w:r>
        <w:separator/>
      </w:r>
    </w:p>
  </w:endnote>
  <w:endnote w:type="continuationSeparator" w:id="0">
    <w:p w:rsidR="00E1443F" w:rsidRDefault="00E1443F" w:rsidP="00E1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3F" w:rsidRDefault="00E1443F" w:rsidP="00E1443F">
      <w:pPr>
        <w:spacing w:after="0" w:line="240" w:lineRule="auto"/>
      </w:pPr>
      <w:r>
        <w:separator/>
      </w:r>
    </w:p>
  </w:footnote>
  <w:footnote w:type="continuationSeparator" w:id="0">
    <w:p w:rsidR="00E1443F" w:rsidRDefault="00E1443F" w:rsidP="00E1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3F" w:rsidRDefault="00E14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86"/>
    <w:rsid w:val="00232E7C"/>
    <w:rsid w:val="002D0B9E"/>
    <w:rsid w:val="003F40A8"/>
    <w:rsid w:val="00480A86"/>
    <w:rsid w:val="0069328F"/>
    <w:rsid w:val="00764786"/>
    <w:rsid w:val="008A7E68"/>
    <w:rsid w:val="00A83858"/>
    <w:rsid w:val="00B97EBE"/>
    <w:rsid w:val="00E1443F"/>
    <w:rsid w:val="00E61CDA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F58B"/>
  <w15:chartTrackingRefBased/>
  <w15:docId w15:val="{D1C2C0AD-9A81-4DEE-B78F-2ECE8FC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B97EBE"/>
  </w:style>
  <w:style w:type="paragraph" w:styleId="Header">
    <w:name w:val="header"/>
    <w:basedOn w:val="Normal"/>
    <w:link w:val="HeaderChar"/>
    <w:uiPriority w:val="99"/>
    <w:unhideWhenUsed/>
    <w:rsid w:val="00E1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3F"/>
  </w:style>
  <w:style w:type="paragraph" w:styleId="Footer">
    <w:name w:val="footer"/>
    <w:basedOn w:val="Normal"/>
    <w:link w:val="FooterChar"/>
    <w:uiPriority w:val="99"/>
    <w:unhideWhenUsed/>
    <w:rsid w:val="00E1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Turner, Wendy</cp:lastModifiedBy>
  <cp:revision>2</cp:revision>
  <dcterms:created xsi:type="dcterms:W3CDTF">2018-06-13T23:16:00Z</dcterms:created>
  <dcterms:modified xsi:type="dcterms:W3CDTF">2018-06-13T23:16:00Z</dcterms:modified>
</cp:coreProperties>
</file>