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DEE" w:rsidRDefault="00245159" w:rsidP="00A91DEE">
      <w:pPr>
        <w:pStyle w:val="Heading4"/>
      </w:pPr>
      <w:r>
        <w:t xml:space="preserve">Auditing and </w:t>
      </w:r>
      <w:r w:rsidR="00A91DEE">
        <w:t>Labeling Secondary Specimen Containers in the General Laboratory</w:t>
      </w:r>
    </w:p>
    <w:p w:rsidR="00A91DEE" w:rsidRPr="00A91DEE" w:rsidRDefault="00A91DEE" w:rsidP="00A91DEE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91DEE" w:rsidRPr="00A91DEE" w:rsidTr="00A91DEE">
        <w:tc>
          <w:tcPr>
            <w:tcW w:w="1728" w:type="dxa"/>
            <w:shd w:val="clear" w:color="auto" w:fill="auto"/>
          </w:tcPr>
          <w:p w:rsidR="00A91DEE" w:rsidRPr="00A91DEE" w:rsidRDefault="00A91DEE" w:rsidP="00A91DEE">
            <w:pPr>
              <w:pStyle w:val="Heading5"/>
            </w:pPr>
            <w:r>
              <w:t xml:space="preserve">Purpose </w:t>
            </w:r>
          </w:p>
        </w:tc>
        <w:tc>
          <w:tcPr>
            <w:tcW w:w="7740" w:type="dxa"/>
            <w:shd w:val="clear" w:color="auto" w:fill="auto"/>
          </w:tcPr>
          <w:p w:rsidR="00A91DEE" w:rsidRPr="00A91DEE" w:rsidRDefault="00A91DEE" w:rsidP="00A91DEE">
            <w:pPr>
              <w:pStyle w:val="BlockText"/>
            </w:pPr>
            <w:r>
              <w:t>This document describ</w:t>
            </w:r>
            <w:r w:rsidR="001400F1">
              <w:t>es the general requirements for</w:t>
            </w:r>
            <w:r w:rsidR="00E16BDE">
              <w:t xml:space="preserve"> </w:t>
            </w:r>
            <w:r>
              <w:t xml:space="preserve">labeling secondary specimen containers </w:t>
            </w:r>
            <w:r w:rsidR="00641347">
              <w:t xml:space="preserve">and re labeling primary </w:t>
            </w:r>
            <w:r w:rsidR="00E841C2">
              <w:t xml:space="preserve">specimen </w:t>
            </w:r>
            <w:r w:rsidR="00641347">
              <w:t xml:space="preserve">containers </w:t>
            </w:r>
            <w:r>
              <w:t>during the processing or testing of the specimen</w:t>
            </w:r>
            <w:r w:rsidR="002254D4">
              <w:t xml:space="preserve"> in the General Laboratory</w:t>
            </w:r>
          </w:p>
        </w:tc>
      </w:tr>
    </w:tbl>
    <w:p w:rsidR="002254D4" w:rsidRPr="002254D4" w:rsidRDefault="002254D4" w:rsidP="002254D4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2254D4" w:rsidRPr="002254D4" w:rsidTr="002254D4">
        <w:tc>
          <w:tcPr>
            <w:tcW w:w="1728" w:type="dxa"/>
            <w:shd w:val="clear" w:color="auto" w:fill="auto"/>
          </w:tcPr>
          <w:p w:rsidR="002254D4" w:rsidRPr="002254D4" w:rsidRDefault="002254D4" w:rsidP="002254D4">
            <w:pPr>
              <w:pStyle w:val="Heading5"/>
            </w:pPr>
            <w:r>
              <w:t>Definition</w:t>
            </w:r>
          </w:p>
        </w:tc>
        <w:tc>
          <w:tcPr>
            <w:tcW w:w="7740" w:type="dxa"/>
            <w:shd w:val="clear" w:color="auto" w:fill="auto"/>
          </w:tcPr>
          <w:p w:rsidR="0084616E" w:rsidRDefault="0084616E" w:rsidP="0084616E">
            <w:pPr>
              <w:pStyle w:val="BlockText"/>
              <w:numPr>
                <w:ilvl w:val="0"/>
                <w:numId w:val="11"/>
              </w:numPr>
              <w:jc w:val="both"/>
            </w:pPr>
            <w:r>
              <w:t>Re labeled primary</w:t>
            </w:r>
            <w:r w:rsidR="00E841C2">
              <w:t xml:space="preserve"> specimen</w:t>
            </w:r>
            <w:r>
              <w:t xml:space="preserve"> containers are defined as </w:t>
            </w:r>
            <w:r w:rsidR="00076E35">
              <w:t>primary containers labeled with both the original patient label and the LIS barcode label</w:t>
            </w:r>
          </w:p>
          <w:p w:rsidR="002254D4" w:rsidRDefault="0084616E" w:rsidP="0084616E">
            <w:pPr>
              <w:pStyle w:val="BlockText"/>
              <w:numPr>
                <w:ilvl w:val="0"/>
                <w:numId w:val="11"/>
              </w:numPr>
              <w:jc w:val="both"/>
            </w:pPr>
            <w:r>
              <w:t>Secondary specimen containers are derived from the primary specimen and created during the processing or testing of the specimen</w:t>
            </w:r>
          </w:p>
          <w:p w:rsidR="002254D4" w:rsidRPr="002254D4" w:rsidRDefault="002254D4" w:rsidP="002254D4">
            <w:pPr>
              <w:pStyle w:val="BlockText"/>
              <w:numPr>
                <w:ilvl w:val="0"/>
                <w:numId w:val="8"/>
              </w:numPr>
            </w:pPr>
            <w:r>
              <w:t xml:space="preserve"> Examples of secondary </w:t>
            </w:r>
            <w:r w:rsidR="0039095A">
              <w:t>specimen containers are aliquot tubes</w:t>
            </w:r>
            <w:r>
              <w:t>, dilution tubes, reagent tubes, slides, and culture plates</w:t>
            </w:r>
          </w:p>
        </w:tc>
      </w:tr>
    </w:tbl>
    <w:p w:rsidR="00A91DEE" w:rsidRPr="002254D4" w:rsidRDefault="00A91DEE" w:rsidP="002254D4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91DEE" w:rsidRPr="00A91DEE" w:rsidTr="00A91DEE">
        <w:tc>
          <w:tcPr>
            <w:tcW w:w="1728" w:type="dxa"/>
            <w:shd w:val="clear" w:color="auto" w:fill="auto"/>
          </w:tcPr>
          <w:p w:rsidR="00A91DEE" w:rsidRPr="00A91DEE" w:rsidRDefault="00A91DEE" w:rsidP="00A91DEE">
            <w:pPr>
              <w:pStyle w:val="Heading5"/>
            </w:pPr>
            <w:r>
              <w:t>Policy</w:t>
            </w:r>
          </w:p>
        </w:tc>
        <w:tc>
          <w:tcPr>
            <w:tcW w:w="7740" w:type="dxa"/>
            <w:shd w:val="clear" w:color="auto" w:fill="auto"/>
          </w:tcPr>
          <w:p w:rsidR="00641347" w:rsidRDefault="00453A07" w:rsidP="00011759">
            <w:pPr>
              <w:pStyle w:val="BlockText"/>
              <w:numPr>
                <w:ilvl w:val="0"/>
                <w:numId w:val="4"/>
              </w:numPr>
            </w:pPr>
            <w:r>
              <w:t xml:space="preserve">All re labeled primary </w:t>
            </w:r>
            <w:r w:rsidR="00E841C2">
              <w:t xml:space="preserve">specimen </w:t>
            </w:r>
            <w:r>
              <w:t xml:space="preserve">containers are documented with the tech code or initials </w:t>
            </w:r>
            <w:r w:rsidR="00076E35">
              <w:t xml:space="preserve">of </w:t>
            </w:r>
            <w:r>
              <w:t>lab staff processing the container</w:t>
            </w:r>
            <w:r w:rsidR="00076E35">
              <w:t xml:space="preserve"> to verify both sets of patient ID match on the labels</w:t>
            </w:r>
          </w:p>
          <w:p w:rsidR="00641347" w:rsidRDefault="00A91DEE" w:rsidP="00011759">
            <w:pPr>
              <w:pStyle w:val="BlockText"/>
              <w:numPr>
                <w:ilvl w:val="0"/>
                <w:numId w:val="4"/>
              </w:numPr>
            </w:pPr>
            <w:r w:rsidRPr="00011759">
              <w:t>Adequate</w:t>
            </w:r>
            <w:r w:rsidR="0039095A">
              <w:t xml:space="preserve"> patient</w:t>
            </w:r>
            <w:r w:rsidRPr="00011759">
              <w:t xml:space="preserve"> specimen identification must be provided on </w:t>
            </w:r>
          </w:p>
          <w:p w:rsidR="00011759" w:rsidRPr="00011759" w:rsidRDefault="00011759" w:rsidP="00641347">
            <w:pPr>
              <w:pStyle w:val="BlockText"/>
              <w:ind w:left="720"/>
            </w:pPr>
            <w:r>
              <w:t xml:space="preserve">secondary </w:t>
            </w:r>
            <w:r w:rsidR="00A91DEE" w:rsidRPr="00011759">
              <w:t>specimen containers throughout all phases of testing</w:t>
            </w:r>
          </w:p>
          <w:p w:rsidR="00A91DEE" w:rsidRDefault="00BB5DAF" w:rsidP="00A91DEE">
            <w:pPr>
              <w:pStyle w:val="BlockText"/>
              <w:numPr>
                <w:ilvl w:val="0"/>
                <w:numId w:val="4"/>
              </w:numPr>
            </w:pPr>
            <w:r>
              <w:t>At minimum, t</w:t>
            </w:r>
            <w:r w:rsidR="00011759">
              <w:t>he following</w:t>
            </w:r>
            <w:r w:rsidR="00A91DEE">
              <w:t xml:space="preserve"> </w:t>
            </w:r>
            <w:r w:rsidR="006E1031">
              <w:t xml:space="preserve">patient </w:t>
            </w:r>
            <w:r w:rsidR="00A91DEE">
              <w:t>identifiers are used to label secondary specimen containers</w:t>
            </w:r>
          </w:p>
          <w:p w:rsidR="00A91DEE" w:rsidRDefault="00A91DEE" w:rsidP="00A91DEE">
            <w:pPr>
              <w:pStyle w:val="BlockText"/>
              <w:numPr>
                <w:ilvl w:val="0"/>
                <w:numId w:val="5"/>
              </w:numPr>
            </w:pPr>
            <w:r>
              <w:t>Accession number</w:t>
            </w:r>
          </w:p>
          <w:p w:rsidR="00011759" w:rsidRDefault="00A91DEE" w:rsidP="00011759">
            <w:pPr>
              <w:pStyle w:val="BlockText"/>
              <w:numPr>
                <w:ilvl w:val="0"/>
                <w:numId w:val="5"/>
              </w:numPr>
            </w:pPr>
            <w:r>
              <w:t xml:space="preserve">Patient’s </w:t>
            </w:r>
            <w:r w:rsidR="003357C2">
              <w:t>first and last name</w:t>
            </w:r>
          </w:p>
          <w:p w:rsidR="00011759" w:rsidRDefault="00011759" w:rsidP="00011759">
            <w:pPr>
              <w:pStyle w:val="BlockText"/>
              <w:numPr>
                <w:ilvl w:val="0"/>
                <w:numId w:val="4"/>
              </w:numPr>
            </w:pPr>
            <w:r>
              <w:t xml:space="preserve">The specimen identifiers must </w:t>
            </w:r>
            <w:r w:rsidR="00727893">
              <w:t xml:space="preserve">be </w:t>
            </w:r>
            <w:r>
              <w:t>indelible, legible, and able to withstand all conditions of processing and storage</w:t>
            </w:r>
          </w:p>
          <w:p w:rsidR="00011759" w:rsidRPr="00A91DEE" w:rsidRDefault="00011759" w:rsidP="002254D4">
            <w:pPr>
              <w:pStyle w:val="BlockText"/>
              <w:numPr>
                <w:ilvl w:val="0"/>
                <w:numId w:val="6"/>
              </w:numPr>
            </w:pPr>
            <w:r>
              <w:t xml:space="preserve">Identification can be text based or through the use </w:t>
            </w:r>
            <w:r w:rsidR="003357C2">
              <w:t xml:space="preserve">of </w:t>
            </w:r>
            <w:r w:rsidR="00E16BDE">
              <w:t xml:space="preserve">barcode or </w:t>
            </w:r>
            <w:r>
              <w:t xml:space="preserve">aliquot flag labels </w:t>
            </w:r>
          </w:p>
        </w:tc>
      </w:tr>
    </w:tbl>
    <w:p w:rsidR="00BB5DAF" w:rsidRPr="00BB5DAF" w:rsidRDefault="002254D4" w:rsidP="00BB5DAF">
      <w:pPr>
        <w:pStyle w:val="BlockLine"/>
      </w:pPr>
      <w:r>
        <w:tab/>
      </w:r>
      <w:r w:rsidRPr="00BB5DAF">
        <w:tab/>
      </w:r>
      <w:r w:rsidRPr="00BB5DAF">
        <w:tab/>
      </w:r>
      <w:r w:rsidRPr="00BB5DAF">
        <w:tab/>
      </w:r>
      <w:r w:rsidRPr="00BB5DAF">
        <w:tab/>
      </w:r>
      <w:r w:rsidRPr="00BB5DAF">
        <w:tab/>
      </w:r>
      <w:r w:rsidRPr="00BB5DAF">
        <w:tab/>
      </w:r>
      <w:r w:rsidRPr="00BB5DAF">
        <w:tab/>
      </w:r>
      <w:r w:rsidRPr="00BB5DAF">
        <w:tab/>
      </w:r>
      <w:r w:rsidRPr="00BB5DAF">
        <w:tab/>
      </w:r>
    </w:p>
    <w:p w:rsidR="00BB5DAF" w:rsidRPr="00BB5DAF" w:rsidRDefault="00BB5DAF" w:rsidP="00BB5DA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BB5DAF" w:rsidRPr="00BB5DAF" w:rsidTr="00EA0CEE">
        <w:trPr>
          <w:trHeight w:val="240"/>
        </w:trPr>
        <w:tc>
          <w:tcPr>
            <w:tcW w:w="1728" w:type="dxa"/>
            <w:shd w:val="clear" w:color="auto" w:fill="auto"/>
          </w:tcPr>
          <w:p w:rsidR="00BB5DAF" w:rsidRPr="00BB5DAF" w:rsidRDefault="00BB5DAF" w:rsidP="00BB5DAF">
            <w:pPr>
              <w:pStyle w:val="Heading5"/>
            </w:pPr>
            <w:r>
              <w:t>Procedure A</w:t>
            </w:r>
          </w:p>
        </w:tc>
        <w:tc>
          <w:tcPr>
            <w:tcW w:w="7740" w:type="dxa"/>
            <w:shd w:val="clear" w:color="auto" w:fill="auto"/>
          </w:tcPr>
          <w:p w:rsidR="00BB5DAF" w:rsidRDefault="00BB5DAF" w:rsidP="00BB5DAF">
            <w:pPr>
              <w:pStyle w:val="BlockText"/>
            </w:pPr>
            <w:proofErr w:type="spellStart"/>
            <w:r>
              <w:t>Aliquoting</w:t>
            </w:r>
            <w:proofErr w:type="spellEnd"/>
            <w:r>
              <w:t xml:space="preserve"> procedure for Reference Lab/Send Out testing</w:t>
            </w:r>
          </w:p>
          <w:p w:rsidR="00EA0CEE" w:rsidRPr="00EA0CEE" w:rsidRDefault="00EA0CEE" w:rsidP="00EA0CEE">
            <w:pPr>
              <w:pStyle w:val="BlockText"/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488"/>
            </w:tblGrid>
            <w:tr w:rsidR="00EA0CEE" w:rsidTr="00EA0CEE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EA0CEE" w:rsidRDefault="00EA0CEE" w:rsidP="00EA0CEE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EA0CEE" w:rsidRDefault="00EA0CEE" w:rsidP="00EA0CEE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EA0CEE" w:rsidTr="00EA0CEE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EA0CEE" w:rsidRDefault="00EA0CEE" w:rsidP="00EA0CEE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EA0CEE" w:rsidRDefault="00EA0CEE" w:rsidP="006E1031">
                  <w:pPr>
                    <w:pStyle w:val="TableText"/>
                  </w:pPr>
                  <w:r>
                    <w:t>Handling one specimen at a time</w:t>
                  </w:r>
                  <w:r w:rsidR="006E1031">
                    <w:t>, p</w:t>
                  </w:r>
                  <w:r w:rsidR="00CC227D">
                    <w:t xml:space="preserve">lace a LIS </w:t>
                  </w:r>
                  <w:r>
                    <w:t xml:space="preserve"> label with the proper </w:t>
                  </w:r>
                  <w:r w:rsidR="006E1031">
                    <w:t xml:space="preserve">patient </w:t>
                  </w:r>
                  <w:r w:rsidR="00CC227D">
                    <w:t>specimen ID on the secondary specimen container</w:t>
                  </w:r>
                </w:p>
              </w:tc>
            </w:tr>
          </w:tbl>
          <w:p w:rsidR="00EA0CEE" w:rsidRPr="00BB5DAF" w:rsidRDefault="00EA0CEE" w:rsidP="00BB5DAF">
            <w:pPr>
              <w:pStyle w:val="BlockText"/>
            </w:pPr>
            <w:r>
              <w:t xml:space="preserve"> </w:t>
            </w:r>
          </w:p>
        </w:tc>
      </w:tr>
    </w:tbl>
    <w:p w:rsidR="006E1031" w:rsidRDefault="006E1031" w:rsidP="006E1031">
      <w:pPr>
        <w:pStyle w:val="ContinuedOnNextPa"/>
      </w:pPr>
      <w:r>
        <w:t>Continued on next page</w:t>
      </w:r>
    </w:p>
    <w:p w:rsidR="006E1031" w:rsidRDefault="006E1031">
      <w:r>
        <w:br w:type="page"/>
      </w:r>
    </w:p>
    <w:p w:rsidR="006E1031" w:rsidRDefault="00245159" w:rsidP="006E1031">
      <w:pPr>
        <w:pStyle w:val="MapTitleContinued"/>
        <w:rPr>
          <w:b w:val="0"/>
          <w:sz w:val="24"/>
        </w:rPr>
      </w:pPr>
      <w:r>
        <w:lastRenderedPageBreak/>
        <w:t xml:space="preserve">Auditing and </w:t>
      </w:r>
      <w:fldSimple w:instr=" STYLEREF &quot;Map Title&quot; ">
        <w:r w:rsidR="00076E35">
          <w:rPr>
            <w:noProof/>
          </w:rPr>
          <w:t>Auditing and Labeling Secondary Specimen Containers in the General Laboratory</w:t>
        </w:r>
      </w:fldSimple>
      <w:r w:rsidR="006E1031" w:rsidRPr="006E1031">
        <w:t xml:space="preserve">, </w:t>
      </w:r>
      <w:r w:rsidR="006E1031" w:rsidRPr="006E1031">
        <w:rPr>
          <w:b w:val="0"/>
          <w:sz w:val="24"/>
        </w:rPr>
        <w:t>Continued</w:t>
      </w:r>
    </w:p>
    <w:p w:rsidR="006E1031" w:rsidRPr="001F0D44" w:rsidRDefault="006E1031" w:rsidP="001F0D44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6E1031" w:rsidRPr="006E1031" w:rsidTr="001F0D44">
        <w:trPr>
          <w:trHeight w:val="240"/>
        </w:trPr>
        <w:tc>
          <w:tcPr>
            <w:tcW w:w="1728" w:type="dxa"/>
            <w:shd w:val="clear" w:color="auto" w:fill="auto"/>
          </w:tcPr>
          <w:p w:rsidR="006E1031" w:rsidRPr="006E1031" w:rsidRDefault="006E1031" w:rsidP="006E1031">
            <w:pPr>
              <w:pStyle w:val="Heading5"/>
            </w:pPr>
            <w:r>
              <w:t xml:space="preserve">Procedure A, </w:t>
            </w:r>
            <w:proofErr w:type="spellStart"/>
            <w:r>
              <w:t>cont</w:t>
            </w:r>
            <w:proofErr w:type="spellEnd"/>
          </w:p>
        </w:tc>
        <w:tc>
          <w:tcPr>
            <w:tcW w:w="7740" w:type="dxa"/>
            <w:shd w:val="clear" w:color="auto" w:fill="auto"/>
          </w:tcPr>
          <w:p w:rsidR="006E1031" w:rsidRPr="006E1031" w:rsidRDefault="006E1031" w:rsidP="006E1031">
            <w:pPr>
              <w:pStyle w:val="BlockText"/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757"/>
              <w:gridCol w:w="1860"/>
              <w:gridCol w:w="2783"/>
              <w:gridCol w:w="1088"/>
            </w:tblGrid>
            <w:tr w:rsidR="006E1031" w:rsidTr="006E103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E1031" w:rsidRDefault="006E1031" w:rsidP="006E1031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6E1031" w:rsidRDefault="006E1031" w:rsidP="006E1031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6E1031" w:rsidTr="006E103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E1031" w:rsidRDefault="001F0D44" w:rsidP="006E1031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6E1031" w:rsidRDefault="001F0D44" w:rsidP="006E1031">
                  <w:pPr>
                    <w:pStyle w:val="TableText"/>
                  </w:pPr>
                  <w:r>
                    <w:t>Ensure that the patient ID match on both the primary and secondary specimen containers</w:t>
                  </w:r>
                </w:p>
              </w:tc>
            </w:tr>
            <w:tr w:rsidR="001F0D44" w:rsidTr="001F0D44">
              <w:trPr>
                <w:trHeight w:val="144"/>
              </w:trPr>
              <w:tc>
                <w:tcPr>
                  <w:tcW w:w="675" w:type="pct"/>
                  <w:vMerge w:val="restart"/>
                  <w:shd w:val="clear" w:color="auto" w:fill="auto"/>
                </w:tcPr>
                <w:p w:rsidR="001F0D44" w:rsidRDefault="001F0D44" w:rsidP="006E1031">
                  <w:pPr>
                    <w:pStyle w:val="TableText"/>
                    <w:jc w:val="center"/>
                  </w:pPr>
                </w:p>
              </w:tc>
              <w:tc>
                <w:tcPr>
                  <w:tcW w:w="4325" w:type="pct"/>
                  <w:gridSpan w:val="4"/>
                  <w:tcBorders>
                    <w:bottom w:val="nil"/>
                  </w:tcBorders>
                  <w:shd w:val="clear" w:color="auto" w:fill="auto"/>
                </w:tcPr>
                <w:p w:rsidR="001F0D44" w:rsidRDefault="001F0D44" w:rsidP="006E1031">
                  <w:pPr>
                    <w:pStyle w:val="TableText"/>
                  </w:pPr>
                </w:p>
              </w:tc>
            </w:tr>
            <w:tr w:rsidR="001F0D44" w:rsidTr="001F0D44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1F0D44" w:rsidRDefault="001F0D44" w:rsidP="006E1031">
                  <w:pPr>
                    <w:pStyle w:val="TableText"/>
                    <w:jc w:val="center"/>
                  </w:pPr>
                </w:p>
              </w:tc>
              <w:tc>
                <w:tcPr>
                  <w:tcW w:w="505" w:type="pct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1F0D44" w:rsidRDefault="001F0D44" w:rsidP="006E1031">
                  <w:pPr>
                    <w:pStyle w:val="TableText"/>
                  </w:pPr>
                </w:p>
              </w:tc>
              <w:tc>
                <w:tcPr>
                  <w:tcW w:w="124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D44" w:rsidRPr="001F0D44" w:rsidRDefault="001F0D44" w:rsidP="006E1031">
                  <w:pPr>
                    <w:pStyle w:val="TableText"/>
                    <w:rPr>
                      <w:b/>
                    </w:rPr>
                  </w:pPr>
                  <w:r w:rsidRPr="001F0D44">
                    <w:rPr>
                      <w:b/>
                    </w:rPr>
                    <w:t>If</w:t>
                  </w:r>
                </w:p>
              </w:tc>
              <w:tc>
                <w:tcPr>
                  <w:tcW w:w="1855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D44" w:rsidRPr="001F0D44" w:rsidRDefault="001F0D44" w:rsidP="006E1031">
                  <w:pPr>
                    <w:pStyle w:val="TableText"/>
                    <w:rPr>
                      <w:b/>
                    </w:rPr>
                  </w:pPr>
                  <w:r w:rsidRPr="001F0D44">
                    <w:rPr>
                      <w:b/>
                    </w:rPr>
                    <w:t>Then</w:t>
                  </w:r>
                </w:p>
              </w:tc>
              <w:tc>
                <w:tcPr>
                  <w:tcW w:w="725" w:type="pct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1F0D44" w:rsidRDefault="001F0D44" w:rsidP="006E1031">
                  <w:pPr>
                    <w:pStyle w:val="TableText"/>
                  </w:pPr>
                </w:p>
              </w:tc>
            </w:tr>
            <w:tr w:rsidR="001F0D44" w:rsidTr="001F0D44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1F0D44" w:rsidRDefault="001F0D44" w:rsidP="006E1031">
                  <w:pPr>
                    <w:pStyle w:val="TableText"/>
                    <w:jc w:val="center"/>
                  </w:pPr>
                </w:p>
              </w:tc>
              <w:tc>
                <w:tcPr>
                  <w:tcW w:w="505" w:type="pct"/>
                  <w:vMerge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F0D44" w:rsidRDefault="001F0D44" w:rsidP="006E1031">
                  <w:pPr>
                    <w:pStyle w:val="TableText"/>
                  </w:pPr>
                </w:p>
              </w:tc>
              <w:tc>
                <w:tcPr>
                  <w:tcW w:w="124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D44" w:rsidRDefault="001F0D44" w:rsidP="006E1031">
                  <w:pPr>
                    <w:pStyle w:val="TableText"/>
                  </w:pPr>
                  <w:r>
                    <w:t>Multiple tests are requested on a single specimen</w:t>
                  </w:r>
                </w:p>
              </w:tc>
              <w:tc>
                <w:tcPr>
                  <w:tcW w:w="1855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0D44" w:rsidRDefault="001F0D44" w:rsidP="006E1031">
                  <w:pPr>
                    <w:pStyle w:val="TableText"/>
                  </w:pPr>
                  <w:r>
                    <w:t xml:space="preserve">Prepare multiple aliquot tubes following  Steps 1 &amp; 2  </w:t>
                  </w:r>
                </w:p>
              </w:tc>
              <w:tc>
                <w:tcPr>
                  <w:tcW w:w="725" w:type="pct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1F0D44" w:rsidRDefault="001F0D44" w:rsidP="006E1031">
                  <w:pPr>
                    <w:pStyle w:val="TableText"/>
                  </w:pPr>
                </w:p>
              </w:tc>
            </w:tr>
            <w:tr w:rsidR="001F0D44" w:rsidTr="001F0D44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1F0D44" w:rsidRDefault="001F0D44" w:rsidP="006E1031">
                  <w:pPr>
                    <w:pStyle w:val="TableText"/>
                    <w:jc w:val="center"/>
                  </w:pPr>
                </w:p>
              </w:tc>
              <w:tc>
                <w:tcPr>
                  <w:tcW w:w="4325" w:type="pct"/>
                  <w:gridSpan w:val="4"/>
                  <w:tcBorders>
                    <w:top w:val="nil"/>
                  </w:tcBorders>
                  <w:shd w:val="clear" w:color="auto" w:fill="auto"/>
                </w:tcPr>
                <w:p w:rsidR="001F0D44" w:rsidRDefault="001F0D44" w:rsidP="006E1031">
                  <w:pPr>
                    <w:pStyle w:val="TableText"/>
                  </w:pPr>
                </w:p>
              </w:tc>
            </w:tr>
            <w:tr w:rsidR="001F0D44" w:rsidTr="006E103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1F0D44" w:rsidRDefault="001F0D44" w:rsidP="001F0D44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1F0D44" w:rsidRDefault="001F0D44" w:rsidP="001F0D44">
                  <w:pPr>
                    <w:pStyle w:val="TableText"/>
                  </w:pPr>
                  <w:r>
                    <w:t>Pour off the specimen into the properly labeled secondary specimen container</w:t>
                  </w:r>
                </w:p>
              </w:tc>
            </w:tr>
            <w:tr w:rsidR="001F0D44" w:rsidTr="006E103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1F0D44" w:rsidRDefault="001F0D44" w:rsidP="001F0D44">
                  <w:pPr>
                    <w:pStyle w:val="TableText"/>
                    <w:jc w:val="center"/>
                  </w:pPr>
                  <w:r>
                    <w:t>4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1F0D44" w:rsidRDefault="001F0D44" w:rsidP="001F0D44">
                  <w:pPr>
                    <w:pStyle w:val="TableText"/>
                  </w:pPr>
                  <w:r>
                    <w:t>Initial and date the labeled secondary specimen container</w:t>
                  </w:r>
                </w:p>
              </w:tc>
            </w:tr>
            <w:tr w:rsidR="001F0D44" w:rsidTr="006E103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1F0D44" w:rsidRDefault="001F0D44" w:rsidP="001F0D44">
                  <w:pPr>
                    <w:pStyle w:val="TableText"/>
                    <w:jc w:val="center"/>
                  </w:pPr>
                  <w:r>
                    <w:t>5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1F0D44" w:rsidRDefault="001F0D44" w:rsidP="001F0D44">
                  <w:pPr>
                    <w:pStyle w:val="TableText"/>
                  </w:pPr>
                  <w:r>
                    <w:t>Indicate the specimen type (i.e. serum or plasma)</w:t>
                  </w:r>
                </w:p>
              </w:tc>
            </w:tr>
            <w:tr w:rsidR="001F0D44" w:rsidTr="006E103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1F0D44" w:rsidRDefault="001F0D44" w:rsidP="001F0D44">
                  <w:pPr>
                    <w:pStyle w:val="TableText"/>
                    <w:jc w:val="center"/>
                  </w:pPr>
                  <w:r>
                    <w:t>6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1F0D44" w:rsidRDefault="001F0D44" w:rsidP="001F0D44">
                  <w:pPr>
                    <w:pStyle w:val="TableText"/>
                  </w:pPr>
                  <w:r>
                    <w:t xml:space="preserve">Store primary patient specimen container in </w:t>
                  </w:r>
                  <w:proofErr w:type="spellStart"/>
                  <w:r>
                    <w:t>freezerworks</w:t>
                  </w:r>
                  <w:proofErr w:type="spellEnd"/>
                </w:p>
              </w:tc>
            </w:tr>
            <w:tr w:rsidR="001F0D44" w:rsidTr="006E103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1F0D44" w:rsidRDefault="001F0D44" w:rsidP="001F0D44">
                  <w:pPr>
                    <w:pStyle w:val="TableText"/>
                    <w:jc w:val="center"/>
                  </w:pPr>
                  <w:r>
                    <w:t>7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1F0D44" w:rsidRDefault="001F0D44" w:rsidP="001F0D44">
                  <w:pPr>
                    <w:pStyle w:val="TableText"/>
                  </w:pPr>
                  <w:r>
                    <w:t>Prepare secondary specimen container to be sent out for reference lab testing</w:t>
                  </w:r>
                </w:p>
              </w:tc>
            </w:tr>
          </w:tbl>
          <w:p w:rsidR="006E1031" w:rsidRPr="006E1031" w:rsidRDefault="006E1031" w:rsidP="006E1031">
            <w:pPr>
              <w:pStyle w:val="BlockText"/>
            </w:pPr>
            <w:r>
              <w:t xml:space="preserve"> </w:t>
            </w:r>
          </w:p>
        </w:tc>
      </w:tr>
    </w:tbl>
    <w:p w:rsidR="006E1031" w:rsidRPr="006E1031" w:rsidRDefault="006E1031" w:rsidP="006E1031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6E1031" w:rsidRPr="006E1031" w:rsidTr="006E1031">
        <w:trPr>
          <w:trHeight w:val="240"/>
        </w:trPr>
        <w:tc>
          <w:tcPr>
            <w:tcW w:w="1728" w:type="dxa"/>
            <w:shd w:val="clear" w:color="auto" w:fill="auto"/>
          </w:tcPr>
          <w:p w:rsidR="006E1031" w:rsidRPr="006E1031" w:rsidRDefault="006E1031" w:rsidP="006E1031">
            <w:pPr>
              <w:pStyle w:val="Heading5"/>
            </w:pPr>
            <w:r>
              <w:t>Procedure B</w:t>
            </w:r>
          </w:p>
        </w:tc>
        <w:tc>
          <w:tcPr>
            <w:tcW w:w="7740" w:type="dxa"/>
            <w:shd w:val="clear" w:color="auto" w:fill="auto"/>
          </w:tcPr>
          <w:p w:rsidR="006E1031" w:rsidRDefault="00FE22BF" w:rsidP="006E1031">
            <w:pPr>
              <w:pStyle w:val="BlockText"/>
            </w:pPr>
            <w:proofErr w:type="spellStart"/>
            <w:r>
              <w:t>Aliquoting</w:t>
            </w:r>
            <w:proofErr w:type="spellEnd"/>
            <w:r>
              <w:t xml:space="preserve"> procedure for the General Laboratory</w:t>
            </w:r>
          </w:p>
          <w:p w:rsidR="006E1031" w:rsidRPr="006E1031" w:rsidRDefault="006E1031" w:rsidP="006E1031">
            <w:pPr>
              <w:pStyle w:val="BlockText"/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488"/>
            </w:tblGrid>
            <w:tr w:rsidR="006E1031" w:rsidTr="006E103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E1031" w:rsidRDefault="006E1031" w:rsidP="006E1031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E1031" w:rsidRDefault="006E1031" w:rsidP="006E1031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6E1031" w:rsidTr="006E103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E1031" w:rsidRDefault="006E1031" w:rsidP="006E1031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E1031" w:rsidRDefault="006E1031" w:rsidP="006E1031">
                  <w:pPr>
                    <w:pStyle w:val="TableText"/>
                  </w:pPr>
                  <w:r>
                    <w:t>Ha</w:t>
                  </w:r>
                  <w:r w:rsidR="003357C2">
                    <w:t xml:space="preserve">ndling one specimen at a time, </w:t>
                  </w:r>
                </w:p>
                <w:p w:rsidR="006E1031" w:rsidRDefault="006E1031" w:rsidP="006E1031">
                  <w:pPr>
                    <w:pStyle w:val="TableText"/>
                  </w:pPr>
                  <w:r>
                    <w:sym w:font="Symbol" w:char="F0B7"/>
                  </w:r>
                  <w:r>
                    <w:t xml:space="preserve"> Place an  LIS label with the </w:t>
                  </w:r>
                  <w:r w:rsidR="00CC227D">
                    <w:t>proper specimen ID on the secondary</w:t>
                  </w:r>
                  <w:r>
                    <w:t xml:space="preserve"> container or</w:t>
                  </w:r>
                </w:p>
                <w:p w:rsidR="006E1031" w:rsidRDefault="006E1031" w:rsidP="003357C2">
                  <w:pPr>
                    <w:pStyle w:val="TableText"/>
                  </w:pPr>
                  <w:r>
                    <w:sym w:font="Symbol" w:char="F0B7"/>
                  </w:r>
                  <w:r w:rsidR="003357C2">
                    <w:t xml:space="preserve">  W</w:t>
                  </w:r>
                  <w:r>
                    <w:t>rite down the Ac</w:t>
                  </w:r>
                  <w:r w:rsidR="003357C2">
                    <w:t xml:space="preserve">cession number, </w:t>
                  </w:r>
                  <w:r>
                    <w:t>patient’s last</w:t>
                  </w:r>
                  <w:r w:rsidR="003357C2">
                    <w:t xml:space="preserve"> and first </w:t>
                  </w:r>
                  <w:r w:rsidR="00CC227D">
                    <w:t xml:space="preserve"> name </w:t>
                  </w:r>
                  <w:r w:rsidR="0039095A">
                    <w:t xml:space="preserve">on </w:t>
                  </w:r>
                  <w:r w:rsidR="00CC227D">
                    <w:t>the secondary</w:t>
                  </w:r>
                  <w:r>
                    <w:t xml:space="preserve"> </w:t>
                  </w:r>
                  <w:r w:rsidR="0039095A">
                    <w:t xml:space="preserve">specimen </w:t>
                  </w:r>
                  <w:r>
                    <w:t>container</w:t>
                  </w:r>
                </w:p>
              </w:tc>
            </w:tr>
            <w:tr w:rsidR="006E1031" w:rsidTr="006E103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E1031" w:rsidRDefault="006E1031" w:rsidP="006E1031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E1031" w:rsidRDefault="006E1031" w:rsidP="006E1031">
                  <w:pPr>
                    <w:pStyle w:val="TableText"/>
                  </w:pPr>
                  <w:r>
                    <w:t xml:space="preserve">Ensure that the specimen ID </w:t>
                  </w:r>
                  <w:r w:rsidR="00CC227D">
                    <w:t xml:space="preserve">match </w:t>
                  </w:r>
                  <w:r>
                    <w:t>o</w:t>
                  </w:r>
                  <w:r w:rsidR="00CC227D">
                    <w:t xml:space="preserve">n both the primary and secondary specimen </w:t>
                  </w:r>
                  <w:r w:rsidR="003357C2">
                    <w:t>container</w:t>
                  </w:r>
                  <w:r w:rsidR="00CC227D">
                    <w:t>s</w:t>
                  </w:r>
                  <w:r>
                    <w:t xml:space="preserve"> </w:t>
                  </w:r>
                </w:p>
              </w:tc>
            </w:tr>
            <w:tr w:rsidR="006E1031" w:rsidTr="006E103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E1031" w:rsidRDefault="006E1031" w:rsidP="006E1031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E1031" w:rsidRDefault="00CC227D" w:rsidP="006E1031">
                  <w:pPr>
                    <w:pStyle w:val="TableText"/>
                  </w:pPr>
                  <w:r>
                    <w:t>Aliquot</w:t>
                  </w:r>
                  <w:r w:rsidR="0039095A">
                    <w:t xml:space="preserve"> or transfer</w:t>
                  </w:r>
                  <w:r>
                    <w:t xml:space="preserve"> </w:t>
                  </w:r>
                  <w:r w:rsidR="006E1031">
                    <w:t>the specimen i</w:t>
                  </w:r>
                  <w:r>
                    <w:t>nto the properly labeled secondary specimen</w:t>
                  </w:r>
                  <w:r w:rsidR="006E1031">
                    <w:t xml:space="preserve"> container</w:t>
                  </w:r>
                </w:p>
              </w:tc>
            </w:tr>
            <w:tr w:rsidR="006E1031" w:rsidTr="006E1031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E1031" w:rsidRDefault="00111897" w:rsidP="006E1031">
                  <w:pPr>
                    <w:pStyle w:val="TableText"/>
                    <w:jc w:val="center"/>
                  </w:pPr>
                  <w:r>
                    <w:t>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E1031" w:rsidRDefault="00111897" w:rsidP="006E1031">
                  <w:pPr>
                    <w:pStyle w:val="TableText"/>
                  </w:pPr>
                  <w:r>
                    <w:t>Proceed with patient testing using the properly labeled secondary specimen container</w:t>
                  </w:r>
                </w:p>
              </w:tc>
            </w:tr>
          </w:tbl>
          <w:p w:rsidR="006E1031" w:rsidRPr="006E1031" w:rsidRDefault="006E1031" w:rsidP="006E1031">
            <w:pPr>
              <w:pStyle w:val="BlockText"/>
            </w:pPr>
            <w:r>
              <w:t xml:space="preserve"> </w:t>
            </w:r>
          </w:p>
        </w:tc>
      </w:tr>
    </w:tbl>
    <w:p w:rsidR="00224F64" w:rsidRDefault="00AC4F74" w:rsidP="00224F64">
      <w:pPr>
        <w:pStyle w:val="ContinuedOnNextPa"/>
      </w:pPr>
      <w:r>
        <w:tab/>
      </w:r>
      <w:r w:rsidRPr="00C87A85">
        <w:tab/>
      </w:r>
      <w:r w:rsidR="00224F64">
        <w:t>Continued on next page</w:t>
      </w:r>
    </w:p>
    <w:p w:rsidR="00224F64" w:rsidRDefault="00224F64" w:rsidP="00224F64">
      <w:r>
        <w:br w:type="page"/>
      </w:r>
    </w:p>
    <w:p w:rsidR="00224F64" w:rsidRDefault="00E841C2" w:rsidP="00224F64">
      <w:pPr>
        <w:pStyle w:val="MapTitleContinued"/>
        <w:rPr>
          <w:b w:val="0"/>
          <w:sz w:val="24"/>
        </w:rPr>
      </w:pPr>
      <w:fldSimple w:instr=" STYLEREF &quot;Map Title&quot; ">
        <w:r w:rsidR="00224F64" w:rsidRPr="00224F64">
          <w:rPr>
            <w:noProof/>
          </w:rPr>
          <w:t>Auditing and Labeling Secondary Specimen Containers in the General Laboratory</w:t>
        </w:r>
      </w:fldSimple>
      <w:r w:rsidR="00224F64" w:rsidRPr="00224F64">
        <w:t xml:space="preserve">, </w:t>
      </w:r>
      <w:r w:rsidR="00224F64" w:rsidRPr="00224F64">
        <w:rPr>
          <w:b w:val="0"/>
          <w:sz w:val="24"/>
        </w:rPr>
        <w:t>Continued</w:t>
      </w:r>
    </w:p>
    <w:p w:rsidR="00C87A85" w:rsidRPr="0002096C" w:rsidRDefault="00C87A85" w:rsidP="0002096C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C87A85" w:rsidRPr="00C87A85" w:rsidTr="00C87A85">
        <w:trPr>
          <w:trHeight w:val="240"/>
        </w:trPr>
        <w:tc>
          <w:tcPr>
            <w:tcW w:w="1728" w:type="dxa"/>
            <w:shd w:val="clear" w:color="auto" w:fill="auto"/>
          </w:tcPr>
          <w:p w:rsidR="00C87A85" w:rsidRPr="00C87A85" w:rsidRDefault="00C87A85" w:rsidP="00C87A85">
            <w:pPr>
              <w:pStyle w:val="Heading5"/>
            </w:pPr>
            <w:r>
              <w:t>Procedure C</w:t>
            </w:r>
          </w:p>
        </w:tc>
        <w:tc>
          <w:tcPr>
            <w:tcW w:w="7740" w:type="dxa"/>
            <w:shd w:val="clear" w:color="auto" w:fill="auto"/>
          </w:tcPr>
          <w:p w:rsidR="00C87A85" w:rsidRDefault="00FA2AC2" w:rsidP="00C87A85">
            <w:pPr>
              <w:pStyle w:val="BlockText"/>
            </w:pPr>
            <w:r>
              <w:t xml:space="preserve">Follow the steps below to re label primary </w:t>
            </w:r>
            <w:r w:rsidR="00E841C2">
              <w:t xml:space="preserve">specimen </w:t>
            </w:r>
            <w:r>
              <w:t xml:space="preserve">containers with LIS </w:t>
            </w:r>
            <w:r w:rsidR="004912BF">
              <w:t xml:space="preserve">barcode </w:t>
            </w:r>
            <w:r>
              <w:t xml:space="preserve">labels </w:t>
            </w:r>
          </w:p>
          <w:p w:rsidR="00C87A85" w:rsidRPr="00C87A85" w:rsidRDefault="00C87A85" w:rsidP="00C87A85">
            <w:pPr>
              <w:pStyle w:val="BlockText"/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505"/>
            </w:tblGrid>
            <w:tr w:rsidR="00C87A85" w:rsidTr="00C87A8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87A85" w:rsidRDefault="00C87A85" w:rsidP="00C87A85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C87A85" w:rsidRDefault="00C87A85" w:rsidP="00C87A85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FA2AC2" w:rsidTr="00C87A8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FA2AC2" w:rsidRDefault="00FA2AC2" w:rsidP="00FA2AC2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FA2AC2" w:rsidRDefault="00FA2AC2" w:rsidP="00FA2AC2">
                  <w:pPr>
                    <w:pStyle w:val="TableText"/>
                  </w:pPr>
                  <w:r>
                    <w:t>Ha</w:t>
                  </w:r>
                  <w:r w:rsidR="004912BF">
                    <w:t>ndling one specimen at a time,</w:t>
                  </w:r>
                  <w:r>
                    <w:t xml:space="preserve"> </w:t>
                  </w:r>
                  <w:r w:rsidR="004912BF">
                    <w:t>e</w:t>
                  </w:r>
                  <w:r>
                    <w:t xml:space="preserve">nsure that the specimen ID match on the </w:t>
                  </w:r>
                  <w:r w:rsidR="00E841C2">
                    <w:t xml:space="preserve">specimen </w:t>
                  </w:r>
                  <w:r>
                    <w:t>container’s original p</w:t>
                  </w:r>
                  <w:bookmarkStart w:id="0" w:name="_GoBack"/>
                  <w:bookmarkEnd w:id="0"/>
                  <w:r>
                    <w:t>atient label</w:t>
                  </w:r>
                  <w:r w:rsidR="004912BF">
                    <w:t xml:space="preserve"> and the LIS patient barcode label</w:t>
                  </w:r>
                </w:p>
                <w:p w:rsidR="004912BF" w:rsidRDefault="004912BF" w:rsidP="00FA2AC2">
                  <w:pPr>
                    <w:pStyle w:val="TableText"/>
                  </w:pPr>
                  <w:r>
                    <w:t>Note: specimen ID consi</w:t>
                  </w:r>
                  <w:r w:rsidR="00727893">
                    <w:t>sts of patient name and MRN</w:t>
                  </w:r>
                </w:p>
              </w:tc>
            </w:tr>
            <w:tr w:rsidR="0002096C" w:rsidTr="00C87A8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02096C" w:rsidRDefault="0002096C" w:rsidP="0002096C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02096C" w:rsidRDefault="0002096C" w:rsidP="0002096C">
                  <w:pPr>
                    <w:pStyle w:val="TableText"/>
                  </w:pPr>
                  <w:r>
                    <w:t xml:space="preserve">Place the LIS patient barcode label over the original patient label so that the patient name and MRN are visible on the primary </w:t>
                  </w:r>
                  <w:r w:rsidR="00E841C2">
                    <w:t xml:space="preserve">specimen </w:t>
                  </w:r>
                  <w:r>
                    <w:t>container</w:t>
                  </w:r>
                </w:p>
              </w:tc>
            </w:tr>
            <w:tr w:rsidR="0002096C" w:rsidTr="00C87A8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02096C" w:rsidRDefault="0002096C" w:rsidP="0002096C">
                  <w:pPr>
                    <w:pStyle w:val="Table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02096C" w:rsidRDefault="0002096C" w:rsidP="0002096C">
                  <w:pPr>
                    <w:pStyle w:val="TableText"/>
                  </w:pPr>
                  <w:r>
                    <w:t>Write your tech code or initials on the LIS label to confirm both sets of patient ID have been checked (avoid writing on the barcode)</w:t>
                  </w:r>
                </w:p>
              </w:tc>
            </w:tr>
            <w:tr w:rsidR="0002096C" w:rsidTr="00C87A8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02096C" w:rsidRDefault="0002096C" w:rsidP="0002096C">
                  <w:pPr>
                    <w:pStyle w:val="TableText"/>
                    <w:jc w:val="center"/>
                  </w:pPr>
                  <w:r>
                    <w:t>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02096C" w:rsidRDefault="0002096C" w:rsidP="0002096C">
                  <w:pPr>
                    <w:pStyle w:val="TableText"/>
                  </w:pPr>
                  <w:r>
                    <w:t>Use the properly re labeled primary specimen container to perform additional processing and testing steps</w:t>
                  </w:r>
                </w:p>
              </w:tc>
            </w:tr>
          </w:tbl>
          <w:p w:rsidR="00C87A85" w:rsidRPr="00C87A85" w:rsidRDefault="00C87A85" w:rsidP="00C87A85">
            <w:pPr>
              <w:pStyle w:val="BlockText"/>
            </w:pPr>
            <w:r>
              <w:t xml:space="preserve"> </w:t>
            </w:r>
          </w:p>
        </w:tc>
      </w:tr>
    </w:tbl>
    <w:p w:rsidR="0002096C" w:rsidRDefault="0002096C" w:rsidP="0002096C">
      <w:pPr>
        <w:pStyle w:val="ContinuedOnNextPa"/>
      </w:pPr>
      <w:r>
        <w:t>End</w:t>
      </w:r>
    </w:p>
    <w:p w:rsidR="0002096C" w:rsidRPr="0002096C" w:rsidRDefault="0002096C" w:rsidP="0002096C"/>
    <w:p w:rsidR="0002096C" w:rsidRPr="0002096C" w:rsidRDefault="0002096C" w:rsidP="0002096C"/>
    <w:p w:rsidR="0002096C" w:rsidRPr="0002096C" w:rsidRDefault="0002096C" w:rsidP="0002096C"/>
    <w:p w:rsidR="0002096C" w:rsidRPr="0002096C" w:rsidRDefault="0002096C" w:rsidP="0002096C"/>
    <w:p w:rsidR="0002096C" w:rsidRPr="0002096C" w:rsidRDefault="0002096C" w:rsidP="0002096C"/>
    <w:sectPr w:rsidR="0002096C" w:rsidRPr="0002096C" w:rsidSect="00A91DEE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70B" w:rsidRDefault="005D670B" w:rsidP="002254D4">
      <w:r>
        <w:separator/>
      </w:r>
    </w:p>
  </w:endnote>
  <w:endnote w:type="continuationSeparator" w:id="0">
    <w:p w:rsidR="005D670B" w:rsidRDefault="005D670B" w:rsidP="0022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70B" w:rsidRPr="0019587E" w:rsidRDefault="005D670B">
    <w:pPr>
      <w:pStyle w:val="Footer"/>
      <w:rPr>
        <w:sz w:val="20"/>
        <w:szCs w:val="20"/>
      </w:rPr>
    </w:pPr>
    <w:r w:rsidRPr="0019587E">
      <w:rPr>
        <w:color w:val="auto"/>
        <w:sz w:val="20"/>
        <w:szCs w:val="20"/>
      </w:rPr>
      <w:t xml:space="preserve">Document # </w:t>
    </w:r>
    <w:r w:rsidR="002D5CFA">
      <w:rPr>
        <w:color w:val="auto"/>
        <w:sz w:val="20"/>
        <w:szCs w:val="20"/>
      </w:rPr>
      <w:t>LG.ANA06.00-/-RV.02</w:t>
    </w:r>
    <w:r w:rsidRPr="0019587E">
      <w:rPr>
        <w:color w:val="auto"/>
        <w:sz w:val="20"/>
        <w:szCs w:val="20"/>
      </w:rPr>
      <w:tab/>
    </w:r>
    <w:r w:rsidRPr="0019587E">
      <w:rPr>
        <w:sz w:val="20"/>
        <w:szCs w:val="20"/>
      </w:rPr>
      <w:t xml:space="preserve">Page </w:t>
    </w:r>
    <w:r w:rsidR="00AD3319" w:rsidRPr="0019587E">
      <w:rPr>
        <w:b/>
        <w:sz w:val="20"/>
        <w:szCs w:val="20"/>
      </w:rPr>
      <w:fldChar w:fldCharType="begin"/>
    </w:r>
    <w:r w:rsidRPr="0019587E">
      <w:rPr>
        <w:b/>
        <w:sz w:val="20"/>
        <w:szCs w:val="20"/>
      </w:rPr>
      <w:instrText xml:space="preserve"> PAGE </w:instrText>
    </w:r>
    <w:r w:rsidR="00AD3319" w:rsidRPr="0019587E">
      <w:rPr>
        <w:b/>
        <w:sz w:val="20"/>
        <w:szCs w:val="20"/>
      </w:rPr>
      <w:fldChar w:fldCharType="separate"/>
    </w:r>
    <w:r w:rsidR="00727893">
      <w:rPr>
        <w:b/>
        <w:noProof/>
        <w:sz w:val="20"/>
        <w:szCs w:val="20"/>
      </w:rPr>
      <w:t>3</w:t>
    </w:r>
    <w:r w:rsidR="00AD3319" w:rsidRPr="0019587E">
      <w:rPr>
        <w:b/>
        <w:sz w:val="20"/>
        <w:szCs w:val="20"/>
      </w:rPr>
      <w:fldChar w:fldCharType="end"/>
    </w:r>
    <w:r w:rsidRPr="0019587E">
      <w:rPr>
        <w:sz w:val="20"/>
        <w:szCs w:val="20"/>
      </w:rPr>
      <w:t xml:space="preserve"> of </w:t>
    </w:r>
    <w:r w:rsidR="00AD3319" w:rsidRPr="0019587E">
      <w:rPr>
        <w:b/>
        <w:sz w:val="20"/>
        <w:szCs w:val="20"/>
      </w:rPr>
      <w:fldChar w:fldCharType="begin"/>
    </w:r>
    <w:r w:rsidRPr="0019587E">
      <w:rPr>
        <w:b/>
        <w:sz w:val="20"/>
        <w:szCs w:val="20"/>
      </w:rPr>
      <w:instrText xml:space="preserve"> NUMPAGES  </w:instrText>
    </w:r>
    <w:r w:rsidR="00AD3319" w:rsidRPr="0019587E">
      <w:rPr>
        <w:b/>
        <w:sz w:val="20"/>
        <w:szCs w:val="20"/>
      </w:rPr>
      <w:fldChar w:fldCharType="separate"/>
    </w:r>
    <w:r w:rsidR="00727893">
      <w:rPr>
        <w:b/>
        <w:noProof/>
        <w:sz w:val="20"/>
        <w:szCs w:val="20"/>
      </w:rPr>
      <w:t>3</w:t>
    </w:r>
    <w:r w:rsidR="00AD3319" w:rsidRPr="0019587E">
      <w:rPr>
        <w:b/>
        <w:sz w:val="20"/>
        <w:szCs w:val="20"/>
      </w:rPr>
      <w:fldChar w:fldCharType="end"/>
    </w:r>
  </w:p>
  <w:p w:rsidR="005D670B" w:rsidRPr="0019587E" w:rsidRDefault="005D670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70B" w:rsidRDefault="005D670B" w:rsidP="002254D4">
      <w:r>
        <w:separator/>
      </w:r>
    </w:p>
  </w:footnote>
  <w:footnote w:type="continuationSeparator" w:id="0">
    <w:p w:rsidR="005D670B" w:rsidRDefault="005D670B" w:rsidP="00225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70B" w:rsidRPr="002254D4" w:rsidRDefault="005D670B">
    <w:pPr>
      <w:pStyle w:val="Header"/>
      <w:rPr>
        <w:sz w:val="20"/>
        <w:szCs w:val="20"/>
      </w:rPr>
    </w:pPr>
    <w:r w:rsidRPr="002254D4">
      <w:rPr>
        <w:sz w:val="20"/>
        <w:szCs w:val="20"/>
      </w:rPr>
      <w:t>Sutter Roseville Medica</w:t>
    </w:r>
    <w:r w:rsidR="002D5CFA">
      <w:rPr>
        <w:sz w:val="20"/>
        <w:szCs w:val="20"/>
      </w:rPr>
      <w:t>l Center</w:t>
    </w:r>
    <w:r w:rsidR="002D5CFA">
      <w:rPr>
        <w:sz w:val="20"/>
        <w:szCs w:val="20"/>
      </w:rPr>
      <w:tab/>
    </w:r>
    <w:r w:rsidR="002D5CFA">
      <w:rPr>
        <w:sz w:val="20"/>
        <w:szCs w:val="20"/>
      </w:rPr>
      <w:tab/>
      <w:t>Effective Date 1/3/2018</w:t>
    </w:r>
  </w:p>
  <w:p w:rsidR="005D670B" w:rsidRPr="002254D4" w:rsidRDefault="005D670B">
    <w:pPr>
      <w:pStyle w:val="Header"/>
      <w:rPr>
        <w:i/>
        <w:sz w:val="20"/>
        <w:szCs w:val="20"/>
      </w:rPr>
    </w:pPr>
    <w:r w:rsidRPr="002254D4">
      <w:rPr>
        <w:i/>
        <w:sz w:val="20"/>
        <w:szCs w:val="20"/>
      </w:rPr>
      <w:t>Laboratory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66F7"/>
    <w:multiLevelType w:val="hybridMultilevel"/>
    <w:tmpl w:val="B85C4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7680"/>
    <w:multiLevelType w:val="hybridMultilevel"/>
    <w:tmpl w:val="356E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93E8D"/>
    <w:multiLevelType w:val="hybridMultilevel"/>
    <w:tmpl w:val="BD0E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87709"/>
    <w:multiLevelType w:val="hybridMultilevel"/>
    <w:tmpl w:val="F2B8FD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DC590F"/>
    <w:multiLevelType w:val="hybridMultilevel"/>
    <w:tmpl w:val="06CE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840CC"/>
    <w:multiLevelType w:val="hybridMultilevel"/>
    <w:tmpl w:val="08AC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42685"/>
    <w:multiLevelType w:val="hybridMultilevel"/>
    <w:tmpl w:val="CF523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63CF9"/>
    <w:multiLevelType w:val="hybridMultilevel"/>
    <w:tmpl w:val="D2D6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EE"/>
    <w:rsid w:val="00011759"/>
    <w:rsid w:val="0002096C"/>
    <w:rsid w:val="00076E35"/>
    <w:rsid w:val="00111897"/>
    <w:rsid w:val="001400F1"/>
    <w:rsid w:val="00162EF3"/>
    <w:rsid w:val="0019587E"/>
    <w:rsid w:val="001F0D44"/>
    <w:rsid w:val="00224F64"/>
    <w:rsid w:val="002254D4"/>
    <w:rsid w:val="00245159"/>
    <w:rsid w:val="002D5CFA"/>
    <w:rsid w:val="003357C2"/>
    <w:rsid w:val="0034653E"/>
    <w:rsid w:val="0039095A"/>
    <w:rsid w:val="00453A07"/>
    <w:rsid w:val="00476793"/>
    <w:rsid w:val="004912BF"/>
    <w:rsid w:val="005D670B"/>
    <w:rsid w:val="00641347"/>
    <w:rsid w:val="006D1540"/>
    <w:rsid w:val="006E1031"/>
    <w:rsid w:val="00705D51"/>
    <w:rsid w:val="0071029D"/>
    <w:rsid w:val="00715CC3"/>
    <w:rsid w:val="00727893"/>
    <w:rsid w:val="00745C77"/>
    <w:rsid w:val="00774264"/>
    <w:rsid w:val="0084431B"/>
    <w:rsid w:val="0084616E"/>
    <w:rsid w:val="00A57B9E"/>
    <w:rsid w:val="00A91DEE"/>
    <w:rsid w:val="00AC4F74"/>
    <w:rsid w:val="00AD3319"/>
    <w:rsid w:val="00BB5DAF"/>
    <w:rsid w:val="00C87A85"/>
    <w:rsid w:val="00CC227D"/>
    <w:rsid w:val="00D92DFE"/>
    <w:rsid w:val="00DB4933"/>
    <w:rsid w:val="00DC481C"/>
    <w:rsid w:val="00E16BDE"/>
    <w:rsid w:val="00E841C2"/>
    <w:rsid w:val="00EA0CEE"/>
    <w:rsid w:val="00ED1227"/>
    <w:rsid w:val="00F4087F"/>
    <w:rsid w:val="00FA2AC2"/>
    <w:rsid w:val="00F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docId w15:val="{81047853-5CDC-4AF8-BEA6-6248898C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DEE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A91DEE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A91DEE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A91DEE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A91DEE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A91DEE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A91DEE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A91DEE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A91DEE"/>
  </w:style>
  <w:style w:type="paragraph" w:customStyle="1" w:styleId="BulletText1">
    <w:name w:val="Bullet Text 1"/>
    <w:basedOn w:val="Normal"/>
    <w:rsid w:val="00A91DEE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A91DEE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A91DEE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A91DEE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A91DEE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A91DEE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A91DEE"/>
    <w:rPr>
      <w:szCs w:val="20"/>
    </w:rPr>
  </w:style>
  <w:style w:type="character" w:styleId="HTMLAcronym">
    <w:name w:val="HTML Acronym"/>
    <w:basedOn w:val="DefaultParagraphFont"/>
    <w:rsid w:val="00F4087F"/>
  </w:style>
  <w:style w:type="paragraph" w:customStyle="1" w:styleId="IMTOC">
    <w:name w:val="IMTOC"/>
    <w:rsid w:val="00F4087F"/>
    <w:rPr>
      <w:sz w:val="24"/>
    </w:rPr>
  </w:style>
  <w:style w:type="paragraph" w:customStyle="1" w:styleId="MapTitleContinued">
    <w:name w:val="Map Title. Continued"/>
    <w:basedOn w:val="Normal"/>
    <w:next w:val="Normal"/>
    <w:rsid w:val="00A91DEE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A91DEE"/>
    <w:pPr>
      <w:ind w:left="0"/>
    </w:pPr>
  </w:style>
  <w:style w:type="paragraph" w:customStyle="1" w:styleId="NoteText">
    <w:name w:val="Note Text"/>
    <w:basedOn w:val="Normal"/>
    <w:rsid w:val="00A91DEE"/>
    <w:rPr>
      <w:szCs w:val="20"/>
    </w:rPr>
  </w:style>
  <w:style w:type="paragraph" w:customStyle="1" w:styleId="PublicationTitle">
    <w:name w:val="Publication Title"/>
    <w:basedOn w:val="Normal"/>
    <w:next w:val="Heading4"/>
    <w:rsid w:val="00A91DEE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A91DEE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A91DEE"/>
    <w:rPr>
      <w:szCs w:val="20"/>
    </w:rPr>
  </w:style>
  <w:style w:type="paragraph" w:customStyle="1" w:styleId="TOCTitle">
    <w:name w:val="TOC Title"/>
    <w:basedOn w:val="Normal"/>
    <w:rsid w:val="00A91DEE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4087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4087F"/>
    <w:rPr>
      <w:szCs w:val="20"/>
    </w:rPr>
  </w:style>
  <w:style w:type="paragraph" w:styleId="Header">
    <w:name w:val="header"/>
    <w:basedOn w:val="Normal"/>
    <w:link w:val="HeaderChar"/>
    <w:rsid w:val="00225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54D4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225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4D4"/>
    <w:rPr>
      <w:color w:val="000000"/>
      <w:sz w:val="24"/>
      <w:szCs w:val="24"/>
    </w:rPr>
  </w:style>
  <w:style w:type="table" w:styleId="TableGrid">
    <w:name w:val="Table Grid"/>
    <w:basedOn w:val="TableNormal"/>
    <w:rsid w:val="00EA0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rsid w:val="006E1031"/>
    <w:rPr>
      <w:color w:val="auto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76E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6E3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98</TotalTime>
  <Pages>3</Pages>
  <Words>563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Health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alba</dc:creator>
  <cp:lastModifiedBy>Alba, Alex</cp:lastModifiedBy>
  <cp:revision>10</cp:revision>
  <cp:lastPrinted>2018-01-04T00:11:00Z</cp:lastPrinted>
  <dcterms:created xsi:type="dcterms:W3CDTF">2018-01-03T22:47:00Z</dcterms:created>
  <dcterms:modified xsi:type="dcterms:W3CDTF">2018-01-17T03:46:00Z</dcterms:modified>
</cp:coreProperties>
</file>