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F1" w:rsidRDefault="00A144F1" w:rsidP="00A144F1"/>
    <w:p w:rsidR="00826C31" w:rsidRDefault="00826C31" w:rsidP="00A144F1"/>
    <w:p w:rsidR="00ED619D" w:rsidRPr="00ED619D" w:rsidRDefault="00A144F1" w:rsidP="00ED619D">
      <w:pPr>
        <w:pStyle w:val="Heading4"/>
      </w:pPr>
      <w:r>
        <w:t>Performing an Electronic Crossmatch</w:t>
      </w:r>
    </w:p>
    <w:p w:rsidR="00ED619D" w:rsidRDefault="00ED619D" w:rsidP="00ED619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D619D">
        <w:trPr>
          <w:cantSplit/>
        </w:trPr>
        <w:tc>
          <w:tcPr>
            <w:tcW w:w="1728" w:type="dxa"/>
          </w:tcPr>
          <w:p w:rsidR="00ED619D" w:rsidRDefault="00ED619D">
            <w:pPr>
              <w:pStyle w:val="Heading5"/>
            </w:pPr>
            <w:r>
              <w:t>Purpose</w:t>
            </w:r>
          </w:p>
        </w:tc>
        <w:tc>
          <w:tcPr>
            <w:tcW w:w="7740" w:type="dxa"/>
          </w:tcPr>
          <w:p w:rsidR="00ED619D" w:rsidRDefault="00ED619D">
            <w:pPr>
              <w:pStyle w:val="BlockText"/>
            </w:pPr>
            <w:r>
              <w:t>To provide instructions to perform the electronic crossmatch procedure. The option to use a computer crossmatch is determined by rules established in the computer software. It is not an option that you can manually designate</w:t>
            </w:r>
          </w:p>
        </w:tc>
      </w:tr>
    </w:tbl>
    <w:p w:rsidR="00ED619D" w:rsidRDefault="00ED619D" w:rsidP="00ED619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D619D">
        <w:trPr>
          <w:cantSplit/>
        </w:trPr>
        <w:tc>
          <w:tcPr>
            <w:tcW w:w="1728" w:type="dxa"/>
          </w:tcPr>
          <w:p w:rsidR="00ED619D" w:rsidRDefault="00ED619D">
            <w:pPr>
              <w:pStyle w:val="Heading5"/>
            </w:pPr>
          </w:p>
        </w:tc>
        <w:tc>
          <w:tcPr>
            <w:tcW w:w="7740" w:type="dxa"/>
          </w:tcPr>
          <w:p w:rsidR="00ED619D" w:rsidRDefault="00ED619D">
            <w:pPr>
              <w:pStyle w:val="BlockText"/>
            </w:pPr>
          </w:p>
        </w:tc>
      </w:tr>
      <w:tr w:rsidR="008A59C6">
        <w:trPr>
          <w:cantSplit/>
        </w:trPr>
        <w:tc>
          <w:tcPr>
            <w:tcW w:w="1728" w:type="dxa"/>
          </w:tcPr>
          <w:p w:rsidR="008A59C6" w:rsidRDefault="008A59C6">
            <w:pPr>
              <w:pStyle w:val="Heading5"/>
            </w:pPr>
            <w:r>
              <w:t>Policy:</w:t>
            </w:r>
          </w:p>
        </w:tc>
        <w:tc>
          <w:tcPr>
            <w:tcW w:w="7740" w:type="dxa"/>
          </w:tcPr>
          <w:p w:rsidR="00DF100E" w:rsidRDefault="00DF100E" w:rsidP="00823B90">
            <w:pPr>
              <w:pStyle w:val="BulletText1"/>
            </w:pPr>
            <w:r>
              <w:t>An electronic crossmatch may be performed when the following conditions are met:</w:t>
            </w:r>
          </w:p>
          <w:p w:rsidR="00DF100E" w:rsidRDefault="00DF100E" w:rsidP="00DF100E">
            <w:pPr>
              <w:pStyle w:val="BlockText"/>
              <w:numPr>
                <w:ilvl w:val="0"/>
                <w:numId w:val="13"/>
              </w:numPr>
            </w:pPr>
            <w:r>
              <w:t>Blood type has been confirmed by two determinations</w:t>
            </w:r>
          </w:p>
          <w:p w:rsidR="00DF100E" w:rsidRDefault="00DF100E" w:rsidP="00DF100E">
            <w:pPr>
              <w:pStyle w:val="BlockText"/>
              <w:numPr>
                <w:ilvl w:val="0"/>
                <w:numId w:val="13"/>
              </w:numPr>
            </w:pPr>
            <w:r>
              <w:t>Current Antibody screen is negative</w:t>
            </w:r>
          </w:p>
          <w:p w:rsidR="00DF100E" w:rsidRDefault="00DF100E" w:rsidP="00DF100E">
            <w:pPr>
              <w:pStyle w:val="BlockText"/>
              <w:numPr>
                <w:ilvl w:val="0"/>
                <w:numId w:val="13"/>
              </w:numPr>
            </w:pPr>
            <w:r>
              <w:t>N</w:t>
            </w:r>
            <w:r w:rsidR="00663E9C">
              <w:t>o history</w:t>
            </w:r>
            <w:r>
              <w:t xml:space="preserve"> </w:t>
            </w:r>
            <w:r w:rsidR="00663E9C">
              <w:t xml:space="preserve">of </w:t>
            </w:r>
            <w:r w:rsidR="008A59C6">
              <w:t>clinically significant antibodies</w:t>
            </w:r>
          </w:p>
          <w:p w:rsidR="00486B88" w:rsidRPr="00BD1DEF" w:rsidRDefault="00486B88" w:rsidP="00DF100E">
            <w:pPr>
              <w:pStyle w:val="BlockText"/>
              <w:numPr>
                <w:ilvl w:val="0"/>
                <w:numId w:val="13"/>
              </w:numPr>
            </w:pPr>
            <w:r w:rsidRPr="00BD1DEF">
              <w:t>There are no QA flags on the accession number</w:t>
            </w:r>
          </w:p>
          <w:p w:rsidR="00663E9C" w:rsidRDefault="00663E9C" w:rsidP="00663E9C">
            <w:pPr>
              <w:pStyle w:val="BlockText"/>
            </w:pPr>
          </w:p>
          <w:p w:rsidR="00663E9C" w:rsidRDefault="00663E9C" w:rsidP="00DF100E">
            <w:pPr>
              <w:pStyle w:val="BlockText"/>
            </w:pPr>
            <w:r>
              <w:t xml:space="preserve">*NOTE: Blood types displayed as Archived Data </w:t>
            </w:r>
            <w:r w:rsidR="00DF100E">
              <w:t xml:space="preserve">or under a different medical record number </w:t>
            </w:r>
            <w:r>
              <w:t xml:space="preserve">will not be recognized as a determination of blood type. </w:t>
            </w:r>
            <w:r w:rsidR="00DF100E">
              <w:t xml:space="preserve">In either of these situations, </w:t>
            </w:r>
            <w:r w:rsidR="00F44C08">
              <w:t xml:space="preserve">condition #1 above applies. In cases where </w:t>
            </w:r>
            <w:r w:rsidR="00FE6A9D">
              <w:t xml:space="preserve">Blood Type </w:t>
            </w:r>
            <w:r w:rsidR="00F44C08">
              <w:t>testing is performed manually, each test must be done by a different CLS.</w:t>
            </w:r>
          </w:p>
          <w:p w:rsidR="00DF100E" w:rsidRDefault="00DF100E" w:rsidP="00DF100E">
            <w:pPr>
              <w:pStyle w:val="BlockText"/>
            </w:pPr>
          </w:p>
        </w:tc>
      </w:tr>
      <w:tr w:rsidR="00DF100E">
        <w:trPr>
          <w:cantSplit/>
        </w:trPr>
        <w:tc>
          <w:tcPr>
            <w:tcW w:w="1728" w:type="dxa"/>
          </w:tcPr>
          <w:p w:rsidR="00DF100E" w:rsidRDefault="00DF100E">
            <w:pPr>
              <w:pStyle w:val="Heading5"/>
            </w:pPr>
          </w:p>
        </w:tc>
        <w:tc>
          <w:tcPr>
            <w:tcW w:w="7740" w:type="dxa"/>
          </w:tcPr>
          <w:p w:rsidR="00DF100E" w:rsidRDefault="00DF100E" w:rsidP="00823B90">
            <w:pPr>
              <w:pStyle w:val="BulletText1"/>
            </w:pPr>
            <w:r>
              <w:t xml:space="preserve">During computer downtime, </w:t>
            </w:r>
            <w:r w:rsidR="00486B88">
              <w:t xml:space="preserve">an </w:t>
            </w:r>
            <w:r>
              <w:t>immediate spin crossmatch will be performed in place of the electronic crossmatch.</w:t>
            </w:r>
          </w:p>
          <w:p w:rsidR="00ED619D" w:rsidRDefault="00ED619D" w:rsidP="00823B90">
            <w:pPr>
              <w:pStyle w:val="BulletText1"/>
            </w:pPr>
            <w:r>
              <w:t>Amending a reportable patient result may affect the patient’s eligibility for electronic crossmatch. Refer to Amended/Corrected report procedure.</w:t>
            </w:r>
          </w:p>
          <w:p w:rsidR="00486B88" w:rsidRPr="00BD1DEF" w:rsidRDefault="00486B88" w:rsidP="00823B90">
            <w:pPr>
              <w:pStyle w:val="BulletText1"/>
            </w:pPr>
            <w:r w:rsidRPr="00BD1DEF">
              <w:t xml:space="preserve">An immediate spin crossmatch MUST be performed </w:t>
            </w:r>
            <w:r w:rsidR="009A54FD">
              <w:t xml:space="preserve">in cases of </w:t>
            </w:r>
            <w:r w:rsidR="009A54FD" w:rsidRPr="009A54FD">
              <w:rPr>
                <w:color w:val="0070C0"/>
              </w:rPr>
              <w:t xml:space="preserve">unresolved </w:t>
            </w:r>
            <w:r w:rsidR="00BA5B26">
              <w:rPr>
                <w:color w:val="0070C0"/>
              </w:rPr>
              <w:t xml:space="preserve">mixed field </w:t>
            </w:r>
            <w:bookmarkStart w:id="0" w:name="_GoBack"/>
            <w:bookmarkEnd w:id="0"/>
            <w:r w:rsidR="009A54FD" w:rsidRPr="009A54FD">
              <w:rPr>
                <w:color w:val="0070C0"/>
              </w:rPr>
              <w:t xml:space="preserve">ABORh reactivity or ABO Discrepancy </w:t>
            </w:r>
            <w:r w:rsidR="009A54FD">
              <w:t xml:space="preserve">or </w:t>
            </w:r>
            <w:r w:rsidRPr="00BD1DEF">
              <w:t>when switching from “O” to type specific RBC units on children under the age of 12.</w:t>
            </w:r>
          </w:p>
        </w:tc>
      </w:tr>
    </w:tbl>
    <w:p w:rsidR="00A144F1" w:rsidRDefault="00A144F1" w:rsidP="00A144F1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144F1">
        <w:trPr>
          <w:cantSplit/>
        </w:trPr>
        <w:tc>
          <w:tcPr>
            <w:tcW w:w="1728" w:type="dxa"/>
          </w:tcPr>
          <w:p w:rsidR="00A144F1" w:rsidRDefault="00A144F1">
            <w:pPr>
              <w:pStyle w:val="Heading5"/>
            </w:pPr>
            <w:r>
              <w:t>Procedure:</w:t>
            </w:r>
          </w:p>
        </w:tc>
        <w:tc>
          <w:tcPr>
            <w:tcW w:w="7740" w:type="dxa"/>
          </w:tcPr>
          <w:p w:rsidR="00A144F1" w:rsidRDefault="00A144F1" w:rsidP="00A144F1">
            <w:pPr>
              <w:pStyle w:val="BlockText"/>
            </w:pPr>
            <w:r w:rsidRPr="00CF0D24">
              <w:t xml:space="preserve">Follow the steps below to perform </w:t>
            </w:r>
            <w:r>
              <w:t>an</w:t>
            </w:r>
            <w:r w:rsidRPr="00CF0D24">
              <w:t xml:space="preserve"> Electronic</w:t>
            </w:r>
            <w:r>
              <w:t xml:space="preserve"> cr</w:t>
            </w:r>
            <w:r w:rsidR="00BF325C">
              <w:t>o</w:t>
            </w:r>
            <w:r>
              <w:t>ssmatch</w:t>
            </w:r>
          </w:p>
          <w:p w:rsidR="00A144F1" w:rsidRDefault="00A144F1" w:rsidP="00A144F1">
            <w:pPr>
              <w:pStyle w:val="BlockText"/>
            </w:pPr>
          </w:p>
        </w:tc>
      </w:tr>
    </w:tbl>
    <w:p w:rsidR="00A144F1" w:rsidRDefault="00A144F1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1"/>
      </w:tblGrid>
      <w:tr w:rsidR="00A144F1" w:rsidTr="008A59C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A144F1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A144F1">
            <w:pPr>
              <w:pStyle w:val="TableHeaderText"/>
            </w:pPr>
            <w:r>
              <w:t>Action</w:t>
            </w:r>
          </w:p>
        </w:tc>
      </w:tr>
      <w:tr w:rsidR="00A144F1" w:rsidTr="008A59C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A144F1">
            <w:pPr>
              <w:pStyle w:val="TableText"/>
              <w:jc w:val="center"/>
            </w:pPr>
            <w:r>
              <w:t>1.</w:t>
            </w:r>
          </w:p>
          <w:p w:rsidR="00A144F1" w:rsidRDefault="00A144F1">
            <w:pPr>
              <w:pStyle w:val="TableText"/>
              <w:jc w:val="center"/>
            </w:pP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A144F1">
            <w:pPr>
              <w:pStyle w:val="TableText"/>
            </w:pPr>
            <w:r>
              <w:t>Evaluate if the patient qualifies for the Electronic Crossmatch (see list of qualifying criteria listed under “Policy.”</w:t>
            </w:r>
          </w:p>
        </w:tc>
      </w:tr>
      <w:tr w:rsidR="00A144F1" w:rsidTr="008A59C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A144F1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823B90" w:rsidP="00823B90">
            <w:pPr>
              <w:pStyle w:val="TableText"/>
            </w:pPr>
            <w:r>
              <w:t>Enter blood type and antibody screen results for current specimen u</w:t>
            </w:r>
            <w:r w:rsidR="00A144F1">
              <w:t>sing Blood Processing function</w:t>
            </w:r>
            <w:r w:rsidR="007E4CC2">
              <w:t>.</w:t>
            </w:r>
          </w:p>
        </w:tc>
      </w:tr>
      <w:tr w:rsidR="00A144F1" w:rsidTr="008A59C6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A144F1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4F1" w:rsidRDefault="00A144F1" w:rsidP="00A071B3">
            <w:pPr>
              <w:pStyle w:val="TableText"/>
            </w:pPr>
            <w:r>
              <w:t xml:space="preserve">Allocate and select </w:t>
            </w:r>
            <w:r w:rsidR="00A071B3">
              <w:t>RBC</w:t>
            </w:r>
            <w:r w:rsidR="00085879">
              <w:t xml:space="preserve"> unit(s),</w:t>
            </w:r>
            <w:r>
              <w:t xml:space="preserve">then click </w:t>
            </w:r>
            <w:r w:rsidRPr="001C0750">
              <w:rPr>
                <w:i/>
              </w:rPr>
              <w:t>SAVE</w:t>
            </w:r>
            <w:r>
              <w:t>.</w:t>
            </w:r>
          </w:p>
        </w:tc>
      </w:tr>
    </w:tbl>
    <w:p w:rsidR="00DF100E" w:rsidRDefault="00DF100E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8A59C6" w:rsidTr="00DF100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  <w:r>
              <w:t>4.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A59C6" w:rsidRDefault="008A59C6" w:rsidP="008A59C6">
            <w:r>
              <w:t>The “</w:t>
            </w:r>
            <w:r w:rsidRPr="0005544D">
              <w:rPr>
                <w:i/>
              </w:rPr>
              <w:t>Electronic Crossmatch Eligibility Report</w:t>
            </w:r>
            <w:r>
              <w:t>” window will appear:</w:t>
            </w:r>
          </w:p>
          <w:p w:rsidR="008A59C6" w:rsidRDefault="008A59C6">
            <w:pPr>
              <w:pStyle w:val="TableText"/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3374D8">
            <w:r>
              <w:t>If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3374D8">
            <w:r>
              <w:t>Then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3374D8">
            <w:r>
              <w:t>Report lists allocated units as “</w:t>
            </w:r>
            <w:r w:rsidRPr="0005544D">
              <w:rPr>
                <w:i/>
              </w:rPr>
              <w:t>Unit(s) to be resulted</w:t>
            </w:r>
            <w:r>
              <w:t>”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</w:pPr>
            <w:r>
              <w:t xml:space="preserve">Click </w:t>
            </w:r>
            <w:r w:rsidRPr="001C0750">
              <w:rPr>
                <w:i/>
              </w:rPr>
              <w:t>OK</w:t>
            </w:r>
            <w:r>
              <w:rPr>
                <w:i/>
              </w:rPr>
              <w:t xml:space="preserve"> </w:t>
            </w:r>
            <w:r>
              <w:t>to accept electronic crossmatch results. ECMP (Electronically compatible) will automatically be entered for XM result and corresponding issue form will print.</w:t>
            </w:r>
          </w:p>
          <w:p w:rsidR="008A59C6" w:rsidRPr="004A01DA" w:rsidRDefault="008A59C6" w:rsidP="00823B90">
            <w:pPr>
              <w:pStyle w:val="BulletText1"/>
            </w:pPr>
            <w:r>
              <w:t>Subsequent allocations to this specimen will be similarly evaluated for ECMP elig</w:t>
            </w:r>
            <w:r w:rsidR="00A071B3">
              <w:t>i</w:t>
            </w:r>
            <w:r>
              <w:t>bi</w:t>
            </w:r>
            <w:r w:rsidR="00A071B3">
              <w:t>li</w:t>
            </w:r>
            <w:r>
              <w:t xml:space="preserve">ty. At this time, previously allocated units will also be evaluated again. If previously allocated units are no longer eligible, </w:t>
            </w:r>
            <w:r w:rsidR="00A071B3">
              <w:t>appropriate testing must be completed prior to issue of product.</w:t>
            </w:r>
            <w:r>
              <w:t xml:space="preserve"> </w:t>
            </w:r>
            <w:r w:rsidR="00A071B3">
              <w:t>Locate and remove tags from units and remove them from the crossmatch shelf until testing has been completed.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3374D8">
            <w:r>
              <w:t>Report lists allocated units that fail to quality for electronic crossmatch as “</w:t>
            </w:r>
            <w:r w:rsidRPr="00C723E7">
              <w:rPr>
                <w:i/>
              </w:rPr>
              <w:t>Patient Failure(s) Found</w:t>
            </w:r>
            <w:r>
              <w:t>” or “</w:t>
            </w:r>
            <w:r w:rsidRPr="00C723E7">
              <w:rPr>
                <w:i/>
              </w:rPr>
              <w:t>Unit Error(s) Found</w:t>
            </w:r>
            <w:r>
              <w:t>” and lists reasons for electronic crossmatch rejection.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</w:pPr>
            <w:r>
              <w:t xml:space="preserve">Click </w:t>
            </w:r>
            <w:r w:rsidRPr="0005544D">
              <w:rPr>
                <w:i/>
              </w:rPr>
              <w:t>CANCEL</w:t>
            </w:r>
            <w:r>
              <w:t xml:space="preserve"> to reject electronic crossmatch </w:t>
            </w:r>
          </w:p>
          <w:p w:rsidR="008A59C6" w:rsidRDefault="008A59C6" w:rsidP="00823B90">
            <w:pPr>
              <w:pStyle w:val="BulletText1"/>
            </w:pPr>
            <w:r>
              <w:t>“</w:t>
            </w:r>
            <w:r w:rsidRPr="0005544D">
              <w:rPr>
                <w:i/>
              </w:rPr>
              <w:t>CAX was canceled, will exit SAVE</w:t>
            </w:r>
            <w:r>
              <w:t xml:space="preserve">” window will appear. Click </w:t>
            </w:r>
            <w:r w:rsidRPr="0005544D">
              <w:rPr>
                <w:i/>
              </w:rPr>
              <w:t>OK</w:t>
            </w:r>
          </w:p>
          <w:p w:rsidR="008A59C6" w:rsidRDefault="008A59C6" w:rsidP="00823B90">
            <w:pPr>
              <w:pStyle w:val="BulletText1"/>
            </w:pPr>
            <w:r>
              <w:t>Check most common error messages in Step #5 to decide course of action.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TableText"/>
            </w:pPr>
          </w:p>
        </w:tc>
      </w:tr>
    </w:tbl>
    <w:p w:rsidR="00A071B3" w:rsidRDefault="00A071B3">
      <w: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8A59C6" w:rsidTr="00DF100E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  <w:r>
              <w:t>5.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A59C6" w:rsidRDefault="008A59C6" w:rsidP="008A59C6">
            <w:r>
              <w:t xml:space="preserve">Use the table below to identify the most common failure/error messages for electronic crossmatch rejection and action required. </w:t>
            </w: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3374D8">
            <w:r>
              <w:t>Error message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3374D8">
            <w:r>
              <w:t>Then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Pr="007455D1" w:rsidRDefault="008A59C6" w:rsidP="003374D8">
            <w:pPr>
              <w:rPr>
                <w:i/>
              </w:rPr>
            </w:pPr>
            <w:r>
              <w:rPr>
                <w:i/>
              </w:rPr>
              <w:t>“</w:t>
            </w:r>
            <w:r w:rsidRPr="007455D1">
              <w:rPr>
                <w:i/>
              </w:rPr>
              <w:t>Age of current specimen exceeds time frame</w:t>
            </w:r>
            <w:r>
              <w:rPr>
                <w:i/>
              </w:rPr>
              <w:t>”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90" w:rsidRDefault="008A59C6" w:rsidP="00823B90">
            <w:pPr>
              <w:pStyle w:val="BulletText1"/>
            </w:pPr>
            <w:r>
              <w:t xml:space="preserve">Specimen has expired. </w:t>
            </w:r>
          </w:p>
          <w:p w:rsidR="008A59C6" w:rsidRDefault="008A59C6" w:rsidP="00823B90">
            <w:pPr>
              <w:pStyle w:val="BulletText1"/>
            </w:pPr>
            <w:r>
              <w:t>Need current specimen.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  <w:numPr>
                <w:ilvl w:val="0"/>
                <w:numId w:val="0"/>
              </w:numPr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Pr="007455D1" w:rsidRDefault="008A59C6" w:rsidP="003374D8">
            <w:pPr>
              <w:rPr>
                <w:i/>
              </w:rPr>
            </w:pPr>
            <w:r>
              <w:rPr>
                <w:i/>
              </w:rPr>
              <w:t>“</w:t>
            </w:r>
            <w:r w:rsidRPr="007455D1">
              <w:rPr>
                <w:i/>
              </w:rPr>
              <w:t>Current specimen blood type not resulted</w:t>
            </w:r>
            <w:r>
              <w:rPr>
                <w:i/>
              </w:rPr>
              <w:t>”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</w:pPr>
            <w:r>
              <w:t>Result blood type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  <w:numPr>
                <w:ilvl w:val="0"/>
                <w:numId w:val="0"/>
              </w:numPr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Pr="007455D1" w:rsidRDefault="008A59C6" w:rsidP="003374D8">
            <w:pPr>
              <w:rPr>
                <w:i/>
              </w:rPr>
            </w:pPr>
            <w:r w:rsidRPr="007455D1">
              <w:rPr>
                <w:i/>
              </w:rPr>
              <w:t>Current specimen not resulted.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</w:pPr>
            <w:r>
              <w:t>Result antibody screen.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  <w:numPr>
                <w:ilvl w:val="0"/>
                <w:numId w:val="0"/>
              </w:numPr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Pr="007455D1" w:rsidRDefault="008A59C6" w:rsidP="008A59C6">
            <w:pPr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“</w:t>
            </w:r>
            <w:r w:rsidRPr="007455D1">
              <w:rPr>
                <w:i/>
              </w:rPr>
              <w:t>Clinically significant antibodies on file</w:t>
            </w:r>
            <w:r>
              <w:rPr>
                <w:i/>
              </w:rPr>
              <w:t>”</w:t>
            </w:r>
          </w:p>
          <w:p w:rsidR="008A59C6" w:rsidRPr="007455D1" w:rsidRDefault="008A59C6" w:rsidP="008A59C6">
            <w:pPr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“</w:t>
            </w:r>
            <w:r w:rsidRPr="007455D1">
              <w:rPr>
                <w:i/>
              </w:rPr>
              <w:t>Clinically significant antibodies on current specimen</w:t>
            </w:r>
            <w:r>
              <w:rPr>
                <w:i/>
              </w:rPr>
              <w:t>”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90" w:rsidRDefault="00A071B3" w:rsidP="00823B90">
            <w:pPr>
              <w:pStyle w:val="BulletText1"/>
            </w:pPr>
            <w:r>
              <w:t xml:space="preserve">Not eligible for electronic crossmatch. </w:t>
            </w:r>
          </w:p>
          <w:p w:rsidR="008A59C6" w:rsidRDefault="00A071B3" w:rsidP="00823B90">
            <w:pPr>
              <w:pStyle w:val="BulletText1"/>
            </w:pPr>
            <w:r>
              <w:t>Perform AHG crossmatch.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  <w:numPr>
                <w:ilvl w:val="0"/>
                <w:numId w:val="0"/>
              </w:numPr>
            </w:pPr>
          </w:p>
        </w:tc>
      </w:tr>
      <w:tr w:rsidR="00A071B3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071B3" w:rsidRDefault="00A071B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071B3" w:rsidRDefault="00A071B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B3" w:rsidRPr="007455D1" w:rsidRDefault="00A071B3" w:rsidP="003374D8">
            <w:pPr>
              <w:rPr>
                <w:i/>
              </w:rPr>
            </w:pPr>
            <w:r>
              <w:rPr>
                <w:i/>
              </w:rPr>
              <w:t>‘</w:t>
            </w:r>
            <w:r w:rsidRPr="007455D1">
              <w:rPr>
                <w:i/>
              </w:rPr>
              <w:t>Current antibody screen result not negative</w:t>
            </w:r>
            <w:r>
              <w:rPr>
                <w:i/>
              </w:rPr>
              <w:t>”</w:t>
            </w:r>
          </w:p>
          <w:p w:rsidR="00A071B3" w:rsidRPr="007455D1" w:rsidRDefault="00A071B3" w:rsidP="003374D8">
            <w:pPr>
              <w:rPr>
                <w:i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90" w:rsidRDefault="00A071B3" w:rsidP="00823B90">
            <w:pPr>
              <w:pStyle w:val="BulletText1"/>
            </w:pPr>
            <w:r>
              <w:t xml:space="preserve">Not eligible for electronic crossmatch. </w:t>
            </w:r>
          </w:p>
          <w:p w:rsidR="00A071B3" w:rsidRDefault="00A071B3" w:rsidP="00823B90">
            <w:pPr>
              <w:pStyle w:val="BulletText1"/>
            </w:pPr>
            <w:r>
              <w:t>Perform AHG crossmatch.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071B3" w:rsidRDefault="00A071B3" w:rsidP="00823B90">
            <w:pPr>
              <w:pStyle w:val="BulletText1"/>
              <w:numPr>
                <w:ilvl w:val="0"/>
                <w:numId w:val="0"/>
              </w:numPr>
            </w:pPr>
          </w:p>
        </w:tc>
      </w:tr>
      <w:tr w:rsidR="00A071B3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A071B3" w:rsidRDefault="00A071B3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A071B3" w:rsidRDefault="00A071B3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B3" w:rsidRPr="007455D1" w:rsidRDefault="00A071B3" w:rsidP="003374D8">
            <w:pPr>
              <w:rPr>
                <w:i/>
              </w:rPr>
            </w:pPr>
            <w:r w:rsidRPr="007455D1">
              <w:rPr>
                <w:i/>
              </w:rPr>
              <w:t>Disqualifying QA failures generated.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B3" w:rsidRDefault="00A071B3" w:rsidP="00823B90">
            <w:pPr>
              <w:pStyle w:val="BulletText1"/>
            </w:pPr>
            <w:r>
              <w:t>Patient’s current specimen or allocated unit has generated a Quality Assurance failure and failed EXM rule checking.</w:t>
            </w:r>
          </w:p>
          <w:p w:rsidR="00A071B3" w:rsidRDefault="00A071B3" w:rsidP="00823B90">
            <w:pPr>
              <w:pStyle w:val="BulletText1"/>
            </w:pPr>
            <w:r>
              <w:t>Evaluate and complete additional testing.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A071B3" w:rsidRDefault="00A071B3" w:rsidP="00823B90">
            <w:pPr>
              <w:pStyle w:val="BulletText1"/>
              <w:numPr>
                <w:ilvl w:val="0"/>
                <w:numId w:val="0"/>
              </w:numPr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Pr="007455D1" w:rsidRDefault="008A59C6" w:rsidP="003374D8">
            <w:pPr>
              <w:rPr>
                <w:i/>
              </w:rPr>
            </w:pPr>
            <w:r w:rsidRPr="007455D1">
              <w:rPr>
                <w:i/>
              </w:rPr>
              <w:t>No historic blood type on file.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</w:pPr>
            <w:r>
              <w:t>Patient needs 2</w:t>
            </w:r>
            <w:r w:rsidRPr="00605479">
              <w:rPr>
                <w:vertAlign w:val="superscript"/>
              </w:rPr>
              <w:t>nd</w:t>
            </w:r>
            <w:r>
              <w:t xml:space="preserve"> blood type.</w:t>
            </w:r>
          </w:p>
          <w:p w:rsidR="00A071B3" w:rsidRDefault="00A071B3" w:rsidP="00823B90">
            <w:pPr>
              <w:pStyle w:val="BulletText1"/>
            </w:pPr>
            <w:r>
              <w:t>Add type confirmation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8A59C6" w:rsidRDefault="008A59C6" w:rsidP="00823B90">
            <w:pPr>
              <w:pStyle w:val="BulletText1"/>
            </w:pPr>
          </w:p>
        </w:tc>
      </w:tr>
      <w:tr w:rsidR="008A59C6" w:rsidTr="00DF100E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A59C6" w:rsidRDefault="008A59C6">
            <w:pPr>
              <w:pStyle w:val="TableText"/>
            </w:pPr>
          </w:p>
        </w:tc>
      </w:tr>
    </w:tbl>
    <w:p w:rsidR="00A071B3" w:rsidRDefault="00A071B3" w:rsidP="00A071B3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071B3">
        <w:trPr>
          <w:cantSplit/>
        </w:trPr>
        <w:tc>
          <w:tcPr>
            <w:tcW w:w="1728" w:type="dxa"/>
          </w:tcPr>
          <w:p w:rsidR="00A071B3" w:rsidRDefault="00A071B3">
            <w:pPr>
              <w:pStyle w:val="Heading5"/>
            </w:pPr>
            <w:r>
              <w:t>Related Procedures</w:t>
            </w:r>
          </w:p>
        </w:tc>
        <w:tc>
          <w:tcPr>
            <w:tcW w:w="7740" w:type="dxa"/>
          </w:tcPr>
          <w:p w:rsidR="00A071B3" w:rsidRDefault="00865A5D" w:rsidP="00A071B3">
            <w:pPr>
              <w:pStyle w:val="BulletText1"/>
            </w:pPr>
            <w:r>
              <w:t xml:space="preserve">Policy </w:t>
            </w:r>
            <w:r w:rsidR="00A071B3">
              <w:t>Defining Clinically Significant Antibodies</w:t>
            </w:r>
          </w:p>
          <w:p w:rsidR="00A071B3" w:rsidRDefault="00865A5D" w:rsidP="00A071B3">
            <w:pPr>
              <w:pStyle w:val="BulletText1"/>
            </w:pPr>
            <w:r>
              <w:t xml:space="preserve">Confirming a Blood Type on </w:t>
            </w:r>
            <w:r w:rsidR="00A071B3">
              <w:t>Donor</w:t>
            </w:r>
            <w:r>
              <w:t xml:space="preserve"> RBC</w:t>
            </w:r>
            <w:r w:rsidR="00A071B3">
              <w:t xml:space="preserve"> Units</w:t>
            </w:r>
          </w:p>
          <w:p w:rsidR="00727367" w:rsidRDefault="00727367" w:rsidP="00A071B3">
            <w:pPr>
              <w:pStyle w:val="BulletText1"/>
            </w:pPr>
            <w:r>
              <w:t>Performing and ABO Blood Group</w:t>
            </w:r>
          </w:p>
          <w:p w:rsidR="00A071B3" w:rsidRDefault="00727367" w:rsidP="00A071B3">
            <w:pPr>
              <w:pStyle w:val="BulletText1"/>
            </w:pPr>
            <w:r>
              <w:t>Performing a Rh Blood Type</w:t>
            </w:r>
          </w:p>
        </w:tc>
      </w:tr>
    </w:tbl>
    <w:p w:rsidR="00A144F1" w:rsidRPr="00A071B3" w:rsidRDefault="00A071B3" w:rsidP="00A071B3">
      <w:pPr>
        <w:pStyle w:val="BlockLine"/>
      </w:pPr>
      <w:r>
        <w:t xml:space="preserve"> </w:t>
      </w:r>
    </w:p>
    <w:sectPr w:rsidR="00A144F1" w:rsidRPr="00A071B3" w:rsidSect="00B2260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9D" w:rsidRDefault="00ED619D" w:rsidP="003374D8">
      <w:r>
        <w:separator/>
      </w:r>
    </w:p>
  </w:endnote>
  <w:endnote w:type="continuationSeparator" w:id="0">
    <w:p w:rsidR="00ED619D" w:rsidRDefault="00ED619D" w:rsidP="0033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9D" w:rsidRDefault="006D22F5">
    <w:pPr>
      <w:pStyle w:val="Footer"/>
      <w:framePr w:wrap="around" w:vAnchor="text" w:hAnchor="margin" w:xAlign="right" w:y="1"/>
    </w:pPr>
    <w:r>
      <w:fldChar w:fldCharType="begin"/>
    </w:r>
    <w:r w:rsidR="00ED619D">
      <w:instrText xml:space="preserve">PAGE  </w:instrText>
    </w:r>
    <w:r>
      <w:fldChar w:fldCharType="end"/>
    </w:r>
  </w:p>
  <w:p w:rsidR="00ED619D" w:rsidRDefault="00ED6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9D" w:rsidRPr="00E82BC4" w:rsidRDefault="00ED619D">
    <w:pPr>
      <w:rPr>
        <w:sz w:val="22"/>
        <w:szCs w:val="22"/>
      </w:rPr>
    </w:pPr>
    <w:r w:rsidRPr="00E82BC4">
      <w:rPr>
        <w:sz w:val="22"/>
        <w:szCs w:val="22"/>
      </w:rPr>
      <w:t xml:space="preserve">TS.ANA </w:t>
    </w:r>
    <w:r w:rsidR="00E82BC4" w:rsidRPr="00E82BC4">
      <w:rPr>
        <w:sz w:val="22"/>
        <w:szCs w:val="22"/>
      </w:rPr>
      <w:t>09.07-0-RV.0</w:t>
    </w:r>
    <w:r w:rsidR="003F0E7B">
      <w:rPr>
        <w:sz w:val="22"/>
        <w:szCs w:val="22"/>
      </w:rPr>
      <w:t>3</w:t>
    </w:r>
    <w:r w:rsidRPr="00E82BC4">
      <w:rPr>
        <w:sz w:val="22"/>
        <w:szCs w:val="22"/>
      </w:rPr>
      <w:tab/>
    </w:r>
    <w:r w:rsidRPr="00E82BC4">
      <w:rPr>
        <w:sz w:val="22"/>
        <w:szCs w:val="22"/>
      </w:rPr>
      <w:tab/>
    </w:r>
    <w:r w:rsidRPr="00E82BC4">
      <w:rPr>
        <w:sz w:val="22"/>
        <w:szCs w:val="22"/>
      </w:rPr>
      <w:tab/>
    </w:r>
    <w:r w:rsidRPr="00E82BC4">
      <w:rPr>
        <w:sz w:val="22"/>
        <w:szCs w:val="22"/>
      </w:rPr>
      <w:tab/>
    </w:r>
    <w:r w:rsidRPr="00E82BC4">
      <w:rPr>
        <w:sz w:val="22"/>
        <w:szCs w:val="22"/>
      </w:rPr>
      <w:tab/>
    </w:r>
    <w:r w:rsidRPr="00E82BC4">
      <w:rPr>
        <w:sz w:val="22"/>
        <w:szCs w:val="22"/>
      </w:rPr>
      <w:tab/>
    </w:r>
    <w:r w:rsidRPr="00E82BC4">
      <w:rPr>
        <w:sz w:val="22"/>
        <w:szCs w:val="22"/>
      </w:rPr>
      <w:tab/>
    </w:r>
    <w:r w:rsidRPr="00E82BC4">
      <w:rPr>
        <w:sz w:val="22"/>
        <w:szCs w:val="22"/>
      </w:rPr>
      <w:tab/>
      <w:t xml:space="preserve">Page </w:t>
    </w:r>
    <w:r w:rsidR="006D22F5" w:rsidRPr="00E82BC4">
      <w:rPr>
        <w:sz w:val="22"/>
        <w:szCs w:val="22"/>
      </w:rPr>
      <w:fldChar w:fldCharType="begin"/>
    </w:r>
    <w:r w:rsidR="00FB4FDE" w:rsidRPr="00E82BC4">
      <w:rPr>
        <w:sz w:val="22"/>
        <w:szCs w:val="22"/>
      </w:rPr>
      <w:instrText xml:space="preserve"> PAGE </w:instrText>
    </w:r>
    <w:r w:rsidR="006D22F5" w:rsidRPr="00E82BC4">
      <w:rPr>
        <w:sz w:val="22"/>
        <w:szCs w:val="22"/>
      </w:rPr>
      <w:fldChar w:fldCharType="separate"/>
    </w:r>
    <w:r w:rsidR="00BA5B26">
      <w:rPr>
        <w:noProof/>
        <w:sz w:val="22"/>
        <w:szCs w:val="22"/>
      </w:rPr>
      <w:t>1</w:t>
    </w:r>
    <w:r w:rsidR="006D22F5" w:rsidRPr="00E82BC4">
      <w:rPr>
        <w:sz w:val="22"/>
        <w:szCs w:val="22"/>
      </w:rPr>
      <w:fldChar w:fldCharType="end"/>
    </w:r>
    <w:r w:rsidRPr="00E82BC4">
      <w:rPr>
        <w:sz w:val="22"/>
        <w:szCs w:val="22"/>
      </w:rPr>
      <w:t xml:space="preserve"> of </w:t>
    </w:r>
    <w:r w:rsidR="006D22F5" w:rsidRPr="00E82BC4">
      <w:rPr>
        <w:sz w:val="22"/>
        <w:szCs w:val="22"/>
      </w:rPr>
      <w:fldChar w:fldCharType="begin"/>
    </w:r>
    <w:r w:rsidR="00FB4FDE" w:rsidRPr="00E82BC4">
      <w:rPr>
        <w:sz w:val="22"/>
        <w:szCs w:val="22"/>
      </w:rPr>
      <w:instrText xml:space="preserve"> NUMPAGES  </w:instrText>
    </w:r>
    <w:r w:rsidR="006D22F5" w:rsidRPr="00E82BC4">
      <w:rPr>
        <w:sz w:val="22"/>
        <w:szCs w:val="22"/>
      </w:rPr>
      <w:fldChar w:fldCharType="separate"/>
    </w:r>
    <w:r w:rsidR="00BA5B26">
      <w:rPr>
        <w:noProof/>
        <w:sz w:val="22"/>
        <w:szCs w:val="22"/>
      </w:rPr>
      <w:t>3</w:t>
    </w:r>
    <w:r w:rsidR="006D22F5" w:rsidRPr="00E82BC4">
      <w:rPr>
        <w:sz w:val="22"/>
        <w:szCs w:val="22"/>
      </w:rPr>
      <w:fldChar w:fldCharType="end"/>
    </w:r>
  </w:p>
  <w:p w:rsidR="00E82BC4" w:rsidRPr="00E82BC4" w:rsidRDefault="00E82BC4">
    <w:pPr>
      <w:rPr>
        <w:sz w:val="22"/>
        <w:szCs w:val="22"/>
      </w:rPr>
    </w:pPr>
    <w:r w:rsidRPr="00E82BC4">
      <w:rPr>
        <w:sz w:val="22"/>
        <w:szCs w:val="22"/>
      </w:rPr>
      <w:t>J:/Blood Bank/Procedures/Electronic Crossmatch</w:t>
    </w:r>
  </w:p>
  <w:p w:rsidR="00ED619D" w:rsidRDefault="00ED619D">
    <w:pPr>
      <w:pStyle w:val="Footer"/>
      <w:tabs>
        <w:tab w:val="clear" w:pos="4320"/>
        <w:tab w:val="clear" w:pos="8640"/>
        <w:tab w:val="center" w:pos="4680"/>
      </w:tabs>
      <w:ind w:right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9D" w:rsidRDefault="00ED619D" w:rsidP="003374D8">
      <w:r>
        <w:separator/>
      </w:r>
    </w:p>
  </w:footnote>
  <w:footnote w:type="continuationSeparator" w:id="0">
    <w:p w:rsidR="00ED619D" w:rsidRDefault="00ED619D" w:rsidP="0033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9D" w:rsidRDefault="006D22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6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19D" w:rsidRDefault="00ED6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9D" w:rsidRDefault="00E82BC4" w:rsidP="00826C31">
    <w:r>
      <w:t>Sutter Roseville Medical Center</w:t>
    </w:r>
    <w:r w:rsidR="00ED619D">
      <w:tab/>
    </w:r>
    <w:r w:rsidR="00ED619D">
      <w:tab/>
    </w:r>
    <w:r w:rsidR="00ED619D">
      <w:tab/>
    </w:r>
    <w:r w:rsidR="00ED619D">
      <w:tab/>
      <w:t xml:space="preserve">Effective Date: </w:t>
    </w:r>
    <w:r w:rsidR="003F0E7B">
      <w:t>2/05/2018</w:t>
    </w:r>
  </w:p>
  <w:p w:rsidR="00ED619D" w:rsidRDefault="00ED619D" w:rsidP="00826C31">
    <w:pPr>
      <w:rPr>
        <w:i/>
      </w:rPr>
    </w:pPr>
    <w:r w:rsidRPr="00A144F1">
      <w:rPr>
        <w:i/>
      </w:rPr>
      <w:t>Laboratory Services</w:t>
    </w:r>
  </w:p>
  <w:p w:rsidR="00ED619D" w:rsidRDefault="00ED619D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E6685"/>
    <w:multiLevelType w:val="hybridMultilevel"/>
    <w:tmpl w:val="FD707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A630AC"/>
    <w:multiLevelType w:val="hybridMultilevel"/>
    <w:tmpl w:val="B8FA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189C"/>
    <w:multiLevelType w:val="hybridMultilevel"/>
    <w:tmpl w:val="816458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83995"/>
    <w:multiLevelType w:val="hybridMultilevel"/>
    <w:tmpl w:val="151E6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B5DCA"/>
    <w:multiLevelType w:val="hybridMultilevel"/>
    <w:tmpl w:val="6226E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5E6E73"/>
    <w:multiLevelType w:val="hybridMultilevel"/>
    <w:tmpl w:val="F0044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6317C9"/>
    <w:multiLevelType w:val="hybridMultilevel"/>
    <w:tmpl w:val="2C1A44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FE6A04"/>
    <w:multiLevelType w:val="hybridMultilevel"/>
    <w:tmpl w:val="DB4E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9C6"/>
    <w:rsid w:val="00085879"/>
    <w:rsid w:val="00097A18"/>
    <w:rsid w:val="003374D8"/>
    <w:rsid w:val="003F0E7B"/>
    <w:rsid w:val="00486B88"/>
    <w:rsid w:val="00663E9C"/>
    <w:rsid w:val="006B0D00"/>
    <w:rsid w:val="006D22F5"/>
    <w:rsid w:val="00721A33"/>
    <w:rsid w:val="00727367"/>
    <w:rsid w:val="007E4CC2"/>
    <w:rsid w:val="0082377A"/>
    <w:rsid w:val="00823B90"/>
    <w:rsid w:val="00826C31"/>
    <w:rsid w:val="00865A5D"/>
    <w:rsid w:val="008A59C6"/>
    <w:rsid w:val="008C534D"/>
    <w:rsid w:val="00986A5D"/>
    <w:rsid w:val="009A54FD"/>
    <w:rsid w:val="00A071B3"/>
    <w:rsid w:val="00A144F1"/>
    <w:rsid w:val="00A43ED7"/>
    <w:rsid w:val="00A67107"/>
    <w:rsid w:val="00B061E9"/>
    <w:rsid w:val="00B2260B"/>
    <w:rsid w:val="00B51125"/>
    <w:rsid w:val="00B550A2"/>
    <w:rsid w:val="00BA5B26"/>
    <w:rsid w:val="00BD1DEF"/>
    <w:rsid w:val="00BF325C"/>
    <w:rsid w:val="00D22922"/>
    <w:rsid w:val="00DA173C"/>
    <w:rsid w:val="00DF100E"/>
    <w:rsid w:val="00E82BC4"/>
    <w:rsid w:val="00ED619D"/>
    <w:rsid w:val="00F44C08"/>
    <w:rsid w:val="00F65494"/>
    <w:rsid w:val="00FB4FDE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54FEB-3A35-46FD-840D-A60DE411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0B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B2260B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B2260B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B2260B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ED619D"/>
    <w:pPr>
      <w:spacing w:after="240"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B2260B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B2260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260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2260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2260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260B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B226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B2260B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semiHidden/>
    <w:rsid w:val="00B2260B"/>
  </w:style>
  <w:style w:type="paragraph" w:customStyle="1" w:styleId="BulletText1">
    <w:name w:val="Bullet Text 1"/>
    <w:basedOn w:val="Normal"/>
    <w:rsid w:val="00B2260B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B2260B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B2260B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B2260B"/>
    <w:rPr>
      <w:sz w:val="22"/>
    </w:rPr>
  </w:style>
  <w:style w:type="paragraph" w:customStyle="1" w:styleId="MapTitleContinued">
    <w:name w:val="Map Title. Continued"/>
    <w:basedOn w:val="Normal"/>
    <w:rsid w:val="00B2260B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B2260B"/>
    <w:pPr>
      <w:ind w:left="0"/>
    </w:pPr>
  </w:style>
  <w:style w:type="paragraph" w:styleId="Footer">
    <w:name w:val="footer"/>
    <w:basedOn w:val="Normal"/>
    <w:semiHidden/>
    <w:rsid w:val="00B226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260B"/>
  </w:style>
  <w:style w:type="paragraph" w:customStyle="1" w:styleId="TableText">
    <w:name w:val="Table Text"/>
    <w:basedOn w:val="Normal"/>
    <w:rsid w:val="00B2260B"/>
  </w:style>
  <w:style w:type="paragraph" w:customStyle="1" w:styleId="NoteText">
    <w:name w:val="Note Text"/>
    <w:basedOn w:val="BlockText"/>
    <w:rsid w:val="00B2260B"/>
  </w:style>
  <w:style w:type="paragraph" w:customStyle="1" w:styleId="TableHeaderText">
    <w:name w:val="Table Header Text"/>
    <w:basedOn w:val="TableText"/>
    <w:rsid w:val="00B2260B"/>
    <w:pPr>
      <w:jc w:val="center"/>
    </w:pPr>
    <w:rPr>
      <w:b/>
    </w:rPr>
  </w:style>
  <w:style w:type="paragraph" w:customStyle="1" w:styleId="EmbeddedText">
    <w:name w:val="Embedded Text"/>
    <w:basedOn w:val="TableText"/>
    <w:rsid w:val="00B2260B"/>
  </w:style>
  <w:style w:type="paragraph" w:styleId="TOC1">
    <w:name w:val="toc 1"/>
    <w:basedOn w:val="Normal"/>
    <w:next w:val="Normal"/>
    <w:autoRedefine/>
    <w:semiHidden/>
    <w:rsid w:val="00B2260B"/>
  </w:style>
  <w:style w:type="paragraph" w:styleId="TOC2">
    <w:name w:val="toc 2"/>
    <w:basedOn w:val="Normal"/>
    <w:next w:val="Normal"/>
    <w:autoRedefine/>
    <w:semiHidden/>
    <w:rsid w:val="00B2260B"/>
    <w:pPr>
      <w:ind w:left="240"/>
    </w:pPr>
  </w:style>
  <w:style w:type="paragraph" w:styleId="TOC3">
    <w:name w:val="toc 3"/>
    <w:basedOn w:val="Normal"/>
    <w:next w:val="Normal"/>
    <w:autoRedefine/>
    <w:semiHidden/>
    <w:rsid w:val="00B2260B"/>
    <w:pPr>
      <w:ind w:left="480"/>
    </w:pPr>
  </w:style>
  <w:style w:type="paragraph" w:styleId="TOC4">
    <w:name w:val="toc 4"/>
    <w:basedOn w:val="Normal"/>
    <w:next w:val="Normal"/>
    <w:autoRedefine/>
    <w:semiHidden/>
    <w:rsid w:val="00B2260B"/>
    <w:pPr>
      <w:ind w:left="720"/>
    </w:pPr>
  </w:style>
  <w:style w:type="paragraph" w:styleId="TOC5">
    <w:name w:val="toc 5"/>
    <w:basedOn w:val="Normal"/>
    <w:next w:val="Normal"/>
    <w:autoRedefine/>
    <w:semiHidden/>
    <w:rsid w:val="00B2260B"/>
    <w:pPr>
      <w:ind w:left="960"/>
    </w:pPr>
  </w:style>
  <w:style w:type="paragraph" w:styleId="TOC6">
    <w:name w:val="toc 6"/>
    <w:basedOn w:val="Normal"/>
    <w:next w:val="Normal"/>
    <w:autoRedefine/>
    <w:semiHidden/>
    <w:rsid w:val="00B2260B"/>
    <w:pPr>
      <w:ind w:left="1200"/>
    </w:pPr>
  </w:style>
  <w:style w:type="paragraph" w:styleId="TOC7">
    <w:name w:val="toc 7"/>
    <w:basedOn w:val="Normal"/>
    <w:next w:val="Normal"/>
    <w:autoRedefine/>
    <w:semiHidden/>
    <w:rsid w:val="00B2260B"/>
    <w:pPr>
      <w:ind w:left="1440"/>
    </w:pPr>
  </w:style>
  <w:style w:type="paragraph" w:styleId="TOC8">
    <w:name w:val="toc 8"/>
    <w:basedOn w:val="Normal"/>
    <w:next w:val="Normal"/>
    <w:autoRedefine/>
    <w:semiHidden/>
    <w:rsid w:val="00B2260B"/>
    <w:pPr>
      <w:ind w:left="1680"/>
    </w:pPr>
  </w:style>
  <w:style w:type="paragraph" w:styleId="TOC9">
    <w:name w:val="toc 9"/>
    <w:basedOn w:val="Normal"/>
    <w:next w:val="Normal"/>
    <w:autoRedefine/>
    <w:semiHidden/>
    <w:rsid w:val="00B2260B"/>
    <w:pPr>
      <w:ind w:left="1920"/>
    </w:pPr>
  </w:style>
  <w:style w:type="paragraph" w:styleId="BalloonText">
    <w:name w:val="Balloon Text"/>
    <w:basedOn w:val="Normal"/>
    <w:link w:val="BalloonTextChar"/>
    <w:semiHidden/>
    <w:rsid w:val="00A07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7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Information%20Mapp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 Mapping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wittkoi</dc:creator>
  <cp:lastModifiedBy>Wittkop, Irene</cp:lastModifiedBy>
  <cp:revision>2</cp:revision>
  <cp:lastPrinted>2017-03-23T19:21:00Z</cp:lastPrinted>
  <dcterms:created xsi:type="dcterms:W3CDTF">2018-01-18T19:11:00Z</dcterms:created>
  <dcterms:modified xsi:type="dcterms:W3CDTF">2018-01-18T19:11:00Z</dcterms:modified>
</cp:coreProperties>
</file>