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82" w:rsidRDefault="00C53182" w:rsidP="00C53182">
      <w:pPr>
        <w:jc w:val="center"/>
        <w:rPr>
          <w:b/>
          <w:sz w:val="32"/>
          <w:szCs w:val="32"/>
        </w:rPr>
      </w:pPr>
    </w:p>
    <w:p w:rsidR="00774264" w:rsidRDefault="009A1E8C" w:rsidP="00C53182">
      <w:pPr>
        <w:jc w:val="center"/>
        <w:rPr>
          <w:b/>
          <w:sz w:val="32"/>
          <w:szCs w:val="32"/>
        </w:rPr>
      </w:pPr>
      <w:r w:rsidRPr="00C53182">
        <w:rPr>
          <w:b/>
          <w:sz w:val="32"/>
          <w:szCs w:val="32"/>
        </w:rPr>
        <w:t xml:space="preserve">Labeling Secondary </w:t>
      </w:r>
      <w:r w:rsidR="00C53182" w:rsidRPr="00C53182">
        <w:rPr>
          <w:b/>
          <w:sz w:val="32"/>
          <w:szCs w:val="32"/>
        </w:rPr>
        <w:t>Containers in the Transfusion Service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53182" w:rsidTr="00C53182">
        <w:tc>
          <w:tcPr>
            <w:tcW w:w="1728" w:type="dxa"/>
            <w:shd w:val="clear" w:color="auto" w:fill="auto"/>
          </w:tcPr>
          <w:p w:rsidR="00C53182" w:rsidRDefault="00C53182" w:rsidP="00C53182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p w:rsidR="00C53182" w:rsidRDefault="00C53182" w:rsidP="00C53182">
            <w:pPr>
              <w:pStyle w:val="BlockText"/>
            </w:pPr>
          </w:p>
        </w:tc>
      </w:tr>
    </w:tbl>
    <w:p w:rsidR="00C53182" w:rsidRPr="00C53182" w:rsidRDefault="00C53182" w:rsidP="00C53182">
      <w:pPr>
        <w:pStyle w:val="BlockLine"/>
      </w:pPr>
      <w:bookmarkStart w:id="0" w:name="CurStartHereNewMAPTEXT"/>
      <w:bookmarkStart w:id="1" w:name="CurStartHereNewMAP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53182" w:rsidRPr="00C53182" w:rsidTr="00C53182">
        <w:tc>
          <w:tcPr>
            <w:tcW w:w="1728" w:type="dxa"/>
            <w:shd w:val="clear" w:color="auto" w:fill="auto"/>
          </w:tcPr>
          <w:p w:rsidR="00C53182" w:rsidRPr="00C53182" w:rsidRDefault="00C53182" w:rsidP="00C53182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C53182" w:rsidRPr="00C53182" w:rsidRDefault="00C53182" w:rsidP="00C66B55">
            <w:pPr>
              <w:pStyle w:val="BlockText"/>
            </w:pPr>
            <w:r>
              <w:t>The purpose of this policy is to define the information that is required when transferring a patient sample from the primary container for testing or storage</w:t>
            </w:r>
            <w:r w:rsidR="00DC110F">
              <w:t xml:space="preserve"> </w:t>
            </w:r>
            <w:r w:rsidR="00C66B55">
              <w:t>i</w:t>
            </w:r>
            <w:r w:rsidR="00DC110F">
              <w:t>n the Transfusion Service</w:t>
            </w:r>
          </w:p>
        </w:tc>
      </w:tr>
    </w:tbl>
    <w:p w:rsidR="00C53182" w:rsidRPr="00C53182" w:rsidRDefault="00C53182" w:rsidP="00C5318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53182" w:rsidRPr="00C53182" w:rsidTr="00C53182">
        <w:tc>
          <w:tcPr>
            <w:tcW w:w="1728" w:type="dxa"/>
            <w:shd w:val="clear" w:color="auto" w:fill="auto"/>
          </w:tcPr>
          <w:p w:rsidR="00C53182" w:rsidRPr="00C53182" w:rsidRDefault="00C53182" w:rsidP="00C53182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C53182" w:rsidRDefault="00C53182" w:rsidP="00DC110F">
            <w:pPr>
              <w:pStyle w:val="BulletText1"/>
            </w:pPr>
            <w:r>
              <w:t xml:space="preserve">Patient samples should remain in the primary collection container </w:t>
            </w:r>
            <w:r w:rsidR="00DC110F">
              <w:t>for testing,</w:t>
            </w:r>
            <w:r w:rsidR="0000751B">
              <w:t xml:space="preserve"> whenever possible.</w:t>
            </w:r>
          </w:p>
          <w:p w:rsidR="00DC110F" w:rsidRDefault="0000751B" w:rsidP="00DC110F">
            <w:pPr>
              <w:pStyle w:val="BulletText1"/>
            </w:pPr>
            <w:r>
              <w:t>Secondary containers used for absorptions, eluate</w:t>
            </w:r>
            <w:r w:rsidR="00DC110F">
              <w:t xml:space="preserve"> testing</w:t>
            </w:r>
            <w:r>
              <w:t xml:space="preserve"> or patient sample storage will be labeled with </w:t>
            </w:r>
            <w:r w:rsidR="006859EE">
              <w:t xml:space="preserve">2 unique </w:t>
            </w:r>
            <w:r>
              <w:t>patient identifier</w:t>
            </w:r>
            <w:r w:rsidR="006859EE">
              <w:t>s</w:t>
            </w:r>
            <w:r>
              <w:t xml:space="preserve"> and initialed</w:t>
            </w:r>
            <w:r w:rsidR="00C66B55">
              <w:t>/dated</w:t>
            </w:r>
            <w:r>
              <w:t xml:space="preserve"> by the person transferring the sample.</w:t>
            </w:r>
            <w:r w:rsidR="006859EE">
              <w:t xml:space="preserve"> </w:t>
            </w:r>
          </w:p>
          <w:p w:rsidR="0000751B" w:rsidRPr="00C66B55" w:rsidRDefault="00DC110F" w:rsidP="00DC110F">
            <w:pPr>
              <w:pStyle w:val="BulletText2"/>
              <w:rPr>
                <w:i/>
              </w:rPr>
            </w:pPr>
            <w:r w:rsidRPr="00C66B55">
              <w:rPr>
                <w:i/>
              </w:rPr>
              <w:t xml:space="preserve">Note: </w:t>
            </w:r>
            <w:r w:rsidR="006859EE" w:rsidRPr="00C66B55">
              <w:rPr>
                <w:i/>
              </w:rPr>
              <w:t>Th</w:t>
            </w:r>
            <w:r w:rsidR="00C66B55">
              <w:rPr>
                <w:i/>
              </w:rPr>
              <w:t>e patient identifier requirement</w:t>
            </w:r>
            <w:r w:rsidR="006859EE" w:rsidRPr="00C66B55">
              <w:rPr>
                <w:i/>
              </w:rPr>
              <w:t xml:space="preserve"> may be accomplished by use of a SQ flag label or handwriting information on tube.</w:t>
            </w:r>
          </w:p>
          <w:p w:rsidR="00DC110F" w:rsidRDefault="006859EE" w:rsidP="00DC110F">
            <w:pPr>
              <w:pStyle w:val="BulletText1"/>
            </w:pPr>
            <w:r>
              <w:t>Secondary containers used for cell suspensions</w:t>
            </w:r>
            <w:r w:rsidR="00DC110F">
              <w:t xml:space="preserve"> </w:t>
            </w:r>
            <w:r w:rsidR="00C66B55">
              <w:t>must contain</w:t>
            </w:r>
            <w:r w:rsidR="00DC110F">
              <w:t xml:space="preserve"> a unique patient identifier (full last name of the patient and fist initial, if more than 1 patient with the same past name is being tested</w:t>
            </w:r>
            <w:r w:rsidR="00C66B55">
              <w:t>)</w:t>
            </w:r>
            <w:r w:rsidR="00DC110F">
              <w:t xml:space="preserve">, accession number </w:t>
            </w:r>
            <w:r w:rsidR="00C66B55">
              <w:t>or unit number</w:t>
            </w:r>
            <w:r w:rsidR="00DC110F">
              <w:t>.</w:t>
            </w:r>
          </w:p>
          <w:p w:rsidR="006859EE" w:rsidRDefault="00DC110F" w:rsidP="00DC110F">
            <w:pPr>
              <w:pStyle w:val="BulletText1"/>
            </w:pPr>
            <w:r>
              <w:t>Cell suspensions may only be used by the person who made the suspension.</w:t>
            </w:r>
          </w:p>
          <w:p w:rsidR="00DC110F" w:rsidRDefault="00C66B55" w:rsidP="00DC110F">
            <w:pPr>
              <w:pStyle w:val="BulletText1"/>
            </w:pPr>
            <w:r>
              <w:t xml:space="preserve">Temporary containers such as </w:t>
            </w:r>
            <w:r w:rsidR="0000751B">
              <w:t>T</w:t>
            </w:r>
            <w:r>
              <w:t>u</w:t>
            </w:r>
            <w:r w:rsidR="0000751B">
              <w:t xml:space="preserve">bes </w:t>
            </w:r>
            <w:r w:rsidR="006859EE">
              <w:t>or slides used in perform</w:t>
            </w:r>
            <w:bookmarkStart w:id="2" w:name="_GoBack"/>
            <w:r w:rsidR="006859EE">
              <w:t>i</w:t>
            </w:r>
            <w:bookmarkEnd w:id="2"/>
            <w:r w:rsidR="006859EE">
              <w:t>ng a manual test,</w:t>
            </w:r>
            <w:r w:rsidR="0000751B">
              <w:t xml:space="preserve"> will be labeled </w:t>
            </w:r>
            <w:r w:rsidR="006859EE">
              <w:t xml:space="preserve">with a patient identifier and reagent, unit or test identifier. </w:t>
            </w:r>
          </w:p>
          <w:p w:rsidR="0000751B" w:rsidRPr="00C66B55" w:rsidRDefault="00DC110F" w:rsidP="00DC110F">
            <w:pPr>
              <w:pStyle w:val="BulletText2"/>
              <w:rPr>
                <w:i/>
              </w:rPr>
            </w:pPr>
            <w:r w:rsidRPr="00C66B55">
              <w:rPr>
                <w:i/>
              </w:rPr>
              <w:t xml:space="preserve">Note: </w:t>
            </w:r>
            <w:r w:rsidR="006859EE" w:rsidRPr="00C66B55">
              <w:rPr>
                <w:i/>
              </w:rPr>
              <w:t>Initials of patient name and abbreviations of reagent, unit or test may be use</w:t>
            </w:r>
            <w:r w:rsidRPr="00C66B55">
              <w:rPr>
                <w:i/>
              </w:rPr>
              <w:t>d as long as they can be tied back to the original sample</w:t>
            </w:r>
          </w:p>
          <w:p w:rsidR="0000751B" w:rsidRPr="00C53182" w:rsidRDefault="0000751B" w:rsidP="00DC110F">
            <w:pPr>
              <w:pStyle w:val="BulletText1"/>
              <w:numPr>
                <w:ilvl w:val="0"/>
                <w:numId w:val="0"/>
              </w:numPr>
            </w:pPr>
          </w:p>
        </w:tc>
      </w:tr>
    </w:tbl>
    <w:p w:rsidR="00C53182" w:rsidRPr="00C53182" w:rsidRDefault="00C53182" w:rsidP="00C53182">
      <w:pPr>
        <w:pStyle w:val="BlockLine"/>
      </w:pPr>
    </w:p>
    <w:bookmarkEnd w:id="0"/>
    <w:bookmarkEnd w:id="1"/>
    <w:p w:rsidR="00C53182" w:rsidRPr="00C53182" w:rsidRDefault="00C53182">
      <w:pPr>
        <w:jc w:val="center"/>
        <w:rPr>
          <w:b/>
          <w:sz w:val="32"/>
          <w:szCs w:val="32"/>
        </w:rPr>
      </w:pPr>
    </w:p>
    <w:sectPr w:rsidR="00C53182" w:rsidRPr="00C53182" w:rsidSect="009A1E8C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82" w:rsidRDefault="00C53182" w:rsidP="00C53182">
      <w:r>
        <w:separator/>
      </w:r>
    </w:p>
  </w:endnote>
  <w:endnote w:type="continuationSeparator" w:id="0">
    <w:p w:rsidR="00C53182" w:rsidRDefault="00C53182" w:rsidP="00C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82" w:rsidRPr="00F36309" w:rsidRDefault="00C53182">
    <w:pPr>
      <w:pStyle w:val="Footer"/>
      <w:rPr>
        <w:b/>
        <w:bCs/>
        <w:sz w:val="20"/>
        <w:szCs w:val="20"/>
      </w:rPr>
    </w:pPr>
    <w:r w:rsidRPr="00F36309">
      <w:rPr>
        <w:sz w:val="20"/>
        <w:szCs w:val="20"/>
      </w:rPr>
      <w:t>TS.</w:t>
    </w:r>
    <w:r w:rsidR="00F36309" w:rsidRPr="00F36309">
      <w:rPr>
        <w:sz w:val="20"/>
        <w:szCs w:val="20"/>
      </w:rPr>
      <w:t>NON 06.03-0-RV.01</w:t>
    </w:r>
    <w:r w:rsidRPr="00F36309">
      <w:rPr>
        <w:sz w:val="20"/>
        <w:szCs w:val="20"/>
      </w:rPr>
      <w:tab/>
    </w:r>
    <w:r w:rsidRPr="00F36309">
      <w:rPr>
        <w:sz w:val="20"/>
        <w:szCs w:val="20"/>
      </w:rPr>
      <w:tab/>
      <w:t xml:space="preserve">Page </w:t>
    </w:r>
    <w:r w:rsidRPr="00F36309">
      <w:rPr>
        <w:b/>
        <w:bCs/>
        <w:sz w:val="20"/>
        <w:szCs w:val="20"/>
      </w:rPr>
      <w:fldChar w:fldCharType="begin"/>
    </w:r>
    <w:r w:rsidRPr="00F36309">
      <w:rPr>
        <w:b/>
        <w:bCs/>
        <w:sz w:val="20"/>
        <w:szCs w:val="20"/>
      </w:rPr>
      <w:instrText xml:space="preserve"> PAGE  \* Arabic  \* MERGEFORMAT </w:instrText>
    </w:r>
    <w:r w:rsidRPr="00F36309">
      <w:rPr>
        <w:b/>
        <w:bCs/>
        <w:sz w:val="20"/>
        <w:szCs w:val="20"/>
      </w:rPr>
      <w:fldChar w:fldCharType="separate"/>
    </w:r>
    <w:r w:rsidR="00F36309">
      <w:rPr>
        <w:b/>
        <w:bCs/>
        <w:noProof/>
        <w:sz w:val="20"/>
        <w:szCs w:val="20"/>
      </w:rPr>
      <w:t>1</w:t>
    </w:r>
    <w:r w:rsidRPr="00F36309">
      <w:rPr>
        <w:b/>
        <w:bCs/>
        <w:sz w:val="20"/>
        <w:szCs w:val="20"/>
      </w:rPr>
      <w:fldChar w:fldCharType="end"/>
    </w:r>
    <w:r w:rsidRPr="00F36309">
      <w:rPr>
        <w:sz w:val="20"/>
        <w:szCs w:val="20"/>
      </w:rPr>
      <w:t xml:space="preserve"> of </w:t>
    </w:r>
    <w:r w:rsidRPr="00F36309">
      <w:rPr>
        <w:b/>
        <w:bCs/>
        <w:sz w:val="20"/>
        <w:szCs w:val="20"/>
      </w:rPr>
      <w:fldChar w:fldCharType="begin"/>
    </w:r>
    <w:r w:rsidRPr="00F36309">
      <w:rPr>
        <w:b/>
        <w:bCs/>
        <w:sz w:val="20"/>
        <w:szCs w:val="20"/>
      </w:rPr>
      <w:instrText xml:space="preserve"> NUMPAGES  \* Arabic  \* MERGEFORMAT </w:instrText>
    </w:r>
    <w:r w:rsidRPr="00F36309">
      <w:rPr>
        <w:b/>
        <w:bCs/>
        <w:sz w:val="20"/>
        <w:szCs w:val="20"/>
      </w:rPr>
      <w:fldChar w:fldCharType="separate"/>
    </w:r>
    <w:r w:rsidR="00F36309">
      <w:rPr>
        <w:b/>
        <w:bCs/>
        <w:noProof/>
        <w:sz w:val="20"/>
        <w:szCs w:val="20"/>
      </w:rPr>
      <w:t>1</w:t>
    </w:r>
    <w:r w:rsidRPr="00F36309">
      <w:rPr>
        <w:b/>
        <w:bCs/>
        <w:sz w:val="20"/>
        <w:szCs w:val="20"/>
      </w:rPr>
      <w:fldChar w:fldCharType="end"/>
    </w:r>
  </w:p>
  <w:p w:rsidR="00C53182" w:rsidRPr="00F36309" w:rsidRDefault="00C53182">
    <w:pPr>
      <w:pStyle w:val="Footer"/>
      <w:rPr>
        <w:sz w:val="20"/>
        <w:szCs w:val="20"/>
      </w:rPr>
    </w:pPr>
    <w:r w:rsidRPr="00F36309">
      <w:rPr>
        <w:bCs/>
        <w:sz w:val="20"/>
        <w:szCs w:val="20"/>
      </w:rPr>
      <w:t>J:/Blood bank/Procedures/</w:t>
    </w:r>
    <w:r w:rsidR="00F36309" w:rsidRPr="00F36309">
      <w:rPr>
        <w:bCs/>
        <w:sz w:val="20"/>
        <w:szCs w:val="20"/>
      </w:rPr>
      <w:t>Labeling Secondary Containers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82" w:rsidRDefault="00C53182" w:rsidP="00C53182">
      <w:r>
        <w:separator/>
      </w:r>
    </w:p>
  </w:footnote>
  <w:footnote w:type="continuationSeparator" w:id="0">
    <w:p w:rsidR="00C53182" w:rsidRDefault="00C53182" w:rsidP="00C5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82" w:rsidRDefault="00C53182">
    <w:pPr>
      <w:pStyle w:val="Header"/>
    </w:pPr>
    <w:r>
      <w:t>Sutter Roseville Medical Center</w:t>
    </w:r>
    <w:r>
      <w:tab/>
    </w:r>
    <w:r>
      <w:tab/>
      <w:t>Effective Date: 3/01/2018</w:t>
    </w:r>
  </w:p>
  <w:p w:rsidR="00C53182" w:rsidRPr="00C53182" w:rsidRDefault="00C53182">
    <w:pPr>
      <w:pStyle w:val="Header"/>
      <w:rPr>
        <w:i/>
      </w:rPr>
    </w:pPr>
    <w:r w:rsidRPr="00C53182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E8C"/>
    <w:rsid w:val="0000751B"/>
    <w:rsid w:val="00476793"/>
    <w:rsid w:val="006859EE"/>
    <w:rsid w:val="006D1540"/>
    <w:rsid w:val="00774264"/>
    <w:rsid w:val="0084431B"/>
    <w:rsid w:val="009A1E8C"/>
    <w:rsid w:val="00C53182"/>
    <w:rsid w:val="00C66B55"/>
    <w:rsid w:val="00DC110F"/>
    <w:rsid w:val="00F36309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39D0F-E2AA-4014-BD6C-FC26BDC6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C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9A1E8C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9A1E8C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9A1E8C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9A1E8C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9A1E8C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9A1E8C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9A1E8C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A1E8C"/>
  </w:style>
  <w:style w:type="paragraph" w:customStyle="1" w:styleId="BulletText1">
    <w:name w:val="Bullet Text 1"/>
    <w:basedOn w:val="Normal"/>
    <w:rsid w:val="009A1E8C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A1E8C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A1E8C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9A1E8C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A1E8C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A1E8C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A1E8C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9A1E8C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A1E8C"/>
    <w:pPr>
      <w:ind w:left="0"/>
    </w:pPr>
  </w:style>
  <w:style w:type="paragraph" w:customStyle="1" w:styleId="NoteText">
    <w:name w:val="Note Text"/>
    <w:basedOn w:val="Normal"/>
    <w:rsid w:val="009A1E8C"/>
    <w:rPr>
      <w:szCs w:val="20"/>
    </w:rPr>
  </w:style>
  <w:style w:type="paragraph" w:customStyle="1" w:styleId="PublicationTitle">
    <w:name w:val="Publication Title"/>
    <w:basedOn w:val="Normal"/>
    <w:next w:val="Heading4"/>
    <w:rsid w:val="009A1E8C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A1E8C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A1E8C"/>
    <w:rPr>
      <w:szCs w:val="20"/>
    </w:rPr>
  </w:style>
  <w:style w:type="paragraph" w:customStyle="1" w:styleId="TOCTitle">
    <w:name w:val="TOC Title"/>
    <w:basedOn w:val="Normal"/>
    <w:rsid w:val="009A1E8C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C531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3182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C531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3182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3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63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Wittkop, Irene</cp:lastModifiedBy>
  <cp:revision>2</cp:revision>
  <cp:lastPrinted>2018-02-13T22:08:00Z</cp:lastPrinted>
  <dcterms:created xsi:type="dcterms:W3CDTF">2018-02-13T22:15:00Z</dcterms:created>
  <dcterms:modified xsi:type="dcterms:W3CDTF">2018-02-13T22:15:00Z</dcterms:modified>
</cp:coreProperties>
</file>