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64" w:rsidRDefault="002B51E9" w:rsidP="002B51E9">
      <w:pPr>
        <w:pStyle w:val="Heading4"/>
      </w:pPr>
      <w:bookmarkStart w:id="0" w:name="CurStartHereNewMAPTEXT"/>
      <w:bookmarkStart w:id="1" w:name="CurStartHereNewMAP"/>
      <w:bookmarkStart w:id="2" w:name="MapTitleHere"/>
      <w:bookmarkEnd w:id="0"/>
      <w:bookmarkEnd w:id="1"/>
      <w:r>
        <w:t>P</w:t>
      </w:r>
      <w:bookmarkEnd w:id="2"/>
      <w:r>
        <w:t>rocessing Suspected Transfusion Reaction Blood Components</w:t>
      </w:r>
    </w:p>
    <w:p w:rsidR="002B51E9" w:rsidRPr="002B51E9" w:rsidRDefault="002B51E9" w:rsidP="002B51E9">
      <w:pPr>
        <w:pStyle w:val="BlockLine"/>
      </w:pPr>
    </w:p>
    <w:tbl>
      <w:tblPr>
        <w:tblW w:w="17208" w:type="dxa"/>
        <w:tblLayout w:type="fixed"/>
        <w:tblLook w:val="0000" w:firstRow="0" w:lastRow="0" w:firstColumn="0" w:lastColumn="0" w:noHBand="0" w:noVBand="0"/>
      </w:tblPr>
      <w:tblGrid>
        <w:gridCol w:w="1728"/>
        <w:gridCol w:w="7740"/>
        <w:gridCol w:w="7740"/>
      </w:tblGrid>
      <w:tr w:rsidR="002B51E9" w:rsidRPr="002B51E9" w:rsidTr="002B51E9">
        <w:tc>
          <w:tcPr>
            <w:tcW w:w="1728" w:type="dxa"/>
            <w:shd w:val="clear" w:color="auto" w:fill="auto"/>
          </w:tcPr>
          <w:p w:rsidR="002B51E9" w:rsidRPr="002B51E9" w:rsidRDefault="002B51E9" w:rsidP="002B51E9">
            <w:pPr>
              <w:pStyle w:val="Heading5"/>
            </w:pPr>
            <w:r>
              <w:t>Background</w:t>
            </w:r>
          </w:p>
        </w:tc>
        <w:tc>
          <w:tcPr>
            <w:tcW w:w="7740" w:type="dxa"/>
          </w:tcPr>
          <w:p w:rsidR="002B51E9" w:rsidRDefault="002B51E9" w:rsidP="002B51E9">
            <w:pPr>
              <w:pStyle w:val="BlockText"/>
            </w:pPr>
            <w:r>
              <w:t>This procedure describes the steps to follow once suspected transfusion reaction blood component specimens are submitted for culture. This testing will be part of the routine when septicemia due to contamination of the blood component is suspected.</w:t>
            </w:r>
          </w:p>
        </w:tc>
        <w:tc>
          <w:tcPr>
            <w:tcW w:w="7740" w:type="dxa"/>
            <w:shd w:val="clear" w:color="auto" w:fill="auto"/>
          </w:tcPr>
          <w:p w:rsidR="002B51E9" w:rsidRPr="002B51E9" w:rsidRDefault="002B51E9" w:rsidP="002B51E9">
            <w:pPr>
              <w:pStyle w:val="BlockText"/>
            </w:pPr>
          </w:p>
        </w:tc>
      </w:tr>
    </w:tbl>
    <w:p w:rsidR="002B51E9" w:rsidRPr="002B51E9" w:rsidRDefault="002B51E9" w:rsidP="002B51E9">
      <w:pPr>
        <w:pStyle w:val="BlockLine"/>
      </w:pPr>
    </w:p>
    <w:tbl>
      <w:tblPr>
        <w:tblW w:w="17208" w:type="dxa"/>
        <w:tblLayout w:type="fixed"/>
        <w:tblLook w:val="0000" w:firstRow="0" w:lastRow="0" w:firstColumn="0" w:lastColumn="0" w:noHBand="0" w:noVBand="0"/>
      </w:tblPr>
      <w:tblGrid>
        <w:gridCol w:w="1728"/>
        <w:gridCol w:w="7740"/>
        <w:gridCol w:w="7740"/>
      </w:tblGrid>
      <w:tr w:rsidR="002B51E9" w:rsidRPr="002B51E9" w:rsidTr="002B51E9">
        <w:tc>
          <w:tcPr>
            <w:tcW w:w="1728" w:type="dxa"/>
            <w:shd w:val="clear" w:color="auto" w:fill="auto"/>
          </w:tcPr>
          <w:p w:rsidR="002B51E9" w:rsidRPr="002B51E9" w:rsidRDefault="002B51E9" w:rsidP="002B51E9">
            <w:pPr>
              <w:pStyle w:val="Heading5"/>
            </w:pPr>
            <w:r>
              <w:t>Policy</w:t>
            </w:r>
          </w:p>
        </w:tc>
        <w:tc>
          <w:tcPr>
            <w:tcW w:w="7740" w:type="dxa"/>
          </w:tcPr>
          <w:p w:rsidR="002B51E9" w:rsidRDefault="002B51E9" w:rsidP="002B51E9">
            <w:pPr>
              <w:pStyle w:val="BlockText"/>
              <w:numPr>
                <w:ilvl w:val="0"/>
                <w:numId w:val="6"/>
              </w:numPr>
            </w:pPr>
            <w:r>
              <w:t>This procedure must be followed when the reviewing Pathologist or protocol requests a gram stain and culture be performed.</w:t>
            </w:r>
          </w:p>
        </w:tc>
        <w:tc>
          <w:tcPr>
            <w:tcW w:w="7740" w:type="dxa"/>
            <w:shd w:val="clear" w:color="auto" w:fill="auto"/>
          </w:tcPr>
          <w:p w:rsidR="002B51E9" w:rsidRPr="002B51E9" w:rsidRDefault="002B51E9" w:rsidP="002B51E9">
            <w:pPr>
              <w:pStyle w:val="BlockText"/>
              <w:ind w:left="720"/>
            </w:pPr>
          </w:p>
        </w:tc>
      </w:tr>
    </w:tbl>
    <w:p w:rsidR="002B51E9" w:rsidRPr="002B51E9" w:rsidRDefault="002B51E9" w:rsidP="002B51E9">
      <w:pPr>
        <w:pStyle w:val="BlockLine"/>
      </w:pPr>
    </w:p>
    <w:tbl>
      <w:tblPr>
        <w:tblW w:w="17208" w:type="dxa"/>
        <w:tblLayout w:type="fixed"/>
        <w:tblLook w:val="0000" w:firstRow="0" w:lastRow="0" w:firstColumn="0" w:lastColumn="0" w:noHBand="0" w:noVBand="0"/>
      </w:tblPr>
      <w:tblGrid>
        <w:gridCol w:w="1728"/>
        <w:gridCol w:w="7740"/>
        <w:gridCol w:w="7740"/>
      </w:tblGrid>
      <w:tr w:rsidR="002B51E9" w:rsidRPr="002B51E9" w:rsidTr="002B51E9">
        <w:tc>
          <w:tcPr>
            <w:tcW w:w="1728" w:type="dxa"/>
            <w:shd w:val="clear" w:color="auto" w:fill="auto"/>
          </w:tcPr>
          <w:p w:rsidR="002B51E9" w:rsidRPr="002B51E9" w:rsidRDefault="002B51E9" w:rsidP="002B51E9">
            <w:pPr>
              <w:pStyle w:val="Heading5"/>
            </w:pPr>
            <w:r>
              <w:t>Supplies</w:t>
            </w:r>
          </w:p>
        </w:tc>
        <w:tc>
          <w:tcPr>
            <w:tcW w:w="7740" w:type="dxa"/>
          </w:tcPr>
          <w:p w:rsidR="002B51E9" w:rsidRDefault="002B51E9" w:rsidP="002B51E9">
            <w:pPr>
              <w:pStyle w:val="BlockText"/>
              <w:numPr>
                <w:ilvl w:val="0"/>
                <w:numId w:val="6"/>
              </w:numPr>
            </w:pPr>
            <w:r>
              <w:t xml:space="preserve">Sampling Site Coupler- Baxter </w:t>
            </w:r>
            <w:proofErr w:type="spellStart"/>
            <w:r>
              <w:t>Fenwal</w:t>
            </w:r>
            <w:proofErr w:type="spellEnd"/>
            <w:r>
              <w:t xml:space="preserve"> #4C245</w:t>
            </w:r>
          </w:p>
          <w:p w:rsidR="002B51E9" w:rsidRDefault="002B51E9" w:rsidP="002B51E9">
            <w:pPr>
              <w:pStyle w:val="BlockText"/>
              <w:numPr>
                <w:ilvl w:val="0"/>
                <w:numId w:val="6"/>
              </w:numPr>
            </w:pPr>
            <w:r>
              <w:t>Alcohol swabs</w:t>
            </w:r>
          </w:p>
          <w:p w:rsidR="002B51E9" w:rsidRDefault="002B51E9" w:rsidP="002B51E9">
            <w:pPr>
              <w:pStyle w:val="BlockText"/>
              <w:numPr>
                <w:ilvl w:val="0"/>
                <w:numId w:val="6"/>
              </w:numPr>
            </w:pPr>
            <w:r>
              <w:t>10 cc syringe</w:t>
            </w:r>
          </w:p>
          <w:p w:rsidR="002B51E9" w:rsidRDefault="002B51E9" w:rsidP="002B51E9">
            <w:pPr>
              <w:pStyle w:val="BlockText"/>
              <w:numPr>
                <w:ilvl w:val="0"/>
                <w:numId w:val="6"/>
              </w:numPr>
            </w:pPr>
            <w:proofErr w:type="spellStart"/>
            <w:r>
              <w:t>Thioglycolate</w:t>
            </w:r>
            <w:proofErr w:type="spellEnd"/>
            <w:r>
              <w:t xml:space="preserve"> broth</w:t>
            </w:r>
          </w:p>
          <w:p w:rsidR="002B51E9" w:rsidRDefault="002B51E9" w:rsidP="004F62D0">
            <w:pPr>
              <w:pStyle w:val="BlockText"/>
              <w:numPr>
                <w:ilvl w:val="0"/>
                <w:numId w:val="6"/>
              </w:numPr>
            </w:pPr>
            <w:r>
              <w:t>Glass microscope slides</w:t>
            </w:r>
          </w:p>
          <w:p w:rsidR="002B51E9" w:rsidRDefault="002B51E9" w:rsidP="002B51E9">
            <w:pPr>
              <w:pStyle w:val="BlockText"/>
              <w:numPr>
                <w:ilvl w:val="0"/>
                <w:numId w:val="6"/>
              </w:numPr>
            </w:pPr>
            <w:r>
              <w:t xml:space="preserve">Gram Stain </w:t>
            </w:r>
            <w:r w:rsidR="004F62D0">
              <w:t>supplies and reagents</w:t>
            </w:r>
          </w:p>
        </w:tc>
        <w:tc>
          <w:tcPr>
            <w:tcW w:w="7740" w:type="dxa"/>
            <w:shd w:val="clear" w:color="auto" w:fill="auto"/>
          </w:tcPr>
          <w:p w:rsidR="002B51E9" w:rsidRPr="002B51E9" w:rsidRDefault="002B51E9" w:rsidP="002B51E9">
            <w:pPr>
              <w:pStyle w:val="BlockText"/>
            </w:pPr>
          </w:p>
        </w:tc>
      </w:tr>
    </w:tbl>
    <w:p w:rsidR="002B51E9" w:rsidRPr="002B51E9" w:rsidRDefault="002B51E9" w:rsidP="002B51E9">
      <w:pPr>
        <w:pStyle w:val="BlockLine"/>
      </w:pPr>
    </w:p>
    <w:tbl>
      <w:tblPr>
        <w:tblW w:w="17208" w:type="dxa"/>
        <w:tblLayout w:type="fixed"/>
        <w:tblLook w:val="0000" w:firstRow="0" w:lastRow="0" w:firstColumn="0" w:lastColumn="0" w:noHBand="0" w:noVBand="0"/>
      </w:tblPr>
      <w:tblGrid>
        <w:gridCol w:w="1728"/>
        <w:gridCol w:w="7740"/>
        <w:gridCol w:w="7740"/>
      </w:tblGrid>
      <w:tr w:rsidR="002B51E9" w:rsidRPr="002B51E9" w:rsidTr="002B51E9">
        <w:tc>
          <w:tcPr>
            <w:tcW w:w="1728" w:type="dxa"/>
            <w:shd w:val="clear" w:color="auto" w:fill="auto"/>
          </w:tcPr>
          <w:p w:rsidR="002B51E9" w:rsidRPr="002B51E9" w:rsidRDefault="002B51E9" w:rsidP="002B51E9">
            <w:pPr>
              <w:pStyle w:val="Heading5"/>
            </w:pPr>
            <w:r>
              <w:t>Specimen Requirements</w:t>
            </w:r>
          </w:p>
        </w:tc>
        <w:tc>
          <w:tcPr>
            <w:tcW w:w="7740" w:type="dxa"/>
          </w:tcPr>
          <w:p w:rsidR="002B51E9" w:rsidRDefault="002B51E9" w:rsidP="002B51E9">
            <w:pPr>
              <w:pStyle w:val="BlockText"/>
              <w:numPr>
                <w:ilvl w:val="0"/>
                <w:numId w:val="7"/>
              </w:numPr>
            </w:pPr>
            <w:r>
              <w:t>Blood component bag (either completely or partially transfused)</w:t>
            </w:r>
          </w:p>
          <w:p w:rsidR="002B51E9" w:rsidRDefault="002B51E9" w:rsidP="002B51E9">
            <w:pPr>
              <w:pStyle w:val="BlockText"/>
              <w:numPr>
                <w:ilvl w:val="0"/>
                <w:numId w:val="7"/>
              </w:numPr>
            </w:pPr>
            <w:r>
              <w:t xml:space="preserve">Sample from blood product (ex: segment, filter, tubing, </w:t>
            </w:r>
            <w:proofErr w:type="spellStart"/>
            <w:r>
              <w:t>etc</w:t>
            </w:r>
            <w:proofErr w:type="spellEnd"/>
            <w:r>
              <w:t>) if blood component bag unavailable</w:t>
            </w:r>
          </w:p>
        </w:tc>
        <w:tc>
          <w:tcPr>
            <w:tcW w:w="7740" w:type="dxa"/>
            <w:shd w:val="clear" w:color="auto" w:fill="auto"/>
          </w:tcPr>
          <w:p w:rsidR="002B51E9" w:rsidRPr="002B51E9" w:rsidRDefault="002B51E9" w:rsidP="002B51E9">
            <w:pPr>
              <w:pStyle w:val="BlockText"/>
            </w:pPr>
          </w:p>
        </w:tc>
      </w:tr>
    </w:tbl>
    <w:p w:rsidR="002B51E9" w:rsidRPr="002B51E9" w:rsidRDefault="002B51E9" w:rsidP="002B51E9">
      <w:pPr>
        <w:pStyle w:val="BlockLine"/>
      </w:pPr>
    </w:p>
    <w:tbl>
      <w:tblPr>
        <w:tblW w:w="0" w:type="auto"/>
        <w:tblLayout w:type="fixed"/>
        <w:tblLook w:val="0000" w:firstRow="0" w:lastRow="0" w:firstColumn="0" w:lastColumn="0" w:noHBand="0" w:noVBand="0"/>
      </w:tblPr>
      <w:tblGrid>
        <w:gridCol w:w="1728"/>
        <w:gridCol w:w="7740"/>
      </w:tblGrid>
      <w:tr w:rsidR="002B51E9" w:rsidRPr="002B51E9" w:rsidTr="002B51E9">
        <w:trPr>
          <w:trHeight w:val="240"/>
        </w:trPr>
        <w:tc>
          <w:tcPr>
            <w:tcW w:w="1728" w:type="dxa"/>
            <w:shd w:val="clear" w:color="auto" w:fill="auto"/>
          </w:tcPr>
          <w:p w:rsidR="002B51E9" w:rsidRPr="002B51E9" w:rsidRDefault="002B51E9" w:rsidP="002B51E9">
            <w:pPr>
              <w:pStyle w:val="Heading5"/>
            </w:pPr>
            <w:r>
              <w:t>Procedure</w:t>
            </w:r>
          </w:p>
        </w:tc>
        <w:tc>
          <w:tcPr>
            <w:tcW w:w="7740" w:type="dxa"/>
            <w:shd w:val="clear" w:color="auto" w:fill="auto"/>
          </w:tcPr>
          <w:p w:rsidR="002B51E9" w:rsidRPr="002B51E9" w:rsidRDefault="002B51E9" w:rsidP="002B51E9">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2B51E9" w:rsidTr="002B51E9">
              <w:trPr>
                <w:trHeight w:val="144"/>
              </w:trPr>
              <w:tc>
                <w:tcPr>
                  <w:tcW w:w="675" w:type="pct"/>
                  <w:shd w:val="clear" w:color="auto" w:fill="auto"/>
                </w:tcPr>
                <w:p w:rsidR="002B51E9" w:rsidRDefault="002B51E9" w:rsidP="002B51E9">
                  <w:pPr>
                    <w:pStyle w:val="TableHeaderText"/>
                  </w:pPr>
                  <w:r>
                    <w:t>Step</w:t>
                  </w:r>
                </w:p>
              </w:tc>
              <w:tc>
                <w:tcPr>
                  <w:tcW w:w="4325" w:type="pct"/>
                  <w:shd w:val="clear" w:color="auto" w:fill="auto"/>
                </w:tcPr>
                <w:p w:rsidR="002B51E9" w:rsidRDefault="002B51E9" w:rsidP="002B51E9">
                  <w:pPr>
                    <w:pStyle w:val="TableHeaderText"/>
                  </w:pPr>
                  <w:r>
                    <w:t>Action</w:t>
                  </w:r>
                </w:p>
              </w:tc>
            </w:tr>
            <w:tr w:rsidR="002B51E9" w:rsidTr="002B51E9">
              <w:trPr>
                <w:trHeight w:val="144"/>
              </w:trPr>
              <w:tc>
                <w:tcPr>
                  <w:tcW w:w="675" w:type="pct"/>
                  <w:shd w:val="clear" w:color="auto" w:fill="auto"/>
                </w:tcPr>
                <w:p w:rsidR="002B51E9" w:rsidRDefault="002B51E9" w:rsidP="002B51E9">
                  <w:pPr>
                    <w:pStyle w:val="TableText"/>
                    <w:jc w:val="center"/>
                  </w:pPr>
                  <w:r>
                    <w:t>1</w:t>
                  </w:r>
                </w:p>
              </w:tc>
              <w:tc>
                <w:tcPr>
                  <w:tcW w:w="4325" w:type="pct"/>
                  <w:shd w:val="clear" w:color="auto" w:fill="auto"/>
                </w:tcPr>
                <w:p w:rsidR="002B51E9" w:rsidRDefault="00EF1250" w:rsidP="002B51E9">
                  <w:pPr>
                    <w:pStyle w:val="TableText"/>
                  </w:pPr>
                  <w:r>
                    <w:t xml:space="preserve">Use patient’s medical record number who received unit in question to </w:t>
                  </w:r>
                  <w:r w:rsidR="003612C0">
                    <w:t>place order code TRX (transfusion reac</w:t>
                  </w:r>
                  <w:r>
                    <w:t>tion culture and smear) in LIS</w:t>
                  </w:r>
                </w:p>
                <w:p w:rsidR="002B51E9" w:rsidRDefault="003612C0" w:rsidP="003612C0">
                  <w:pPr>
                    <w:pStyle w:val="TableText"/>
                    <w:numPr>
                      <w:ilvl w:val="0"/>
                      <w:numId w:val="8"/>
                    </w:numPr>
                  </w:pPr>
                  <w:r>
                    <w:t>For s</w:t>
                  </w:r>
                  <w:r w:rsidR="002B51E9">
                    <w:t>pecimen d</w:t>
                  </w:r>
                  <w:r>
                    <w:t>escription, enter BLD-;</w:t>
                  </w:r>
                  <w:r w:rsidR="002B51E9">
                    <w:t xml:space="preserve"> unit number</w:t>
                  </w:r>
                </w:p>
              </w:tc>
            </w:tr>
            <w:tr w:rsidR="003612C0" w:rsidTr="002B51E9">
              <w:trPr>
                <w:trHeight w:val="144"/>
              </w:trPr>
              <w:tc>
                <w:tcPr>
                  <w:tcW w:w="675" w:type="pct"/>
                  <w:shd w:val="clear" w:color="auto" w:fill="auto"/>
                </w:tcPr>
                <w:p w:rsidR="003612C0" w:rsidRDefault="003612C0" w:rsidP="003612C0">
                  <w:pPr>
                    <w:pStyle w:val="TableText"/>
                    <w:jc w:val="center"/>
                  </w:pPr>
                  <w:r>
                    <w:t>2</w:t>
                  </w:r>
                </w:p>
              </w:tc>
              <w:tc>
                <w:tcPr>
                  <w:tcW w:w="4325" w:type="pct"/>
                  <w:shd w:val="clear" w:color="auto" w:fill="auto"/>
                </w:tcPr>
                <w:p w:rsidR="003612C0" w:rsidRDefault="003612C0" w:rsidP="003612C0">
                  <w:pPr>
                    <w:pStyle w:val="TableText"/>
                  </w:pPr>
                  <w:r>
                    <w:t>Aseptically open closed port of  blood donor unit (bag) and insert sampling site coupler</w:t>
                  </w:r>
                </w:p>
              </w:tc>
            </w:tr>
          </w:tbl>
          <w:p w:rsidR="002B51E9" w:rsidRPr="002B51E9" w:rsidRDefault="002B51E9" w:rsidP="002B51E9">
            <w:pPr>
              <w:pStyle w:val="BlockText"/>
            </w:pPr>
            <w:r>
              <w:t xml:space="preserve"> </w:t>
            </w:r>
          </w:p>
        </w:tc>
      </w:tr>
    </w:tbl>
    <w:p w:rsidR="002B51E9" w:rsidRDefault="002B51E9" w:rsidP="002B51E9">
      <w:pPr>
        <w:pStyle w:val="ContinuedOnNextPa"/>
      </w:pPr>
      <w:r>
        <w:t>Continued on next page</w:t>
      </w:r>
    </w:p>
    <w:p w:rsidR="002B51E9" w:rsidRDefault="00DB14C1" w:rsidP="002B51E9">
      <w:pPr>
        <w:pStyle w:val="MapTitleContinued"/>
        <w:rPr>
          <w:b w:val="0"/>
          <w:sz w:val="24"/>
        </w:rPr>
      </w:pPr>
      <w:r>
        <w:t xml:space="preserve"> </w:t>
      </w:r>
      <w:bookmarkStart w:id="3" w:name="_GoBack"/>
      <w:bookmarkEnd w:id="3"/>
      <w:r w:rsidR="002B51E9" w:rsidRPr="002B51E9">
        <w:br w:type="page"/>
      </w:r>
      <w:r w:rsidR="00225F3C">
        <w:lastRenderedPageBreak/>
        <w:fldChar w:fldCharType="begin"/>
      </w:r>
      <w:r w:rsidR="00225F3C">
        <w:instrText xml:space="preserve"> STYLEREF "Map Title" </w:instrText>
      </w:r>
      <w:r w:rsidR="00225F3C">
        <w:fldChar w:fldCharType="separate"/>
      </w:r>
      <w:r>
        <w:rPr>
          <w:noProof/>
        </w:rPr>
        <w:t>Processing Suspected Transfusion Reaction Blood Components</w:t>
      </w:r>
      <w:r w:rsidR="00225F3C">
        <w:rPr>
          <w:noProof/>
        </w:rPr>
        <w:fldChar w:fldCharType="end"/>
      </w:r>
      <w:r w:rsidR="002B51E9" w:rsidRPr="002B51E9">
        <w:t xml:space="preserve">, </w:t>
      </w:r>
      <w:r w:rsidR="002B51E9" w:rsidRPr="002B51E9">
        <w:rPr>
          <w:b w:val="0"/>
          <w:sz w:val="24"/>
        </w:rPr>
        <w:t>Continued</w:t>
      </w:r>
    </w:p>
    <w:p w:rsidR="002B51E9" w:rsidRPr="00881784" w:rsidRDefault="002B51E9" w:rsidP="00881784">
      <w:pPr>
        <w:pStyle w:val="BlockLine"/>
      </w:pPr>
    </w:p>
    <w:tbl>
      <w:tblPr>
        <w:tblW w:w="0" w:type="auto"/>
        <w:tblLayout w:type="fixed"/>
        <w:tblLook w:val="0000" w:firstRow="0" w:lastRow="0" w:firstColumn="0" w:lastColumn="0" w:noHBand="0" w:noVBand="0"/>
      </w:tblPr>
      <w:tblGrid>
        <w:gridCol w:w="1728"/>
        <w:gridCol w:w="7740"/>
      </w:tblGrid>
      <w:tr w:rsidR="00881784" w:rsidRPr="00881784" w:rsidTr="00881784">
        <w:trPr>
          <w:trHeight w:val="240"/>
        </w:trPr>
        <w:tc>
          <w:tcPr>
            <w:tcW w:w="1728" w:type="dxa"/>
            <w:shd w:val="clear" w:color="auto" w:fill="auto"/>
          </w:tcPr>
          <w:p w:rsidR="00881784" w:rsidRPr="00881784" w:rsidRDefault="00881784" w:rsidP="00881784">
            <w:pPr>
              <w:pStyle w:val="Heading5"/>
            </w:pPr>
            <w:r>
              <w:t xml:space="preserve">Procedure, </w:t>
            </w:r>
            <w:proofErr w:type="spellStart"/>
            <w:r>
              <w:t>cont</w:t>
            </w:r>
            <w:proofErr w:type="spellEnd"/>
          </w:p>
        </w:tc>
        <w:tc>
          <w:tcPr>
            <w:tcW w:w="7740" w:type="dxa"/>
            <w:shd w:val="clear" w:color="auto" w:fill="auto"/>
          </w:tcPr>
          <w:p w:rsidR="00881784" w:rsidRPr="00881784" w:rsidRDefault="00881784" w:rsidP="00881784">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15"/>
              <w:gridCol w:w="1140"/>
              <w:gridCol w:w="3975"/>
              <w:gridCol w:w="758"/>
            </w:tblGrid>
            <w:tr w:rsidR="00881784" w:rsidTr="00881784">
              <w:trPr>
                <w:trHeight w:val="144"/>
              </w:trPr>
              <w:tc>
                <w:tcPr>
                  <w:tcW w:w="675" w:type="pct"/>
                  <w:shd w:val="clear" w:color="auto" w:fill="auto"/>
                </w:tcPr>
                <w:p w:rsidR="00881784" w:rsidRDefault="00881784" w:rsidP="00881784">
                  <w:pPr>
                    <w:pStyle w:val="TableHeaderText"/>
                  </w:pPr>
                  <w:r>
                    <w:t>Step</w:t>
                  </w:r>
                </w:p>
              </w:tc>
              <w:tc>
                <w:tcPr>
                  <w:tcW w:w="4325" w:type="pct"/>
                  <w:gridSpan w:val="4"/>
                  <w:shd w:val="clear" w:color="auto" w:fill="auto"/>
                </w:tcPr>
                <w:p w:rsidR="00881784" w:rsidRDefault="00881784" w:rsidP="00881784">
                  <w:pPr>
                    <w:pStyle w:val="TableHeaderText"/>
                  </w:pPr>
                  <w:r>
                    <w:t>Action</w:t>
                  </w:r>
                </w:p>
              </w:tc>
            </w:tr>
            <w:tr w:rsidR="004F62D0" w:rsidTr="00881784">
              <w:trPr>
                <w:trHeight w:val="144"/>
              </w:trPr>
              <w:tc>
                <w:tcPr>
                  <w:tcW w:w="675" w:type="pct"/>
                  <w:shd w:val="clear" w:color="auto" w:fill="auto"/>
                </w:tcPr>
                <w:p w:rsidR="004F62D0" w:rsidRDefault="004F62D0" w:rsidP="004F62D0">
                  <w:pPr>
                    <w:pStyle w:val="TableText"/>
                    <w:jc w:val="center"/>
                  </w:pPr>
                  <w:r>
                    <w:t>3</w:t>
                  </w:r>
                </w:p>
              </w:tc>
              <w:tc>
                <w:tcPr>
                  <w:tcW w:w="4325" w:type="pct"/>
                  <w:gridSpan w:val="4"/>
                  <w:shd w:val="clear" w:color="auto" w:fill="auto"/>
                </w:tcPr>
                <w:p w:rsidR="004F62D0" w:rsidRDefault="004F62D0" w:rsidP="004F62D0">
                  <w:pPr>
                    <w:pStyle w:val="TableText"/>
                  </w:pPr>
                  <w:r>
                    <w:t>Estimate specimen volume in bag</w:t>
                  </w:r>
                </w:p>
              </w:tc>
            </w:tr>
            <w:tr w:rsidR="004F62D0" w:rsidTr="004F62D0">
              <w:trPr>
                <w:trHeight w:val="144"/>
              </w:trPr>
              <w:tc>
                <w:tcPr>
                  <w:tcW w:w="675" w:type="pct"/>
                  <w:vMerge w:val="restart"/>
                  <w:shd w:val="clear" w:color="auto" w:fill="auto"/>
                </w:tcPr>
                <w:p w:rsidR="004F62D0" w:rsidRDefault="004F62D0" w:rsidP="004F62D0">
                  <w:pPr>
                    <w:pStyle w:val="TableText"/>
                    <w:jc w:val="center"/>
                  </w:pPr>
                </w:p>
              </w:tc>
              <w:tc>
                <w:tcPr>
                  <w:tcW w:w="4325" w:type="pct"/>
                  <w:gridSpan w:val="4"/>
                  <w:tcBorders>
                    <w:bottom w:val="nil"/>
                  </w:tcBorders>
                  <w:shd w:val="clear" w:color="auto" w:fill="auto"/>
                </w:tcPr>
                <w:p w:rsidR="004F62D0" w:rsidRDefault="004F62D0" w:rsidP="004F62D0">
                  <w:pPr>
                    <w:pStyle w:val="TableText"/>
                    <w:ind w:left="720"/>
                  </w:pPr>
                </w:p>
              </w:tc>
            </w:tr>
            <w:tr w:rsidR="004F62D0" w:rsidTr="004F62D0">
              <w:trPr>
                <w:trHeight w:val="144"/>
              </w:trPr>
              <w:tc>
                <w:tcPr>
                  <w:tcW w:w="675" w:type="pct"/>
                  <w:vMerge/>
                  <w:shd w:val="clear" w:color="auto" w:fill="auto"/>
                </w:tcPr>
                <w:p w:rsidR="004F62D0" w:rsidRDefault="004F62D0" w:rsidP="004F62D0">
                  <w:pPr>
                    <w:pStyle w:val="TableText"/>
                    <w:jc w:val="center"/>
                  </w:pPr>
                </w:p>
              </w:tc>
              <w:tc>
                <w:tcPr>
                  <w:tcW w:w="410" w:type="pct"/>
                  <w:vMerge w:val="restart"/>
                  <w:tcBorders>
                    <w:top w:val="nil"/>
                    <w:right w:val="single" w:sz="4" w:space="0" w:color="auto"/>
                  </w:tcBorders>
                  <w:shd w:val="clear" w:color="auto" w:fill="auto"/>
                </w:tcPr>
                <w:p w:rsidR="004F62D0" w:rsidRDefault="004F62D0" w:rsidP="004F62D0">
                  <w:pPr>
                    <w:pStyle w:val="TableText"/>
                  </w:pPr>
                </w:p>
              </w:tc>
              <w:tc>
                <w:tcPr>
                  <w:tcW w:w="760" w:type="pct"/>
                  <w:tcBorders>
                    <w:left w:val="single" w:sz="4" w:space="0" w:color="auto"/>
                    <w:right w:val="single" w:sz="4" w:space="0" w:color="auto"/>
                  </w:tcBorders>
                  <w:shd w:val="clear" w:color="auto" w:fill="auto"/>
                </w:tcPr>
                <w:p w:rsidR="004F62D0" w:rsidRPr="004F62D0" w:rsidRDefault="004F62D0" w:rsidP="004F62D0">
                  <w:pPr>
                    <w:pStyle w:val="TableText"/>
                    <w:rPr>
                      <w:b/>
                    </w:rPr>
                  </w:pPr>
                  <w:r w:rsidRPr="004F62D0">
                    <w:rPr>
                      <w:b/>
                    </w:rPr>
                    <w:t>If</w:t>
                  </w:r>
                </w:p>
              </w:tc>
              <w:tc>
                <w:tcPr>
                  <w:tcW w:w="2650" w:type="pct"/>
                  <w:tcBorders>
                    <w:left w:val="single" w:sz="4" w:space="0" w:color="auto"/>
                    <w:right w:val="single" w:sz="4" w:space="0" w:color="auto"/>
                  </w:tcBorders>
                  <w:shd w:val="clear" w:color="auto" w:fill="auto"/>
                </w:tcPr>
                <w:p w:rsidR="004F62D0" w:rsidRPr="004F62D0" w:rsidRDefault="004F62D0" w:rsidP="004F62D0">
                  <w:pPr>
                    <w:pStyle w:val="TableText"/>
                    <w:rPr>
                      <w:b/>
                    </w:rPr>
                  </w:pPr>
                  <w:r w:rsidRPr="004F62D0">
                    <w:rPr>
                      <w:b/>
                    </w:rPr>
                    <w:t>Then</w:t>
                  </w:r>
                </w:p>
              </w:tc>
              <w:tc>
                <w:tcPr>
                  <w:tcW w:w="505" w:type="pct"/>
                  <w:vMerge w:val="restart"/>
                  <w:tcBorders>
                    <w:top w:val="nil"/>
                    <w:left w:val="single" w:sz="4" w:space="0" w:color="auto"/>
                  </w:tcBorders>
                  <w:shd w:val="clear" w:color="auto" w:fill="auto"/>
                </w:tcPr>
                <w:p w:rsidR="004F62D0" w:rsidRDefault="004F62D0" w:rsidP="004F62D0">
                  <w:pPr>
                    <w:pStyle w:val="TableText"/>
                  </w:pPr>
                </w:p>
              </w:tc>
            </w:tr>
            <w:tr w:rsidR="004F62D0" w:rsidTr="004F62D0">
              <w:trPr>
                <w:trHeight w:val="144"/>
              </w:trPr>
              <w:tc>
                <w:tcPr>
                  <w:tcW w:w="675" w:type="pct"/>
                  <w:vMerge/>
                  <w:shd w:val="clear" w:color="auto" w:fill="auto"/>
                </w:tcPr>
                <w:p w:rsidR="004F62D0" w:rsidRDefault="004F62D0" w:rsidP="004F62D0">
                  <w:pPr>
                    <w:pStyle w:val="TableText"/>
                    <w:jc w:val="center"/>
                  </w:pPr>
                </w:p>
              </w:tc>
              <w:tc>
                <w:tcPr>
                  <w:tcW w:w="410" w:type="pct"/>
                  <w:vMerge/>
                  <w:tcBorders>
                    <w:right w:val="single" w:sz="4" w:space="0" w:color="auto"/>
                  </w:tcBorders>
                  <w:shd w:val="clear" w:color="auto" w:fill="auto"/>
                </w:tcPr>
                <w:p w:rsidR="004F62D0" w:rsidRDefault="004F62D0" w:rsidP="004F62D0">
                  <w:pPr>
                    <w:pStyle w:val="TableText"/>
                    <w:ind w:left="720"/>
                  </w:pPr>
                </w:p>
              </w:tc>
              <w:tc>
                <w:tcPr>
                  <w:tcW w:w="760" w:type="pct"/>
                  <w:tcBorders>
                    <w:left w:val="single" w:sz="4" w:space="0" w:color="auto"/>
                    <w:right w:val="single" w:sz="4" w:space="0" w:color="auto"/>
                  </w:tcBorders>
                  <w:shd w:val="clear" w:color="auto" w:fill="auto"/>
                </w:tcPr>
                <w:p w:rsidR="004F62D0" w:rsidRDefault="004F62D0" w:rsidP="004F62D0">
                  <w:pPr>
                    <w:pStyle w:val="TableText"/>
                  </w:pPr>
                  <w:r>
                    <w:t>&lt;10 ml</w:t>
                  </w:r>
                </w:p>
              </w:tc>
              <w:tc>
                <w:tcPr>
                  <w:tcW w:w="2650" w:type="pct"/>
                  <w:tcBorders>
                    <w:left w:val="single" w:sz="4" w:space="0" w:color="auto"/>
                    <w:right w:val="single" w:sz="4" w:space="0" w:color="auto"/>
                  </w:tcBorders>
                  <w:shd w:val="clear" w:color="auto" w:fill="auto"/>
                </w:tcPr>
                <w:p w:rsidR="004F62D0" w:rsidRDefault="004F62D0" w:rsidP="004F62D0">
                  <w:pPr>
                    <w:pStyle w:val="TableText"/>
                  </w:pPr>
                  <w:r>
                    <w:t xml:space="preserve">With a syringe, add sufficient </w:t>
                  </w:r>
                  <w:proofErr w:type="spellStart"/>
                  <w:r>
                    <w:t>thio</w:t>
                  </w:r>
                  <w:proofErr w:type="spellEnd"/>
                  <w:r>
                    <w:t xml:space="preserve"> broth to make 10 to 12 cc fluid</w:t>
                  </w:r>
                </w:p>
              </w:tc>
              <w:tc>
                <w:tcPr>
                  <w:tcW w:w="505" w:type="pct"/>
                  <w:vMerge/>
                  <w:tcBorders>
                    <w:left w:val="single" w:sz="4" w:space="0" w:color="auto"/>
                  </w:tcBorders>
                  <w:shd w:val="clear" w:color="auto" w:fill="auto"/>
                </w:tcPr>
                <w:p w:rsidR="004F62D0" w:rsidRDefault="004F62D0" w:rsidP="004F62D0">
                  <w:pPr>
                    <w:pStyle w:val="TableText"/>
                    <w:ind w:left="720"/>
                  </w:pPr>
                </w:p>
              </w:tc>
            </w:tr>
            <w:tr w:rsidR="004F62D0" w:rsidTr="004F62D0">
              <w:trPr>
                <w:trHeight w:val="144"/>
              </w:trPr>
              <w:tc>
                <w:tcPr>
                  <w:tcW w:w="675" w:type="pct"/>
                  <w:vMerge/>
                  <w:shd w:val="clear" w:color="auto" w:fill="auto"/>
                </w:tcPr>
                <w:p w:rsidR="004F62D0" w:rsidRDefault="004F62D0" w:rsidP="004F62D0">
                  <w:pPr>
                    <w:pStyle w:val="TableText"/>
                    <w:jc w:val="center"/>
                  </w:pPr>
                </w:p>
              </w:tc>
              <w:tc>
                <w:tcPr>
                  <w:tcW w:w="410" w:type="pct"/>
                  <w:vMerge/>
                  <w:tcBorders>
                    <w:bottom w:val="nil"/>
                    <w:right w:val="single" w:sz="4" w:space="0" w:color="auto"/>
                  </w:tcBorders>
                  <w:shd w:val="clear" w:color="auto" w:fill="auto"/>
                </w:tcPr>
                <w:p w:rsidR="004F62D0" w:rsidRDefault="004F62D0" w:rsidP="004F62D0">
                  <w:pPr>
                    <w:pStyle w:val="TableText"/>
                    <w:ind w:left="720"/>
                  </w:pPr>
                </w:p>
              </w:tc>
              <w:tc>
                <w:tcPr>
                  <w:tcW w:w="760" w:type="pct"/>
                  <w:tcBorders>
                    <w:left w:val="single" w:sz="4" w:space="0" w:color="auto"/>
                    <w:right w:val="single" w:sz="4" w:space="0" w:color="auto"/>
                  </w:tcBorders>
                  <w:shd w:val="clear" w:color="auto" w:fill="auto"/>
                </w:tcPr>
                <w:p w:rsidR="004F62D0" w:rsidRDefault="004F62D0" w:rsidP="004F62D0">
                  <w:pPr>
                    <w:pStyle w:val="TableText"/>
                  </w:pPr>
                  <w:r>
                    <w:t>≥10 ml</w:t>
                  </w:r>
                </w:p>
              </w:tc>
              <w:tc>
                <w:tcPr>
                  <w:tcW w:w="2650" w:type="pct"/>
                  <w:tcBorders>
                    <w:left w:val="single" w:sz="4" w:space="0" w:color="auto"/>
                    <w:right w:val="single" w:sz="4" w:space="0" w:color="auto"/>
                  </w:tcBorders>
                  <w:shd w:val="clear" w:color="auto" w:fill="auto"/>
                </w:tcPr>
                <w:p w:rsidR="004F62D0" w:rsidRDefault="004F62D0" w:rsidP="004F62D0">
                  <w:pPr>
                    <w:pStyle w:val="TableText"/>
                  </w:pPr>
                  <w:r>
                    <w:t>Proceed to #4</w:t>
                  </w:r>
                </w:p>
              </w:tc>
              <w:tc>
                <w:tcPr>
                  <w:tcW w:w="505" w:type="pct"/>
                  <w:vMerge/>
                  <w:tcBorders>
                    <w:left w:val="single" w:sz="4" w:space="0" w:color="auto"/>
                    <w:bottom w:val="nil"/>
                  </w:tcBorders>
                  <w:shd w:val="clear" w:color="auto" w:fill="auto"/>
                </w:tcPr>
                <w:p w:rsidR="004F62D0" w:rsidRDefault="004F62D0" w:rsidP="004F62D0">
                  <w:pPr>
                    <w:pStyle w:val="TableText"/>
                    <w:ind w:left="720"/>
                  </w:pPr>
                </w:p>
              </w:tc>
            </w:tr>
            <w:tr w:rsidR="004F62D0" w:rsidTr="004F62D0">
              <w:trPr>
                <w:trHeight w:val="144"/>
              </w:trPr>
              <w:tc>
                <w:tcPr>
                  <w:tcW w:w="675" w:type="pct"/>
                  <w:vMerge/>
                  <w:shd w:val="clear" w:color="auto" w:fill="auto"/>
                </w:tcPr>
                <w:p w:rsidR="004F62D0" w:rsidRDefault="004F62D0" w:rsidP="004F62D0">
                  <w:pPr>
                    <w:pStyle w:val="TableText"/>
                    <w:jc w:val="center"/>
                  </w:pPr>
                </w:p>
              </w:tc>
              <w:tc>
                <w:tcPr>
                  <w:tcW w:w="4325" w:type="pct"/>
                  <w:gridSpan w:val="4"/>
                  <w:tcBorders>
                    <w:top w:val="nil"/>
                  </w:tcBorders>
                  <w:shd w:val="clear" w:color="auto" w:fill="auto"/>
                </w:tcPr>
                <w:p w:rsidR="004F62D0" w:rsidRDefault="004F62D0" w:rsidP="004F62D0">
                  <w:pPr>
                    <w:pStyle w:val="TableText"/>
                    <w:ind w:left="720"/>
                  </w:pPr>
                </w:p>
              </w:tc>
            </w:tr>
            <w:tr w:rsidR="004F62D0" w:rsidTr="00881784">
              <w:trPr>
                <w:trHeight w:val="144"/>
              </w:trPr>
              <w:tc>
                <w:tcPr>
                  <w:tcW w:w="675" w:type="pct"/>
                  <w:shd w:val="clear" w:color="auto" w:fill="auto"/>
                </w:tcPr>
                <w:p w:rsidR="004F62D0" w:rsidRDefault="004F62D0" w:rsidP="004F62D0">
                  <w:pPr>
                    <w:pStyle w:val="TableText"/>
                    <w:jc w:val="center"/>
                  </w:pPr>
                  <w:r>
                    <w:t>4</w:t>
                  </w:r>
                </w:p>
              </w:tc>
              <w:tc>
                <w:tcPr>
                  <w:tcW w:w="4325" w:type="pct"/>
                  <w:gridSpan w:val="4"/>
                  <w:shd w:val="clear" w:color="auto" w:fill="auto"/>
                </w:tcPr>
                <w:p w:rsidR="004F62D0" w:rsidRDefault="004F62D0" w:rsidP="004F62D0">
                  <w:pPr>
                    <w:pStyle w:val="TableText"/>
                    <w:numPr>
                      <w:ilvl w:val="0"/>
                      <w:numId w:val="8"/>
                    </w:numPr>
                  </w:pPr>
                  <w:r>
                    <w:t>Wipe diaphragm of a</w:t>
                  </w:r>
                  <w:r w:rsidR="00B62589">
                    <w:t xml:space="preserve">ccess port with </w:t>
                  </w:r>
                  <w:r>
                    <w:t>alcohol swab</w:t>
                  </w:r>
                </w:p>
                <w:p w:rsidR="004F62D0" w:rsidRDefault="004F62D0" w:rsidP="004F62D0">
                  <w:pPr>
                    <w:pStyle w:val="TableText"/>
                    <w:numPr>
                      <w:ilvl w:val="0"/>
                      <w:numId w:val="8"/>
                    </w:numPr>
                  </w:pPr>
                  <w:r>
                    <w:t>Gently mix bag contents</w:t>
                  </w:r>
                </w:p>
                <w:p w:rsidR="004F62D0" w:rsidRDefault="004F62D0" w:rsidP="004F62D0">
                  <w:pPr>
                    <w:pStyle w:val="TableText"/>
                    <w:numPr>
                      <w:ilvl w:val="0"/>
                      <w:numId w:val="8"/>
                    </w:numPr>
                  </w:pPr>
                  <w:r>
                    <w:t>Inv</w:t>
                  </w:r>
                  <w:r w:rsidR="00B62589">
                    <w:t>ert bag</w:t>
                  </w:r>
                </w:p>
                <w:p w:rsidR="004F62D0" w:rsidRDefault="00B62589" w:rsidP="004F62D0">
                  <w:pPr>
                    <w:pStyle w:val="TableText"/>
                    <w:numPr>
                      <w:ilvl w:val="0"/>
                      <w:numId w:val="8"/>
                    </w:numPr>
                  </w:pPr>
                  <w:r>
                    <w:t>Use 10 cc syringe to e</w:t>
                  </w:r>
                  <w:r w:rsidR="004F62D0">
                    <w:t xml:space="preserve">nter the </w:t>
                  </w:r>
                  <w:r>
                    <w:t xml:space="preserve">bag through the access port and </w:t>
                  </w:r>
                  <w:r w:rsidR="004F62D0">
                    <w:t>remove 3 to 6 ml of blood</w:t>
                  </w:r>
                </w:p>
                <w:p w:rsidR="004F62D0" w:rsidRDefault="00B62589" w:rsidP="004F62D0">
                  <w:pPr>
                    <w:pStyle w:val="TableText"/>
                    <w:numPr>
                      <w:ilvl w:val="0"/>
                      <w:numId w:val="8"/>
                    </w:numPr>
                  </w:pPr>
                  <w:r>
                    <w:t xml:space="preserve"> Leave sampler coupler in </w:t>
                  </w:r>
                  <w:r w:rsidR="004F62D0">
                    <w:t>bag.</w:t>
                  </w:r>
                </w:p>
              </w:tc>
            </w:tr>
            <w:tr w:rsidR="004F62D0" w:rsidTr="00881784">
              <w:trPr>
                <w:trHeight w:val="144"/>
              </w:trPr>
              <w:tc>
                <w:tcPr>
                  <w:tcW w:w="675" w:type="pct"/>
                  <w:shd w:val="clear" w:color="auto" w:fill="auto"/>
                </w:tcPr>
                <w:p w:rsidR="004F62D0" w:rsidRDefault="004F62D0" w:rsidP="004F62D0">
                  <w:pPr>
                    <w:pStyle w:val="TableText"/>
                    <w:jc w:val="center"/>
                  </w:pPr>
                  <w:r>
                    <w:t>5</w:t>
                  </w:r>
                </w:p>
              </w:tc>
              <w:tc>
                <w:tcPr>
                  <w:tcW w:w="4325" w:type="pct"/>
                  <w:gridSpan w:val="4"/>
                  <w:shd w:val="clear" w:color="auto" w:fill="auto"/>
                </w:tcPr>
                <w:p w:rsidR="004F62D0" w:rsidRDefault="004F62D0" w:rsidP="00B62589">
                  <w:pPr>
                    <w:pStyle w:val="TableText"/>
                    <w:numPr>
                      <w:ilvl w:val="0"/>
                      <w:numId w:val="12"/>
                    </w:numPr>
                  </w:pPr>
                  <w:r>
                    <w:t xml:space="preserve">Place 1-2 ml </w:t>
                  </w:r>
                  <w:r w:rsidR="00B62589">
                    <w:t xml:space="preserve">of specimen </w:t>
                  </w:r>
                  <w:r>
                    <w:t xml:space="preserve">in each of three (3) </w:t>
                  </w:r>
                  <w:r w:rsidR="00B62589">
                    <w:t xml:space="preserve">properly </w:t>
                  </w:r>
                  <w:r>
                    <w:t xml:space="preserve">labeled </w:t>
                  </w:r>
                  <w:proofErr w:type="spellStart"/>
                  <w:r>
                    <w:t>thioglycollate</w:t>
                  </w:r>
                  <w:proofErr w:type="spellEnd"/>
                  <w:r>
                    <w:t xml:space="preserve"> tubes</w:t>
                  </w:r>
                </w:p>
                <w:p w:rsidR="00B62589" w:rsidRDefault="00B62589" w:rsidP="00B62589">
                  <w:pPr>
                    <w:pStyle w:val="TableText"/>
                    <w:numPr>
                      <w:ilvl w:val="0"/>
                      <w:numId w:val="12"/>
                    </w:numPr>
                  </w:pPr>
                  <w:r>
                    <w:t>Leave at RT until ready for processing</w:t>
                  </w:r>
                </w:p>
              </w:tc>
            </w:tr>
            <w:tr w:rsidR="004F62D0" w:rsidTr="00881784">
              <w:trPr>
                <w:trHeight w:val="144"/>
              </w:trPr>
              <w:tc>
                <w:tcPr>
                  <w:tcW w:w="675" w:type="pct"/>
                  <w:shd w:val="clear" w:color="auto" w:fill="auto"/>
                </w:tcPr>
                <w:p w:rsidR="004F62D0" w:rsidRDefault="004F62D0" w:rsidP="004F62D0">
                  <w:pPr>
                    <w:pStyle w:val="TableText"/>
                    <w:jc w:val="center"/>
                  </w:pPr>
                  <w:r>
                    <w:t>6</w:t>
                  </w:r>
                </w:p>
              </w:tc>
              <w:tc>
                <w:tcPr>
                  <w:tcW w:w="4325" w:type="pct"/>
                  <w:gridSpan w:val="4"/>
                  <w:shd w:val="clear" w:color="auto" w:fill="auto"/>
                </w:tcPr>
                <w:p w:rsidR="004F62D0" w:rsidRDefault="004F62D0" w:rsidP="004F62D0">
                  <w:pPr>
                    <w:pStyle w:val="TableText"/>
                  </w:pPr>
                  <w:r>
                    <w:t>Place a few drops</w:t>
                  </w:r>
                  <w:r w:rsidR="00B62589">
                    <w:t xml:space="preserve"> on a glass slide and prepare </w:t>
                  </w:r>
                  <w:r>
                    <w:t>thin smear for Gram stain.</w:t>
                  </w:r>
                </w:p>
              </w:tc>
            </w:tr>
            <w:tr w:rsidR="004F62D0" w:rsidTr="00881784">
              <w:trPr>
                <w:trHeight w:val="144"/>
              </w:trPr>
              <w:tc>
                <w:tcPr>
                  <w:tcW w:w="675" w:type="pct"/>
                  <w:shd w:val="clear" w:color="auto" w:fill="auto"/>
                </w:tcPr>
                <w:p w:rsidR="004F62D0" w:rsidRDefault="004F62D0" w:rsidP="004F62D0">
                  <w:pPr>
                    <w:pStyle w:val="TableText"/>
                    <w:jc w:val="center"/>
                  </w:pPr>
                  <w:r>
                    <w:t>7</w:t>
                  </w:r>
                </w:p>
              </w:tc>
              <w:tc>
                <w:tcPr>
                  <w:tcW w:w="4325" w:type="pct"/>
                  <w:gridSpan w:val="4"/>
                  <w:shd w:val="clear" w:color="auto" w:fill="auto"/>
                </w:tcPr>
                <w:p w:rsidR="004F62D0" w:rsidRDefault="004F62D0" w:rsidP="004F62D0">
                  <w:pPr>
                    <w:pStyle w:val="TableText"/>
                  </w:pPr>
                  <w:r>
                    <w:t>Direct Examination:  Read Gram Stain ASAP</w:t>
                  </w:r>
                </w:p>
              </w:tc>
            </w:tr>
            <w:tr w:rsidR="004F62D0" w:rsidTr="00881784">
              <w:trPr>
                <w:trHeight w:val="144"/>
              </w:trPr>
              <w:tc>
                <w:tcPr>
                  <w:tcW w:w="675" w:type="pct"/>
                  <w:shd w:val="clear" w:color="auto" w:fill="auto"/>
                </w:tcPr>
                <w:p w:rsidR="004F62D0" w:rsidRDefault="004F62D0" w:rsidP="004F62D0">
                  <w:pPr>
                    <w:pStyle w:val="TableText"/>
                    <w:jc w:val="center"/>
                  </w:pPr>
                  <w:r>
                    <w:t>8</w:t>
                  </w:r>
                </w:p>
              </w:tc>
              <w:tc>
                <w:tcPr>
                  <w:tcW w:w="4325" w:type="pct"/>
                  <w:gridSpan w:val="4"/>
                  <w:shd w:val="clear" w:color="auto" w:fill="auto"/>
                </w:tcPr>
                <w:p w:rsidR="004F62D0" w:rsidRDefault="004F62D0" w:rsidP="004F62D0">
                  <w:pPr>
                    <w:pStyle w:val="TableText"/>
                  </w:pPr>
                  <w:r>
                    <w:t>Return bag to Transfusion Service for storage</w:t>
                  </w:r>
                </w:p>
              </w:tc>
            </w:tr>
            <w:tr w:rsidR="004F62D0" w:rsidTr="00881784">
              <w:trPr>
                <w:trHeight w:val="144"/>
              </w:trPr>
              <w:tc>
                <w:tcPr>
                  <w:tcW w:w="675" w:type="pct"/>
                  <w:shd w:val="clear" w:color="auto" w:fill="auto"/>
                </w:tcPr>
                <w:p w:rsidR="004F62D0" w:rsidRDefault="004F62D0" w:rsidP="004F62D0">
                  <w:pPr>
                    <w:pStyle w:val="TableText"/>
                    <w:jc w:val="center"/>
                  </w:pPr>
                  <w:r>
                    <w:t>9</w:t>
                  </w:r>
                </w:p>
              </w:tc>
              <w:tc>
                <w:tcPr>
                  <w:tcW w:w="4325" w:type="pct"/>
                  <w:gridSpan w:val="4"/>
                  <w:shd w:val="clear" w:color="auto" w:fill="auto"/>
                </w:tcPr>
                <w:p w:rsidR="004F62D0" w:rsidRDefault="004F62D0" w:rsidP="004F62D0">
                  <w:pPr>
                    <w:pStyle w:val="TableText"/>
                  </w:pPr>
                  <w:r>
                    <w:t>Send inoculated THIO tubes to Shared Lab Micro for culture workup and interpretation.</w:t>
                  </w:r>
                </w:p>
              </w:tc>
            </w:tr>
          </w:tbl>
          <w:p w:rsidR="00881784" w:rsidRPr="00881784" w:rsidRDefault="00881784" w:rsidP="00881784">
            <w:pPr>
              <w:pStyle w:val="BlockText"/>
            </w:pPr>
            <w:r>
              <w:t xml:space="preserve"> </w:t>
            </w:r>
          </w:p>
        </w:tc>
      </w:tr>
    </w:tbl>
    <w:p w:rsidR="00881784" w:rsidRPr="00DC7127" w:rsidRDefault="00881784" w:rsidP="00DC7127">
      <w:pPr>
        <w:pStyle w:val="BlockLine"/>
      </w:pPr>
    </w:p>
    <w:tbl>
      <w:tblPr>
        <w:tblW w:w="17208" w:type="dxa"/>
        <w:tblLayout w:type="fixed"/>
        <w:tblLook w:val="0000" w:firstRow="0" w:lastRow="0" w:firstColumn="0" w:lastColumn="0" w:noHBand="0" w:noVBand="0"/>
      </w:tblPr>
      <w:tblGrid>
        <w:gridCol w:w="1728"/>
        <w:gridCol w:w="7740"/>
        <w:gridCol w:w="7740"/>
      </w:tblGrid>
      <w:tr w:rsidR="0017717F" w:rsidRPr="00DC7127" w:rsidTr="0017717F">
        <w:tc>
          <w:tcPr>
            <w:tcW w:w="1728" w:type="dxa"/>
            <w:shd w:val="clear" w:color="auto" w:fill="auto"/>
          </w:tcPr>
          <w:p w:rsidR="0017717F" w:rsidRPr="00DC7127" w:rsidRDefault="0017717F" w:rsidP="0017717F">
            <w:pPr>
              <w:pStyle w:val="Heading5"/>
            </w:pPr>
            <w:r>
              <w:t>Reporting Results</w:t>
            </w:r>
          </w:p>
        </w:tc>
        <w:tc>
          <w:tcPr>
            <w:tcW w:w="7740" w:type="dxa"/>
          </w:tcPr>
          <w:p w:rsidR="0017717F" w:rsidRDefault="0017717F" w:rsidP="0017717F">
            <w:pPr>
              <w:pStyle w:val="BlockText"/>
              <w:numPr>
                <w:ilvl w:val="0"/>
                <w:numId w:val="8"/>
              </w:numPr>
            </w:pPr>
            <w:r>
              <w:t>Report gram stain results in the LIS</w:t>
            </w:r>
          </w:p>
          <w:p w:rsidR="0017717F" w:rsidRDefault="0017717F" w:rsidP="0017717F">
            <w:pPr>
              <w:pStyle w:val="BlockText"/>
              <w:numPr>
                <w:ilvl w:val="0"/>
                <w:numId w:val="8"/>
              </w:numPr>
            </w:pPr>
            <w:r>
              <w:t>Positive results will be reported to Transfusion Service immediately for physician notification.</w:t>
            </w:r>
          </w:p>
        </w:tc>
        <w:tc>
          <w:tcPr>
            <w:tcW w:w="7740" w:type="dxa"/>
            <w:shd w:val="clear" w:color="auto" w:fill="auto"/>
          </w:tcPr>
          <w:p w:rsidR="0017717F" w:rsidRPr="00DC7127" w:rsidRDefault="0017717F" w:rsidP="0017717F">
            <w:pPr>
              <w:pStyle w:val="BlockText"/>
            </w:pPr>
          </w:p>
        </w:tc>
      </w:tr>
    </w:tbl>
    <w:p w:rsidR="00DC7127" w:rsidRPr="0017717F" w:rsidRDefault="00DC7127" w:rsidP="0017717F">
      <w:pPr>
        <w:pStyle w:val="BlockLine"/>
      </w:pPr>
    </w:p>
    <w:tbl>
      <w:tblPr>
        <w:tblW w:w="9468" w:type="dxa"/>
        <w:tblLayout w:type="fixed"/>
        <w:tblLook w:val="0000" w:firstRow="0" w:lastRow="0" w:firstColumn="0" w:lastColumn="0" w:noHBand="0" w:noVBand="0"/>
      </w:tblPr>
      <w:tblGrid>
        <w:gridCol w:w="1728"/>
        <w:gridCol w:w="7740"/>
      </w:tblGrid>
      <w:tr w:rsidR="0017717F" w:rsidRPr="0017717F" w:rsidTr="0017717F">
        <w:tc>
          <w:tcPr>
            <w:tcW w:w="1728" w:type="dxa"/>
            <w:shd w:val="clear" w:color="auto" w:fill="auto"/>
          </w:tcPr>
          <w:p w:rsidR="0017717F" w:rsidRPr="0017717F" w:rsidRDefault="0017717F" w:rsidP="0017717F">
            <w:pPr>
              <w:pStyle w:val="Heading5"/>
            </w:pPr>
            <w:r>
              <w:t>Related Documents</w:t>
            </w:r>
          </w:p>
        </w:tc>
        <w:tc>
          <w:tcPr>
            <w:tcW w:w="7740" w:type="dxa"/>
            <w:shd w:val="clear" w:color="auto" w:fill="auto"/>
          </w:tcPr>
          <w:p w:rsidR="0017717F" w:rsidRPr="0017717F" w:rsidRDefault="0017717F" w:rsidP="0017717F">
            <w:pPr>
              <w:pStyle w:val="BlockText"/>
              <w:numPr>
                <w:ilvl w:val="0"/>
                <w:numId w:val="11"/>
              </w:numPr>
              <w:rPr>
                <w:i/>
              </w:rPr>
            </w:pPr>
            <w:r w:rsidRPr="0017717F">
              <w:rPr>
                <w:i/>
              </w:rPr>
              <w:t>Performing Gram Stain procedure</w:t>
            </w:r>
          </w:p>
          <w:p w:rsidR="0017717F" w:rsidRPr="00B62589" w:rsidRDefault="0017717F" w:rsidP="0017717F">
            <w:pPr>
              <w:pStyle w:val="BlockText"/>
              <w:numPr>
                <w:ilvl w:val="0"/>
                <w:numId w:val="11"/>
              </w:numPr>
            </w:pPr>
            <w:r w:rsidRPr="0017717F">
              <w:rPr>
                <w:i/>
              </w:rPr>
              <w:t>Entering Direct Exam Results</w:t>
            </w:r>
          </w:p>
          <w:p w:rsidR="00B62589" w:rsidRPr="00B62589" w:rsidRDefault="00B62589" w:rsidP="0017717F">
            <w:pPr>
              <w:pStyle w:val="BlockText"/>
              <w:numPr>
                <w:ilvl w:val="0"/>
                <w:numId w:val="11"/>
              </w:numPr>
              <w:rPr>
                <w:i/>
              </w:rPr>
            </w:pPr>
            <w:r w:rsidRPr="00B62589">
              <w:rPr>
                <w:i/>
              </w:rPr>
              <w:t>Auditing and Labeling Secondary Containers in the General Laboratory</w:t>
            </w:r>
          </w:p>
        </w:tc>
      </w:tr>
    </w:tbl>
    <w:p w:rsidR="0017717F" w:rsidRPr="0017717F" w:rsidRDefault="0017717F" w:rsidP="0017717F">
      <w:pPr>
        <w:pStyle w:val="BlockLine"/>
        <w:rPr>
          <w:i/>
        </w:rPr>
      </w:pPr>
      <w:r>
        <w:tab/>
      </w:r>
      <w:r>
        <w:tab/>
      </w:r>
      <w:r>
        <w:tab/>
      </w:r>
      <w:r>
        <w:tab/>
      </w:r>
      <w:r>
        <w:tab/>
      </w:r>
      <w:r>
        <w:tab/>
      </w:r>
      <w:r>
        <w:tab/>
      </w:r>
      <w:r>
        <w:tab/>
      </w:r>
      <w:r>
        <w:tab/>
      </w:r>
      <w:r>
        <w:tab/>
      </w:r>
      <w:r w:rsidRPr="0017717F">
        <w:rPr>
          <w:i/>
        </w:rPr>
        <w:t>End</w:t>
      </w:r>
    </w:p>
    <w:p w:rsidR="002B51E9" w:rsidRPr="002B51E9" w:rsidRDefault="002B51E9" w:rsidP="002B51E9"/>
    <w:sectPr w:rsidR="002B51E9" w:rsidRPr="002B51E9" w:rsidSect="002B51E9">
      <w:headerReference w:type="default" r:id="rId7"/>
      <w:footerReference w:type="default" r:id="rId8"/>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E9" w:rsidRDefault="002B51E9" w:rsidP="002B51E9">
      <w:r>
        <w:separator/>
      </w:r>
    </w:p>
  </w:endnote>
  <w:endnote w:type="continuationSeparator" w:id="0">
    <w:p w:rsidR="002B51E9" w:rsidRDefault="002B51E9" w:rsidP="002B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845495"/>
      <w:docPartObj>
        <w:docPartGallery w:val="Page Numbers (Bottom of Page)"/>
        <w:docPartUnique/>
      </w:docPartObj>
    </w:sdtPr>
    <w:sdtEndPr/>
    <w:sdtContent>
      <w:sdt>
        <w:sdtPr>
          <w:id w:val="1728636285"/>
          <w:docPartObj>
            <w:docPartGallery w:val="Page Numbers (Top of Page)"/>
            <w:docPartUnique/>
          </w:docPartObj>
        </w:sdtPr>
        <w:sdtEndPr/>
        <w:sdtContent>
          <w:p w:rsidR="0017717F" w:rsidRDefault="0017717F" w:rsidP="0017717F">
            <w:pPr>
              <w:pStyle w:val="Footer"/>
            </w:pPr>
            <w:r>
              <w:t>Document #</w:t>
            </w:r>
            <w:r w:rsidR="000A13F6">
              <w:t>MI.ANA02.01-/-RV.02</w:t>
            </w:r>
            <w:r>
              <w:tab/>
              <w:t xml:space="preserve">Page </w:t>
            </w:r>
            <w:r>
              <w:rPr>
                <w:b/>
                <w:bCs/>
              </w:rPr>
              <w:fldChar w:fldCharType="begin"/>
            </w:r>
            <w:r>
              <w:rPr>
                <w:b/>
                <w:bCs/>
              </w:rPr>
              <w:instrText xml:space="preserve"> PAGE </w:instrText>
            </w:r>
            <w:r>
              <w:rPr>
                <w:b/>
                <w:bCs/>
              </w:rPr>
              <w:fldChar w:fldCharType="separate"/>
            </w:r>
            <w:r w:rsidR="00DB14C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B14C1">
              <w:rPr>
                <w:b/>
                <w:bCs/>
                <w:noProof/>
              </w:rPr>
              <w:t>2</w:t>
            </w:r>
            <w:r>
              <w:rPr>
                <w:b/>
                <w:bCs/>
              </w:rPr>
              <w:fldChar w:fldCharType="end"/>
            </w:r>
          </w:p>
        </w:sdtContent>
      </w:sdt>
    </w:sdtContent>
  </w:sdt>
  <w:p w:rsidR="0017717F" w:rsidRDefault="00177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E9" w:rsidRDefault="002B51E9" w:rsidP="002B51E9">
      <w:r>
        <w:separator/>
      </w:r>
    </w:p>
  </w:footnote>
  <w:footnote w:type="continuationSeparator" w:id="0">
    <w:p w:rsidR="002B51E9" w:rsidRDefault="002B51E9" w:rsidP="002B5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E9" w:rsidRDefault="002B51E9">
    <w:pPr>
      <w:pStyle w:val="Header"/>
    </w:pPr>
    <w:r>
      <w:t>Sutter Roseville Med</w:t>
    </w:r>
    <w:r w:rsidR="00EC0B8F">
      <w:t>ical Center</w:t>
    </w:r>
    <w:r w:rsidR="00EC0B8F">
      <w:tab/>
    </w:r>
    <w:r w:rsidR="00EC0B8F">
      <w:tab/>
      <w:t>Effective Date: 2/21</w:t>
    </w:r>
    <w:r>
      <w:t>/18</w:t>
    </w:r>
  </w:p>
  <w:p w:rsidR="002B51E9" w:rsidRDefault="002B51E9">
    <w:pPr>
      <w:pStyle w:val="Header"/>
    </w:pPr>
    <w: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90150"/>
    <w:multiLevelType w:val="hybridMultilevel"/>
    <w:tmpl w:val="B716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D1DA9"/>
    <w:multiLevelType w:val="hybridMultilevel"/>
    <w:tmpl w:val="41D0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E1ABB"/>
    <w:multiLevelType w:val="hybridMultilevel"/>
    <w:tmpl w:val="612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757C8"/>
    <w:multiLevelType w:val="hybridMultilevel"/>
    <w:tmpl w:val="DE60A096"/>
    <w:lvl w:ilvl="0" w:tplc="2576A8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A07AA"/>
    <w:multiLevelType w:val="hybridMultilevel"/>
    <w:tmpl w:val="8532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4A18CB"/>
    <w:multiLevelType w:val="hybridMultilevel"/>
    <w:tmpl w:val="03BA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B0FFB"/>
    <w:multiLevelType w:val="hybridMultilevel"/>
    <w:tmpl w:val="74A6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26406A"/>
    <w:multiLevelType w:val="hybridMultilevel"/>
    <w:tmpl w:val="DFA2D428"/>
    <w:lvl w:ilvl="0" w:tplc="0409000F">
      <w:start w:val="1"/>
      <w:numFmt w:val="decimal"/>
      <w:lvlText w:val="%1."/>
      <w:lvlJc w:val="left"/>
      <w:pPr>
        <w:tabs>
          <w:tab w:val="num" w:pos="720"/>
        </w:tabs>
        <w:ind w:left="720" w:hanging="360"/>
      </w:pPr>
    </w:lvl>
    <w:lvl w:ilvl="1" w:tplc="2576A896">
      <w:start w:val="1"/>
      <w:numFmt w:val="bullet"/>
      <w:lvlText w:val=""/>
      <w:lvlJc w:val="left"/>
      <w:pPr>
        <w:tabs>
          <w:tab w:val="num" w:pos="1440"/>
        </w:tabs>
        <w:ind w:left="1440" w:hanging="360"/>
      </w:pPr>
      <w:rPr>
        <w:rFonts w:ascii="Symbol" w:hAnsi="Symbol" w:hint="default"/>
      </w:rPr>
    </w:lvl>
    <w:lvl w:ilvl="2" w:tplc="8B5CC94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0"/>
  </w:num>
  <w:num w:numId="4">
    <w:abstractNumId w:val="6"/>
  </w:num>
  <w:num w:numId="5">
    <w:abstractNumId w:val="3"/>
  </w:num>
  <w:num w:numId="6">
    <w:abstractNumId w:val="7"/>
  </w:num>
  <w:num w:numId="7">
    <w:abstractNumId w:val="4"/>
  </w:num>
  <w:num w:numId="8">
    <w:abstractNumId w:val="1"/>
  </w:num>
  <w:num w:numId="9">
    <w:abstractNumId w:val="11"/>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E9"/>
    <w:rsid w:val="000A13F6"/>
    <w:rsid w:val="0017717F"/>
    <w:rsid w:val="002B51E9"/>
    <w:rsid w:val="003612C0"/>
    <w:rsid w:val="00476793"/>
    <w:rsid w:val="004F4CF6"/>
    <w:rsid w:val="004F62D0"/>
    <w:rsid w:val="006D1540"/>
    <w:rsid w:val="00774264"/>
    <w:rsid w:val="0084431B"/>
    <w:rsid w:val="00881784"/>
    <w:rsid w:val="00B27CE0"/>
    <w:rsid w:val="00B62589"/>
    <w:rsid w:val="00DB14C1"/>
    <w:rsid w:val="00DC7127"/>
    <w:rsid w:val="00EC0B8F"/>
    <w:rsid w:val="00EF1250"/>
    <w:rsid w:val="00F4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8671A3-1377-4CEE-87A5-D649FF23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E9"/>
    <w:rPr>
      <w:color w:val="000000"/>
      <w:sz w:val="24"/>
      <w:szCs w:val="24"/>
    </w:rPr>
  </w:style>
  <w:style w:type="paragraph" w:styleId="Heading1">
    <w:name w:val="heading 1"/>
    <w:aliases w:val="Part Title"/>
    <w:basedOn w:val="Normal"/>
    <w:next w:val="Heading4"/>
    <w:qFormat/>
    <w:rsid w:val="002B51E9"/>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2B51E9"/>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2B51E9"/>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2B51E9"/>
    <w:pPr>
      <w:spacing w:after="240"/>
      <w:outlineLvl w:val="3"/>
    </w:pPr>
    <w:rPr>
      <w:rFonts w:ascii="Arial" w:hAnsi="Arial" w:cs="Arial"/>
      <w:b/>
      <w:sz w:val="32"/>
      <w:szCs w:val="20"/>
    </w:rPr>
  </w:style>
  <w:style w:type="paragraph" w:styleId="Heading5">
    <w:name w:val="heading 5"/>
    <w:aliases w:val="Block Label"/>
    <w:basedOn w:val="Normal"/>
    <w:qFormat/>
    <w:rsid w:val="002B51E9"/>
    <w:pPr>
      <w:outlineLvl w:val="4"/>
    </w:pPr>
    <w:rPr>
      <w:b/>
      <w:sz w:val="22"/>
      <w:szCs w:val="20"/>
    </w:rPr>
  </w:style>
  <w:style w:type="paragraph" w:styleId="Heading6">
    <w:name w:val="heading 6"/>
    <w:aliases w:val="Sub Label"/>
    <w:basedOn w:val="Heading5"/>
    <w:next w:val="BlockText"/>
    <w:qFormat/>
    <w:rsid w:val="002B51E9"/>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2B51E9"/>
    <w:pPr>
      <w:pBdr>
        <w:top w:val="single" w:sz="6" w:space="1" w:color="auto"/>
        <w:between w:val="single" w:sz="6" w:space="1" w:color="auto"/>
      </w:pBdr>
      <w:spacing w:before="240"/>
      <w:ind w:left="1728"/>
    </w:pPr>
    <w:rPr>
      <w:szCs w:val="20"/>
    </w:rPr>
  </w:style>
  <w:style w:type="paragraph" w:styleId="BlockText">
    <w:name w:val="Block Text"/>
    <w:basedOn w:val="Normal"/>
    <w:rsid w:val="002B51E9"/>
  </w:style>
  <w:style w:type="paragraph" w:customStyle="1" w:styleId="BulletText1">
    <w:name w:val="Bullet Text 1"/>
    <w:basedOn w:val="Normal"/>
    <w:rsid w:val="002B51E9"/>
    <w:pPr>
      <w:numPr>
        <w:numId w:val="1"/>
      </w:numPr>
    </w:pPr>
    <w:rPr>
      <w:szCs w:val="20"/>
    </w:rPr>
  </w:style>
  <w:style w:type="paragraph" w:customStyle="1" w:styleId="BulletText2">
    <w:name w:val="Bullet Text 2"/>
    <w:basedOn w:val="Normal"/>
    <w:rsid w:val="002B51E9"/>
    <w:pPr>
      <w:numPr>
        <w:numId w:val="2"/>
      </w:numPr>
    </w:pPr>
    <w:rPr>
      <w:szCs w:val="20"/>
    </w:rPr>
  </w:style>
  <w:style w:type="paragraph" w:customStyle="1" w:styleId="BulletText3">
    <w:name w:val="Bullet Text 3"/>
    <w:basedOn w:val="Normal"/>
    <w:rsid w:val="002B51E9"/>
    <w:pPr>
      <w:numPr>
        <w:numId w:val="3"/>
      </w:numPr>
    </w:pPr>
  </w:style>
  <w:style w:type="paragraph" w:customStyle="1" w:styleId="ContinuedBlockLabel">
    <w:name w:val="Continued Block Label"/>
    <w:basedOn w:val="Normal"/>
    <w:next w:val="Normal"/>
    <w:rsid w:val="002B51E9"/>
    <w:pPr>
      <w:spacing w:after="240"/>
    </w:pPr>
    <w:rPr>
      <w:b/>
      <w:sz w:val="22"/>
      <w:szCs w:val="20"/>
    </w:rPr>
  </w:style>
  <w:style w:type="paragraph" w:customStyle="1" w:styleId="ContinuedOnNextPa">
    <w:name w:val="Continued On Next Pa"/>
    <w:basedOn w:val="Normal"/>
    <w:next w:val="Normal"/>
    <w:rsid w:val="002B51E9"/>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2B51E9"/>
    <w:pPr>
      <w:spacing w:after="240"/>
    </w:pPr>
    <w:rPr>
      <w:b/>
      <w:sz w:val="22"/>
      <w:szCs w:val="20"/>
    </w:rPr>
  </w:style>
  <w:style w:type="paragraph" w:customStyle="1" w:styleId="EmbeddedText">
    <w:name w:val="Embedded Text"/>
    <w:basedOn w:val="Normal"/>
    <w:rsid w:val="002B51E9"/>
    <w:rPr>
      <w:szCs w:val="20"/>
    </w:rPr>
  </w:style>
  <w:style w:type="character" w:styleId="HTMLAcronym">
    <w:name w:val="HTML Acronym"/>
    <w:basedOn w:val="DefaultParagraphFont"/>
    <w:rsid w:val="00F4087F"/>
  </w:style>
  <w:style w:type="paragraph" w:customStyle="1" w:styleId="IMTOC">
    <w:name w:val="IMTOC"/>
    <w:rsid w:val="00F4087F"/>
    <w:rPr>
      <w:sz w:val="24"/>
    </w:rPr>
  </w:style>
  <w:style w:type="paragraph" w:customStyle="1" w:styleId="MapTitleContinued">
    <w:name w:val="Map Title. Continued"/>
    <w:basedOn w:val="Normal"/>
    <w:next w:val="Normal"/>
    <w:rsid w:val="002B51E9"/>
    <w:pPr>
      <w:spacing w:after="240"/>
    </w:pPr>
    <w:rPr>
      <w:rFonts w:ascii="Arial" w:hAnsi="Arial" w:cs="Arial"/>
      <w:b/>
      <w:sz w:val="32"/>
      <w:szCs w:val="20"/>
    </w:rPr>
  </w:style>
  <w:style w:type="paragraph" w:customStyle="1" w:styleId="MemoLine">
    <w:name w:val="Memo Line"/>
    <w:basedOn w:val="BlockLine"/>
    <w:next w:val="Normal"/>
    <w:rsid w:val="002B51E9"/>
    <w:pPr>
      <w:ind w:left="0"/>
    </w:pPr>
  </w:style>
  <w:style w:type="paragraph" w:customStyle="1" w:styleId="NoteText">
    <w:name w:val="Note Text"/>
    <w:basedOn w:val="Normal"/>
    <w:rsid w:val="002B51E9"/>
    <w:rPr>
      <w:szCs w:val="20"/>
    </w:rPr>
  </w:style>
  <w:style w:type="paragraph" w:customStyle="1" w:styleId="PublicationTitle">
    <w:name w:val="Publication Title"/>
    <w:basedOn w:val="Normal"/>
    <w:next w:val="Heading4"/>
    <w:rsid w:val="002B51E9"/>
    <w:pPr>
      <w:spacing w:after="240"/>
      <w:jc w:val="center"/>
    </w:pPr>
    <w:rPr>
      <w:rFonts w:ascii="Arial" w:hAnsi="Arial" w:cs="Arial"/>
      <w:b/>
      <w:sz w:val="32"/>
      <w:szCs w:val="20"/>
    </w:rPr>
  </w:style>
  <w:style w:type="paragraph" w:customStyle="1" w:styleId="TableHeaderText">
    <w:name w:val="Table Header Text"/>
    <w:basedOn w:val="Normal"/>
    <w:rsid w:val="002B51E9"/>
    <w:pPr>
      <w:jc w:val="center"/>
    </w:pPr>
    <w:rPr>
      <w:b/>
      <w:szCs w:val="20"/>
    </w:rPr>
  </w:style>
  <w:style w:type="paragraph" w:customStyle="1" w:styleId="TableText">
    <w:name w:val="Table Text"/>
    <w:basedOn w:val="Normal"/>
    <w:rsid w:val="002B51E9"/>
    <w:rPr>
      <w:szCs w:val="20"/>
    </w:rPr>
  </w:style>
  <w:style w:type="paragraph" w:customStyle="1" w:styleId="TOCTitle">
    <w:name w:val="TOC Title"/>
    <w:basedOn w:val="Normal"/>
    <w:rsid w:val="002B51E9"/>
    <w:pPr>
      <w:widowControl w:val="0"/>
    </w:pPr>
    <w:rPr>
      <w:rFonts w:ascii="Arial" w:hAnsi="Arial" w:cs="Arial"/>
      <w:b/>
      <w:sz w:val="32"/>
      <w:szCs w:val="20"/>
    </w:rPr>
  </w:style>
  <w:style w:type="paragraph" w:customStyle="1" w:styleId="TOCItem">
    <w:name w:val="TOCItem"/>
    <w:basedOn w:val="Normal"/>
    <w:rsid w:val="00F4087F"/>
    <w:pPr>
      <w:tabs>
        <w:tab w:val="left" w:leader="dot" w:pos="7061"/>
        <w:tab w:val="right" w:pos="7524"/>
      </w:tabs>
      <w:spacing w:before="60" w:after="60"/>
      <w:ind w:right="465"/>
    </w:pPr>
    <w:rPr>
      <w:szCs w:val="20"/>
    </w:rPr>
  </w:style>
  <w:style w:type="paragraph" w:customStyle="1" w:styleId="TOCStem">
    <w:name w:val="TOCStem"/>
    <w:basedOn w:val="Normal"/>
    <w:rsid w:val="00F4087F"/>
    <w:rPr>
      <w:szCs w:val="20"/>
    </w:rPr>
  </w:style>
  <w:style w:type="paragraph" w:styleId="Header">
    <w:name w:val="header"/>
    <w:basedOn w:val="Normal"/>
    <w:link w:val="HeaderChar"/>
    <w:rsid w:val="002B51E9"/>
    <w:pPr>
      <w:tabs>
        <w:tab w:val="center" w:pos="4680"/>
        <w:tab w:val="right" w:pos="9360"/>
      </w:tabs>
    </w:pPr>
  </w:style>
  <w:style w:type="character" w:customStyle="1" w:styleId="HeaderChar">
    <w:name w:val="Header Char"/>
    <w:basedOn w:val="DefaultParagraphFont"/>
    <w:link w:val="Header"/>
    <w:rsid w:val="002B51E9"/>
    <w:rPr>
      <w:color w:val="000000"/>
      <w:sz w:val="24"/>
      <w:szCs w:val="24"/>
    </w:rPr>
  </w:style>
  <w:style w:type="paragraph" w:styleId="Footer">
    <w:name w:val="footer"/>
    <w:basedOn w:val="Normal"/>
    <w:link w:val="FooterChar"/>
    <w:uiPriority w:val="99"/>
    <w:rsid w:val="002B51E9"/>
    <w:pPr>
      <w:tabs>
        <w:tab w:val="center" w:pos="4680"/>
        <w:tab w:val="right" w:pos="9360"/>
      </w:tabs>
    </w:pPr>
  </w:style>
  <w:style w:type="character" w:customStyle="1" w:styleId="FooterChar">
    <w:name w:val="Footer Char"/>
    <w:basedOn w:val="DefaultParagraphFont"/>
    <w:link w:val="Footer"/>
    <w:uiPriority w:val="99"/>
    <w:rsid w:val="002B51E9"/>
    <w:rPr>
      <w:color w:val="000000"/>
      <w:sz w:val="24"/>
      <w:szCs w:val="24"/>
    </w:rPr>
  </w:style>
  <w:style w:type="table" w:styleId="TableGrid">
    <w:name w:val="Table Grid"/>
    <w:basedOn w:val="TableNormal"/>
    <w:rsid w:val="002B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2589"/>
    <w:rPr>
      <w:rFonts w:ascii="Segoe UI" w:hAnsi="Segoe UI" w:cs="Segoe UI"/>
      <w:sz w:val="18"/>
      <w:szCs w:val="18"/>
    </w:rPr>
  </w:style>
  <w:style w:type="character" w:customStyle="1" w:styleId="BalloonTextChar">
    <w:name w:val="Balloon Text Char"/>
    <w:basedOn w:val="DefaultParagraphFont"/>
    <w:link w:val="BalloonText"/>
    <w:rsid w:val="00B6258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FSPro</Template>
  <TotalTime>154</TotalTime>
  <Pages>2</Pages>
  <Words>350</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alba</dc:creator>
  <cp:keywords/>
  <dc:description/>
  <cp:lastModifiedBy>Alba, Alex</cp:lastModifiedBy>
  <cp:revision>9</cp:revision>
  <cp:lastPrinted>2018-02-22T03:03:00Z</cp:lastPrinted>
  <dcterms:created xsi:type="dcterms:W3CDTF">2018-02-17T01:33:00Z</dcterms:created>
  <dcterms:modified xsi:type="dcterms:W3CDTF">2018-02-22T04:05:00Z</dcterms:modified>
</cp:coreProperties>
</file>