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A9" w:rsidRDefault="00CD35A9" w:rsidP="00CD35A9">
      <w:pPr>
        <w:pStyle w:val="Heading4"/>
      </w:pPr>
      <w:r>
        <w:t xml:space="preserve">Managing DARA Patient Testing and Transfusion Requests </w:t>
      </w:r>
    </w:p>
    <w:p w:rsidR="00CD35A9" w:rsidRPr="00CD35A9" w:rsidRDefault="00CD35A9" w:rsidP="00CD35A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D35A9" w:rsidRPr="00CD35A9" w:rsidTr="00CD35A9">
        <w:tc>
          <w:tcPr>
            <w:tcW w:w="1728" w:type="dxa"/>
            <w:shd w:val="clear" w:color="auto" w:fill="auto"/>
          </w:tcPr>
          <w:p w:rsidR="00CD35A9" w:rsidRPr="00CD35A9" w:rsidRDefault="00CD35A9" w:rsidP="00CD35A9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CD35A9" w:rsidRPr="00CD35A9" w:rsidRDefault="00CD35A9" w:rsidP="00CD35A9">
            <w:pPr>
              <w:pStyle w:val="BlockText"/>
            </w:pPr>
            <w:r>
              <w:t xml:space="preserve">Provide instructions for the management of blood product orders and testing for patients on </w:t>
            </w:r>
            <w:r w:rsidR="003043BD">
              <w:t>Daratumumab/Darazalex (</w:t>
            </w:r>
            <w:r>
              <w:t>DARA</w:t>
            </w:r>
            <w:r w:rsidR="003043BD">
              <w:t>)</w:t>
            </w:r>
            <w:r>
              <w:t xml:space="preserve"> treatment protocol.</w:t>
            </w:r>
          </w:p>
        </w:tc>
      </w:tr>
    </w:tbl>
    <w:p w:rsidR="00CD35A9" w:rsidRPr="00CD35A9" w:rsidRDefault="00CD35A9" w:rsidP="00CD35A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D35A9" w:rsidRPr="00CD35A9" w:rsidTr="00CD35A9">
        <w:tc>
          <w:tcPr>
            <w:tcW w:w="1728" w:type="dxa"/>
            <w:shd w:val="clear" w:color="auto" w:fill="auto"/>
          </w:tcPr>
          <w:p w:rsidR="00CD35A9" w:rsidRPr="00CD35A9" w:rsidRDefault="00CD35A9" w:rsidP="00CD35A9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CD35A9" w:rsidRDefault="00CD35A9" w:rsidP="00CD35A9">
            <w:pPr>
              <w:pStyle w:val="BulletText1"/>
            </w:pPr>
            <w:r>
              <w:t>When the physician orders a type and screen on a new multiple myeloma patient they will</w:t>
            </w:r>
            <w:r w:rsidR="00894740">
              <w:t>/should</w:t>
            </w:r>
            <w:r>
              <w:t xml:space="preserve"> add a comment stating the patient is a potential candidate for DARA. </w:t>
            </w:r>
          </w:p>
          <w:p w:rsidR="004832C8" w:rsidRDefault="003043BD" w:rsidP="003043BD">
            <w:pPr>
              <w:pStyle w:val="BulletText3"/>
            </w:pPr>
            <w:r>
              <w:t>Transfusion Service staff will order a phenotype on the patient from BloodSource reference laboratory</w:t>
            </w:r>
            <w:r w:rsidR="00B744E7">
              <w:t>; a genotype may be ordered if patient recently transfused.</w:t>
            </w:r>
          </w:p>
          <w:p w:rsidR="00B744E7" w:rsidRDefault="00B744E7" w:rsidP="003043BD">
            <w:pPr>
              <w:pStyle w:val="BulletText3"/>
            </w:pPr>
            <w:r>
              <w:t>Enter a chartable comment (BBC) and PB (post to BAD file) in Sunquest</w:t>
            </w:r>
            <w:r w:rsidR="00A90D84">
              <w:t>. Result with ETC DARA (Anti- CD38. Patient receiving Daratumumab</w:t>
            </w:r>
            <w:r>
              <w:t xml:space="preserve"> </w:t>
            </w:r>
            <w:r w:rsidR="00A90D84">
              <w:t>therapy.)</w:t>
            </w:r>
          </w:p>
          <w:p w:rsidR="008D237A" w:rsidRPr="00CD35A9" w:rsidRDefault="004832C8" w:rsidP="00894740">
            <w:pPr>
              <w:pStyle w:val="BulletText1"/>
            </w:pPr>
            <w:r>
              <w:t>DARA can take up to 6 months to clear the patient’s system so follow up inquiries by the laboratory are required to ensure the patient reactivity is due to the treatment.</w:t>
            </w:r>
            <w:r w:rsidR="003043BD">
              <w:t xml:space="preserve"> </w:t>
            </w:r>
            <w:r w:rsidR="008D237A">
              <w:t xml:space="preserve"> </w:t>
            </w:r>
          </w:p>
        </w:tc>
      </w:tr>
    </w:tbl>
    <w:p w:rsidR="00CD35A9" w:rsidRPr="00CD35A9" w:rsidRDefault="00CD35A9" w:rsidP="00CD35A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D35A9" w:rsidRPr="00CD35A9" w:rsidTr="00CD35A9">
        <w:trPr>
          <w:trHeight w:val="240"/>
        </w:trPr>
        <w:tc>
          <w:tcPr>
            <w:tcW w:w="1728" w:type="dxa"/>
            <w:shd w:val="clear" w:color="auto" w:fill="auto"/>
          </w:tcPr>
          <w:p w:rsidR="00CD35A9" w:rsidRPr="00CD35A9" w:rsidRDefault="00CD35A9" w:rsidP="00CD35A9">
            <w:pPr>
              <w:pStyle w:val="Heading5"/>
            </w:pPr>
            <w:r>
              <w:t xml:space="preserve">Testing and Blood Product Orders </w:t>
            </w:r>
          </w:p>
        </w:tc>
        <w:tc>
          <w:tcPr>
            <w:tcW w:w="7740" w:type="dxa"/>
            <w:shd w:val="clear" w:color="auto" w:fill="auto"/>
          </w:tcPr>
          <w:p w:rsidR="00CD35A9" w:rsidRDefault="00CD35A9" w:rsidP="00CD35A9">
            <w:pPr>
              <w:pStyle w:val="BlockText"/>
            </w:pPr>
            <w:r>
              <w:t xml:space="preserve">Follow the steps below for a patient that has been identified as a potential candidate for DARA treatment or for patients </w:t>
            </w:r>
            <w:r w:rsidR="00894740">
              <w:t>reacting with all cells.</w:t>
            </w:r>
          </w:p>
          <w:p w:rsidR="00CD35A9" w:rsidRPr="00CD35A9" w:rsidRDefault="00CD35A9" w:rsidP="00CD35A9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CD35A9" w:rsidTr="00CD35A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D35A9" w:rsidRDefault="00CD35A9" w:rsidP="00CD35A9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D35A9" w:rsidRDefault="00CD35A9" w:rsidP="00CD35A9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CD35A9" w:rsidTr="00CD35A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D35A9" w:rsidRDefault="00B744E7" w:rsidP="00CD35A9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D35A9" w:rsidRDefault="008824B3" w:rsidP="00CD35A9">
                  <w:pPr>
                    <w:pStyle w:val="TableText"/>
                  </w:pPr>
                  <w:r>
                    <w:t>If patent has not been previously identified as a DARA patient, c</w:t>
                  </w:r>
                  <w:r w:rsidR="004832C8">
                    <w:t>all the patients nurse or physician to inquire whether t</w:t>
                  </w:r>
                  <w:r w:rsidR="003043BD">
                    <w:t xml:space="preserve">he patient is </w:t>
                  </w:r>
                  <w:r w:rsidR="004832C8">
                    <w:t xml:space="preserve">currently on </w:t>
                  </w:r>
                  <w:r w:rsidR="003043BD">
                    <w:t>DARA</w:t>
                  </w:r>
                  <w:r>
                    <w:t xml:space="preserve">, </w:t>
                  </w:r>
                  <w:r w:rsidR="003043BD">
                    <w:t>once the following test results are present</w:t>
                  </w:r>
                  <w:r w:rsidR="004832C8">
                    <w:t xml:space="preserve"> (strength of reactivity is not relevant)</w:t>
                  </w:r>
                  <w:r w:rsidR="003043BD">
                    <w:t>:</w:t>
                  </w:r>
                </w:p>
                <w:p w:rsidR="004832C8" w:rsidRDefault="004832C8" w:rsidP="00CD35A9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8"/>
                    <w:gridCol w:w="3129"/>
                  </w:tblGrid>
                  <w:tr w:rsidR="003043BD" w:rsidTr="003043BD">
                    <w:tc>
                      <w:tcPr>
                        <w:tcW w:w="3128" w:type="dxa"/>
                        <w:shd w:val="clear" w:color="auto" w:fill="auto"/>
                      </w:tcPr>
                      <w:p w:rsidR="003043BD" w:rsidRDefault="004832C8" w:rsidP="004832C8">
                        <w:pPr>
                          <w:pStyle w:val="TableHeaderText"/>
                          <w:jc w:val="left"/>
                        </w:pPr>
                        <w:r>
                          <w:t>Test …</w:t>
                        </w:r>
                      </w:p>
                    </w:tc>
                    <w:tc>
                      <w:tcPr>
                        <w:tcW w:w="3129" w:type="dxa"/>
                        <w:shd w:val="clear" w:color="auto" w:fill="auto"/>
                      </w:tcPr>
                      <w:p w:rsidR="003043BD" w:rsidRDefault="004832C8" w:rsidP="003043BD">
                        <w:pPr>
                          <w:pStyle w:val="TableHeaderText"/>
                          <w:jc w:val="left"/>
                        </w:pPr>
                        <w:r>
                          <w:t>Result…</w:t>
                        </w:r>
                      </w:p>
                    </w:tc>
                  </w:tr>
                  <w:tr w:rsidR="003043BD" w:rsidTr="003043BD">
                    <w:tc>
                      <w:tcPr>
                        <w:tcW w:w="3128" w:type="dxa"/>
                        <w:shd w:val="clear" w:color="auto" w:fill="auto"/>
                      </w:tcPr>
                      <w:p w:rsidR="003043BD" w:rsidRDefault="004832C8" w:rsidP="003043BD">
                        <w:pPr>
                          <w:pStyle w:val="EmbeddedText"/>
                        </w:pPr>
                        <w:r>
                          <w:t>Echo screen</w:t>
                        </w:r>
                        <w:r w:rsidR="00F961D3">
                          <w:t xml:space="preserve"> and panel</w:t>
                        </w:r>
                        <w:r>
                          <w:t xml:space="preserve"> and PEG screen</w:t>
                        </w:r>
                      </w:p>
                    </w:tc>
                    <w:tc>
                      <w:tcPr>
                        <w:tcW w:w="3129" w:type="dxa"/>
                        <w:shd w:val="clear" w:color="auto" w:fill="auto"/>
                      </w:tcPr>
                      <w:p w:rsidR="003043BD" w:rsidRDefault="004832C8" w:rsidP="003043BD">
                        <w:pPr>
                          <w:pStyle w:val="EmbeddedText"/>
                        </w:pPr>
                        <w:r>
                          <w:t>ALL positive</w:t>
                        </w:r>
                      </w:p>
                    </w:tc>
                  </w:tr>
                  <w:tr w:rsidR="003043BD" w:rsidTr="003043BD">
                    <w:tc>
                      <w:tcPr>
                        <w:tcW w:w="3128" w:type="dxa"/>
                        <w:shd w:val="clear" w:color="auto" w:fill="auto"/>
                      </w:tcPr>
                      <w:p w:rsidR="003043BD" w:rsidRDefault="004832C8" w:rsidP="004832C8">
                        <w:pPr>
                          <w:pStyle w:val="EmbeddedText"/>
                        </w:pPr>
                        <w:r>
                          <w:t xml:space="preserve">PEG screen </w:t>
                        </w:r>
                        <w:r w:rsidR="00F961D3">
                          <w:t>and panel</w:t>
                        </w:r>
                      </w:p>
                    </w:tc>
                    <w:tc>
                      <w:tcPr>
                        <w:tcW w:w="3129" w:type="dxa"/>
                        <w:shd w:val="clear" w:color="auto" w:fill="auto"/>
                      </w:tcPr>
                      <w:p w:rsidR="003043BD" w:rsidRDefault="004832C8" w:rsidP="003043BD">
                        <w:pPr>
                          <w:pStyle w:val="EmbeddedText"/>
                        </w:pPr>
                        <w:r>
                          <w:t>ALL positive</w:t>
                        </w:r>
                      </w:p>
                    </w:tc>
                  </w:tr>
                  <w:tr w:rsidR="004832C8" w:rsidTr="003043BD">
                    <w:tc>
                      <w:tcPr>
                        <w:tcW w:w="3128" w:type="dxa"/>
                        <w:shd w:val="clear" w:color="auto" w:fill="auto"/>
                      </w:tcPr>
                      <w:p w:rsidR="004832C8" w:rsidRDefault="004832C8" w:rsidP="003043BD">
                        <w:pPr>
                          <w:pStyle w:val="EmbeddedText"/>
                        </w:pPr>
                        <w:r>
                          <w:t>Antibody Panel by any method</w:t>
                        </w:r>
                      </w:p>
                    </w:tc>
                    <w:tc>
                      <w:tcPr>
                        <w:tcW w:w="3129" w:type="dxa"/>
                        <w:shd w:val="clear" w:color="auto" w:fill="auto"/>
                      </w:tcPr>
                      <w:p w:rsidR="004832C8" w:rsidRDefault="004832C8" w:rsidP="003043BD">
                        <w:pPr>
                          <w:pStyle w:val="EmbeddedText"/>
                        </w:pPr>
                        <w:r>
                          <w:t xml:space="preserve">ALL positive </w:t>
                        </w:r>
                      </w:p>
                    </w:tc>
                  </w:tr>
                </w:tbl>
                <w:p w:rsidR="003043BD" w:rsidRDefault="003043BD" w:rsidP="00CD35A9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</w:tbl>
          <w:p w:rsidR="00CD35A9" w:rsidRPr="00CD35A9" w:rsidRDefault="00CD35A9" w:rsidP="00CD35A9">
            <w:pPr>
              <w:pStyle w:val="BlockText"/>
            </w:pPr>
            <w:r>
              <w:t xml:space="preserve"> </w:t>
            </w:r>
          </w:p>
        </w:tc>
      </w:tr>
    </w:tbl>
    <w:p w:rsidR="0046236F" w:rsidRDefault="0046236F" w:rsidP="0046236F">
      <w:pPr>
        <w:pStyle w:val="ContinuedOnNextPa"/>
      </w:pPr>
      <w:r>
        <w:t>Continued on next page</w:t>
      </w:r>
    </w:p>
    <w:p w:rsidR="00547F4A" w:rsidRDefault="00547F4A">
      <w:pPr>
        <w:rPr>
          <w:rFonts w:ascii="Arial" w:hAnsi="Arial" w:cs="Arial"/>
          <w:b/>
          <w:sz w:val="32"/>
          <w:szCs w:val="20"/>
        </w:rPr>
      </w:pPr>
      <w:r>
        <w:br w:type="page"/>
      </w:r>
    </w:p>
    <w:p w:rsidR="0046236F" w:rsidRDefault="008E2BD4" w:rsidP="0046236F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 w:rsidR="0046236F" w:rsidRPr="0046236F">
        <w:rPr>
          <w:noProof/>
        </w:rPr>
        <w:t>Managing DARA Patient Testing and Transfusion Requests</w:t>
      </w:r>
      <w:r>
        <w:rPr>
          <w:noProof/>
        </w:rPr>
        <w:fldChar w:fldCharType="end"/>
      </w:r>
      <w:r w:rsidR="0046236F" w:rsidRPr="0046236F">
        <w:t xml:space="preserve">, </w:t>
      </w:r>
      <w:r w:rsidR="0046236F" w:rsidRPr="0046236F">
        <w:rPr>
          <w:b w:val="0"/>
          <w:sz w:val="24"/>
        </w:rPr>
        <w:t>Continued</w:t>
      </w:r>
    </w:p>
    <w:p w:rsidR="0046236F" w:rsidRPr="0046236F" w:rsidRDefault="0046236F" w:rsidP="0046236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6236F" w:rsidRPr="0046236F" w:rsidTr="0046236F">
        <w:tc>
          <w:tcPr>
            <w:tcW w:w="1728" w:type="dxa"/>
            <w:shd w:val="clear" w:color="auto" w:fill="auto"/>
          </w:tcPr>
          <w:p w:rsidR="0046236F" w:rsidRPr="0046236F" w:rsidRDefault="008E2BD4" w:rsidP="0046236F">
            <w:pPr>
              <w:pStyle w:val="ContinuedBlockLabel"/>
            </w:pPr>
            <w:r>
              <w:fldChar w:fldCharType="begin"/>
            </w:r>
            <w:r>
              <w:instrText xml:space="preserve"> STYLEREF "Block Label" </w:instrText>
            </w:r>
            <w:r>
              <w:fldChar w:fldCharType="separate"/>
            </w:r>
            <w:r w:rsidR="0046236F">
              <w:rPr>
                <w:noProof/>
              </w:rPr>
              <w:t>Testing and Blood Product Orders</w:t>
            </w:r>
            <w:r>
              <w:rPr>
                <w:noProof/>
              </w:rPr>
              <w:fldChar w:fldCharType="end"/>
            </w:r>
            <w:r w:rsidR="0046236F">
              <w:t xml:space="preserve"> </w:t>
            </w:r>
            <w:r w:rsidR="0046236F" w:rsidRPr="0046236F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46236F" w:rsidRDefault="0046236F" w:rsidP="0046236F"/>
          <w:tbl>
            <w:tblPr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46236F" w:rsidTr="0092569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6236F" w:rsidRDefault="0046236F" w:rsidP="00925696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6236F" w:rsidRDefault="0046236F" w:rsidP="00925696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46236F" w:rsidTr="0046236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6236F" w:rsidRDefault="00B744E7" w:rsidP="0046236F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6236F" w:rsidRDefault="0046236F" w:rsidP="00925696">
                  <w:pPr>
                    <w:pStyle w:val="TableText"/>
                  </w:pPr>
                  <w:r>
                    <w:t>Complete patient work up accordingly:</w:t>
                  </w:r>
                </w:p>
                <w:p w:rsidR="0046236F" w:rsidRDefault="0046236F" w:rsidP="00925696">
                  <w:pPr>
                    <w:pStyle w:val="TableText"/>
                  </w:pPr>
                </w:p>
                <w:tbl>
                  <w:tblPr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56"/>
                    <w:gridCol w:w="3901"/>
                  </w:tblGrid>
                  <w:tr w:rsidR="0046236F" w:rsidTr="00894740">
                    <w:tc>
                      <w:tcPr>
                        <w:tcW w:w="2356" w:type="dxa"/>
                        <w:shd w:val="clear" w:color="auto" w:fill="auto"/>
                      </w:tcPr>
                      <w:p w:rsidR="0046236F" w:rsidRDefault="0046236F" w:rsidP="00925696">
                        <w:pPr>
                          <w:pStyle w:val="TableHeaderText"/>
                          <w:jc w:val="left"/>
                        </w:pPr>
                        <w:r>
                          <w:t>If patient is…</w:t>
                        </w: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46236F" w:rsidRDefault="0046236F" w:rsidP="00925696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46236F" w:rsidTr="00894740">
                    <w:tc>
                      <w:tcPr>
                        <w:tcW w:w="2356" w:type="dxa"/>
                        <w:shd w:val="clear" w:color="auto" w:fill="auto"/>
                      </w:tcPr>
                      <w:p w:rsidR="0046236F" w:rsidRDefault="00894740" w:rsidP="00925696">
                        <w:pPr>
                          <w:pStyle w:val="EmbeddedText"/>
                        </w:pPr>
                        <w:r w:rsidRPr="00894740">
                          <w:t>Taking DARA or a History of Taking DARA</w:t>
                        </w: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46236F" w:rsidRDefault="0046236F" w:rsidP="00925696">
                        <w:pPr>
                          <w:pStyle w:val="BulletText1"/>
                        </w:pPr>
                        <w:r>
                          <w:t>No further work up is necessary.</w:t>
                        </w:r>
                      </w:p>
                      <w:p w:rsidR="0046236F" w:rsidRDefault="00894740" w:rsidP="00925696">
                        <w:pPr>
                          <w:pStyle w:val="BulletText1"/>
                        </w:pPr>
                        <w:r w:rsidRPr="00894740">
                          <w:t>Enter a BBC with the following if provider is able to verify patient status</w:t>
                        </w:r>
                        <w:r w:rsidR="0046236F">
                          <w:t>:</w:t>
                        </w:r>
                      </w:p>
                      <w:p w:rsidR="0046236F" w:rsidRDefault="0046236F" w:rsidP="00925696">
                        <w:pPr>
                          <w:pStyle w:val="BulletText3"/>
                        </w:pPr>
                        <w:r>
                          <w:t>Verified patient taking DARA</w:t>
                        </w:r>
                      </w:p>
                      <w:p w:rsidR="0046236F" w:rsidRDefault="0046236F" w:rsidP="0046236F">
                        <w:pPr>
                          <w:pStyle w:val="BulletText3"/>
                        </w:pPr>
                        <w:r>
                          <w:t>Name of person who verified the information</w:t>
                        </w:r>
                      </w:p>
                      <w:p w:rsidR="0046236F" w:rsidRDefault="0046236F" w:rsidP="0046236F">
                        <w:pPr>
                          <w:pStyle w:val="BulletText3"/>
                        </w:pPr>
                        <w:r>
                          <w:t>Date and Time</w:t>
                        </w:r>
                      </w:p>
                      <w:p w:rsidR="0046236F" w:rsidRDefault="0046236F" w:rsidP="0046236F">
                        <w:pPr>
                          <w:pStyle w:val="BulletText1"/>
                        </w:pPr>
                        <w:r>
                          <w:t>Enter a PB using the ETC “DARA”</w:t>
                        </w:r>
                        <w:r w:rsidR="00DF49C9">
                          <w:t>, if not already done</w:t>
                        </w:r>
                        <w:r>
                          <w:t>.</w:t>
                        </w:r>
                      </w:p>
                      <w:p w:rsidR="0046236F" w:rsidRDefault="00894740" w:rsidP="0046236F">
                        <w:pPr>
                          <w:pStyle w:val="BulletText1"/>
                        </w:pPr>
                        <w:r w:rsidRPr="00894740">
                          <w:t xml:space="preserve">Send a sample to BloodSource for phenotyping or Blood Centers of Wisconsin for genotyping if </w:t>
                        </w:r>
                        <w:r w:rsidR="00DF49C9">
                          <w:t>patient has been recently transfused and phenotype</w:t>
                        </w:r>
                        <w:r w:rsidRPr="00894740">
                          <w:t xml:space="preserve"> has not been previously performed</w:t>
                        </w:r>
                        <w:r w:rsidR="0046236F">
                          <w:t>.</w:t>
                        </w:r>
                      </w:p>
                      <w:p w:rsidR="0046236F" w:rsidRDefault="0046236F" w:rsidP="00B744E7">
                        <w:pPr>
                          <w:pStyle w:val="BulletText1"/>
                        </w:pPr>
                        <w:r>
                          <w:t xml:space="preserve">Proceed to step </w:t>
                        </w:r>
                        <w:r w:rsidR="00B744E7">
                          <w:t>3</w:t>
                        </w:r>
                        <w:r>
                          <w:t>.</w:t>
                        </w:r>
                      </w:p>
                    </w:tc>
                  </w:tr>
                  <w:tr w:rsidR="0046236F" w:rsidTr="00894740">
                    <w:tc>
                      <w:tcPr>
                        <w:tcW w:w="2356" w:type="dxa"/>
                        <w:shd w:val="clear" w:color="auto" w:fill="auto"/>
                      </w:tcPr>
                      <w:p w:rsidR="0046236F" w:rsidRDefault="00894740" w:rsidP="00925696">
                        <w:pPr>
                          <w:pStyle w:val="EmbeddedText"/>
                        </w:pPr>
                        <w:r w:rsidRPr="00894740">
                          <w:t>NOT taking DARA or History Unknown</w:t>
                        </w: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46236F" w:rsidRDefault="0046236F" w:rsidP="001931A9">
                        <w:pPr>
                          <w:pStyle w:val="BulletText1"/>
                        </w:pPr>
                        <w:r>
                          <w:t xml:space="preserve">Send a sample to BloodSource for </w:t>
                        </w:r>
                        <w:r w:rsidR="001931A9">
                          <w:t>further workup.</w:t>
                        </w:r>
                      </w:p>
                      <w:p w:rsidR="001931A9" w:rsidRDefault="001931A9" w:rsidP="001931A9">
                        <w:pPr>
                          <w:pStyle w:val="BulletText1"/>
                        </w:pPr>
                        <w:r>
                          <w:t>Note on the BloodSource paperwork that patient is not taking DARA</w:t>
                        </w:r>
                        <w:r w:rsidR="00894740">
                          <w:t xml:space="preserve"> or history unknown</w:t>
                        </w:r>
                        <w:r>
                          <w:t>.</w:t>
                        </w:r>
                      </w:p>
                    </w:tc>
                  </w:tr>
                </w:tbl>
                <w:p w:rsidR="0046236F" w:rsidRDefault="0046236F" w:rsidP="00925696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894740" w:rsidTr="0046236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94740" w:rsidRDefault="00894740" w:rsidP="00894740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94740" w:rsidRDefault="00894740" w:rsidP="00894740">
                  <w:pPr>
                    <w:pStyle w:val="TableText"/>
                  </w:pPr>
                  <w:r>
                    <w:t>Order phenotypically negative units from BloodSource.</w:t>
                  </w:r>
                </w:p>
              </w:tc>
            </w:tr>
            <w:tr w:rsidR="00894740" w:rsidTr="0046236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94740" w:rsidRDefault="00894740" w:rsidP="00894740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94740" w:rsidRDefault="00894740" w:rsidP="00894740">
                  <w:pPr>
                    <w:pStyle w:val="TableText"/>
                  </w:pPr>
                  <w:r>
                    <w:t>Perform an extended crossmatch using the Echo analyzer once units are received.</w:t>
                  </w:r>
                </w:p>
                <w:p w:rsidR="00894740" w:rsidRDefault="00894740" w:rsidP="00894740">
                  <w:pPr>
                    <w:pStyle w:val="TableText"/>
                  </w:pPr>
                </w:p>
                <w:p w:rsidR="00894740" w:rsidRDefault="00894740" w:rsidP="00894740">
                  <w:pPr>
                    <w:pStyle w:val="TableText"/>
                  </w:pPr>
                  <w:r>
                    <w:t>NOTE: Least incompatible units will likely have to be given since DARA can interfere with the crossmatch as well; pathologist approval is not required for DARA patients.</w:t>
                  </w:r>
                </w:p>
              </w:tc>
            </w:tr>
          </w:tbl>
          <w:p w:rsidR="0046236F" w:rsidRPr="0046236F" w:rsidRDefault="0046236F" w:rsidP="0046236F">
            <w:pPr>
              <w:pStyle w:val="BlockText"/>
            </w:pPr>
          </w:p>
        </w:tc>
      </w:tr>
    </w:tbl>
    <w:p w:rsidR="00774264" w:rsidRDefault="00894740" w:rsidP="00894740">
      <w:pPr>
        <w:pStyle w:val="ContinuedOnNextPa"/>
      </w:pPr>
      <w:r>
        <w:t>Continued on next page</w:t>
      </w:r>
    </w:p>
    <w:p w:rsidR="00894740" w:rsidRDefault="00894740">
      <w:r>
        <w:br w:type="page"/>
      </w:r>
    </w:p>
    <w:p w:rsidR="00894740" w:rsidRDefault="008E2BD4" w:rsidP="00894740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 w:rsidR="00894740" w:rsidRPr="00894740">
        <w:rPr>
          <w:noProof/>
        </w:rPr>
        <w:t>Managing DARA Patient Testing and Transfusion Requests</w:t>
      </w:r>
      <w:r>
        <w:rPr>
          <w:noProof/>
        </w:rPr>
        <w:fldChar w:fldCharType="end"/>
      </w:r>
      <w:r w:rsidR="00894740" w:rsidRPr="00894740">
        <w:t xml:space="preserve">, </w:t>
      </w:r>
      <w:r w:rsidR="00894740" w:rsidRPr="00894740">
        <w:rPr>
          <w:b w:val="0"/>
          <w:sz w:val="24"/>
        </w:rPr>
        <w:t>Continued</w:t>
      </w:r>
    </w:p>
    <w:p w:rsidR="00894740" w:rsidRPr="00894740" w:rsidRDefault="00894740" w:rsidP="0089474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94740" w:rsidRPr="00894740" w:rsidTr="00894740">
        <w:tc>
          <w:tcPr>
            <w:tcW w:w="1728" w:type="dxa"/>
            <w:shd w:val="clear" w:color="auto" w:fill="auto"/>
          </w:tcPr>
          <w:p w:rsidR="00894740" w:rsidRPr="00894740" w:rsidRDefault="00894740" w:rsidP="00894740">
            <w:pPr>
              <w:pStyle w:val="Heading5"/>
            </w:pPr>
            <w:r>
              <w:t>Subsequent Workups</w:t>
            </w:r>
          </w:p>
        </w:tc>
        <w:tc>
          <w:tcPr>
            <w:tcW w:w="7740" w:type="dxa"/>
            <w:shd w:val="clear" w:color="auto" w:fill="auto"/>
          </w:tcPr>
          <w:p w:rsidR="00894740" w:rsidRPr="00894740" w:rsidRDefault="00894740" w:rsidP="00C355C9">
            <w:pPr>
              <w:pStyle w:val="BulletText1"/>
            </w:pPr>
            <w:r w:rsidRPr="00894740">
              <w:t>Subsequent visits will not require full workup once you have reviewed your BAD file and verified the patient is on DARA.</w:t>
            </w:r>
          </w:p>
          <w:p w:rsidR="00894740" w:rsidRPr="00894740" w:rsidRDefault="008824B3" w:rsidP="00C355C9">
            <w:pPr>
              <w:pStyle w:val="BulletText3"/>
            </w:pPr>
            <w:r>
              <w:t>Antibody Screen</w:t>
            </w:r>
            <w:r w:rsidR="00894740" w:rsidRPr="00894740">
              <w:t xml:space="preserve"> only ha</w:t>
            </w:r>
            <w:r>
              <w:t>s</w:t>
            </w:r>
            <w:r w:rsidR="00894740" w:rsidRPr="00894740">
              <w:t xml:space="preserve"> to be tested using the Echo analyzer you are not required to run the </w:t>
            </w:r>
            <w:r>
              <w:t xml:space="preserve">ECHO panel and </w:t>
            </w:r>
            <w:r w:rsidR="00894740" w:rsidRPr="00894740">
              <w:t>PEG screen again.</w:t>
            </w:r>
          </w:p>
          <w:p w:rsidR="00894740" w:rsidRPr="00894740" w:rsidRDefault="00894740" w:rsidP="00C355C9">
            <w:pPr>
              <w:pStyle w:val="BulletText1"/>
            </w:pPr>
            <w:r w:rsidRPr="00894740">
              <w:t>Once screen is negative continue to provide phenotypically negative units until it has been confirmed with the patient’s physician they have permanently discontinued the DARA treatment.</w:t>
            </w:r>
          </w:p>
        </w:tc>
      </w:tr>
    </w:tbl>
    <w:p w:rsidR="00894740" w:rsidRPr="00894740" w:rsidRDefault="00894740" w:rsidP="00894740">
      <w:pPr>
        <w:pStyle w:val="BlockLine"/>
      </w:pPr>
    </w:p>
    <w:sectPr w:rsidR="00894740" w:rsidRPr="00894740" w:rsidSect="00CD3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A9" w:rsidRDefault="00CD35A9" w:rsidP="00CD35A9">
      <w:r>
        <w:separator/>
      </w:r>
    </w:p>
  </w:endnote>
  <w:endnote w:type="continuationSeparator" w:id="0">
    <w:p w:rsidR="00CD35A9" w:rsidRDefault="00CD35A9" w:rsidP="00CD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A" w:rsidRDefault="00547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A" w:rsidRPr="00547F4A" w:rsidRDefault="00547F4A">
    <w:pPr>
      <w:pStyle w:val="Footer"/>
      <w:rPr>
        <w:bCs/>
        <w:sz w:val="20"/>
        <w:szCs w:val="20"/>
      </w:rPr>
    </w:pPr>
    <w:r w:rsidRPr="00547F4A">
      <w:rPr>
        <w:sz w:val="20"/>
        <w:szCs w:val="20"/>
      </w:rPr>
      <w:t>TS.ANA 00.06-00-RV.01</w:t>
    </w:r>
    <w:r w:rsidRPr="00547F4A">
      <w:rPr>
        <w:sz w:val="20"/>
        <w:szCs w:val="20"/>
      </w:rPr>
      <w:tab/>
      <w:t xml:space="preserve">  </w:t>
    </w:r>
    <w:r w:rsidRPr="00547F4A">
      <w:rPr>
        <w:sz w:val="20"/>
        <w:szCs w:val="20"/>
      </w:rPr>
      <w:tab/>
      <w:t xml:space="preserve">Page </w:t>
    </w:r>
    <w:r w:rsidRPr="00547F4A">
      <w:rPr>
        <w:bCs/>
        <w:sz w:val="20"/>
        <w:szCs w:val="20"/>
      </w:rPr>
      <w:fldChar w:fldCharType="begin"/>
    </w:r>
    <w:r w:rsidRPr="00547F4A">
      <w:rPr>
        <w:bCs/>
        <w:sz w:val="20"/>
        <w:szCs w:val="20"/>
      </w:rPr>
      <w:instrText xml:space="preserve"> PAGE  \* Arabic  \* MERGEFORMAT </w:instrText>
    </w:r>
    <w:r w:rsidRPr="00547F4A">
      <w:rPr>
        <w:bCs/>
        <w:sz w:val="20"/>
        <w:szCs w:val="20"/>
      </w:rPr>
      <w:fldChar w:fldCharType="separate"/>
    </w:r>
    <w:r w:rsidR="008E2BD4">
      <w:rPr>
        <w:bCs/>
        <w:noProof/>
        <w:sz w:val="20"/>
        <w:szCs w:val="20"/>
      </w:rPr>
      <w:t>1</w:t>
    </w:r>
    <w:r w:rsidRPr="00547F4A">
      <w:rPr>
        <w:bCs/>
        <w:sz w:val="20"/>
        <w:szCs w:val="20"/>
      </w:rPr>
      <w:fldChar w:fldCharType="end"/>
    </w:r>
    <w:r w:rsidRPr="00547F4A">
      <w:rPr>
        <w:sz w:val="20"/>
        <w:szCs w:val="20"/>
      </w:rPr>
      <w:t xml:space="preserve"> of </w:t>
    </w:r>
    <w:r w:rsidRPr="00547F4A">
      <w:rPr>
        <w:bCs/>
        <w:sz w:val="20"/>
        <w:szCs w:val="20"/>
      </w:rPr>
      <w:fldChar w:fldCharType="begin"/>
    </w:r>
    <w:r w:rsidRPr="00547F4A">
      <w:rPr>
        <w:bCs/>
        <w:sz w:val="20"/>
        <w:szCs w:val="20"/>
      </w:rPr>
      <w:instrText xml:space="preserve"> NUMPAGES  \* Arabic  \* MERGEFORMAT </w:instrText>
    </w:r>
    <w:r w:rsidRPr="00547F4A">
      <w:rPr>
        <w:bCs/>
        <w:sz w:val="20"/>
        <w:szCs w:val="20"/>
      </w:rPr>
      <w:fldChar w:fldCharType="separate"/>
    </w:r>
    <w:r w:rsidR="008E2BD4">
      <w:rPr>
        <w:bCs/>
        <w:noProof/>
        <w:sz w:val="20"/>
        <w:szCs w:val="20"/>
      </w:rPr>
      <w:t>3</w:t>
    </w:r>
    <w:r w:rsidRPr="00547F4A">
      <w:rPr>
        <w:bCs/>
        <w:sz w:val="20"/>
        <w:szCs w:val="20"/>
      </w:rPr>
      <w:fldChar w:fldCharType="end"/>
    </w:r>
  </w:p>
  <w:p w:rsidR="00547F4A" w:rsidRPr="00547F4A" w:rsidRDefault="00547F4A">
    <w:pPr>
      <w:pStyle w:val="Footer"/>
      <w:rPr>
        <w:sz w:val="20"/>
        <w:szCs w:val="20"/>
      </w:rPr>
    </w:pPr>
    <w:r w:rsidRPr="00547F4A">
      <w:rPr>
        <w:bCs/>
        <w:sz w:val="20"/>
        <w:szCs w:val="20"/>
      </w:rPr>
      <w:t>J:/Blood Bank/Procedures/Managing DARA Patients</w:t>
    </w:r>
  </w:p>
  <w:p w:rsidR="00547F4A" w:rsidRDefault="00547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A" w:rsidRDefault="00547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A9" w:rsidRDefault="00CD35A9" w:rsidP="00CD35A9">
      <w:r>
        <w:separator/>
      </w:r>
    </w:p>
  </w:footnote>
  <w:footnote w:type="continuationSeparator" w:id="0">
    <w:p w:rsidR="00CD35A9" w:rsidRDefault="00CD35A9" w:rsidP="00CD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A" w:rsidRDefault="00547F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A9" w:rsidRPr="00F961D3" w:rsidRDefault="00CD35A9" w:rsidP="00CD35A9">
    <w:pPr>
      <w:pStyle w:val="Header"/>
      <w:rPr>
        <w:sz w:val="20"/>
        <w:szCs w:val="20"/>
      </w:rPr>
    </w:pPr>
    <w:r w:rsidRPr="00F961D3">
      <w:rPr>
        <w:sz w:val="20"/>
        <w:szCs w:val="20"/>
      </w:rPr>
      <w:t xml:space="preserve">Sutter </w:t>
    </w:r>
    <w:r w:rsidR="00F961D3" w:rsidRPr="00F961D3">
      <w:rPr>
        <w:sz w:val="20"/>
        <w:szCs w:val="20"/>
      </w:rPr>
      <w:t xml:space="preserve">Roseville </w:t>
    </w:r>
    <w:r w:rsidRPr="00F961D3">
      <w:rPr>
        <w:sz w:val="20"/>
        <w:szCs w:val="20"/>
      </w:rPr>
      <w:t>Medical Center</w:t>
    </w:r>
    <w:r w:rsidRPr="00F961D3">
      <w:rPr>
        <w:sz w:val="20"/>
        <w:szCs w:val="20"/>
      </w:rPr>
      <w:tab/>
    </w:r>
    <w:r w:rsidRPr="00F961D3">
      <w:rPr>
        <w:sz w:val="20"/>
        <w:szCs w:val="20"/>
      </w:rPr>
      <w:tab/>
      <w:t>Effective Date:</w:t>
    </w:r>
    <w:r w:rsidR="00F961D3">
      <w:rPr>
        <w:sz w:val="20"/>
        <w:szCs w:val="20"/>
      </w:rPr>
      <w:t xml:space="preserve"> </w:t>
    </w:r>
    <w:r w:rsidR="00905B46">
      <w:rPr>
        <w:sz w:val="20"/>
        <w:szCs w:val="20"/>
      </w:rPr>
      <w:t>4/0</w:t>
    </w:r>
    <w:r w:rsidR="008E2BD4">
      <w:rPr>
        <w:sz w:val="20"/>
        <w:szCs w:val="20"/>
      </w:rPr>
      <w:t>6</w:t>
    </w:r>
    <w:bookmarkStart w:id="0" w:name="_GoBack"/>
    <w:bookmarkEnd w:id="0"/>
    <w:r w:rsidR="00905B46">
      <w:rPr>
        <w:sz w:val="20"/>
        <w:szCs w:val="20"/>
      </w:rPr>
      <w:t>/2018</w:t>
    </w:r>
  </w:p>
  <w:p w:rsidR="00CD35A9" w:rsidRPr="00F961D3" w:rsidRDefault="00F961D3" w:rsidP="00CD35A9">
    <w:pPr>
      <w:pStyle w:val="Header"/>
      <w:rPr>
        <w:i/>
        <w:sz w:val="20"/>
        <w:szCs w:val="20"/>
      </w:rPr>
    </w:pPr>
    <w:r w:rsidRPr="00F961D3">
      <w:rPr>
        <w:i/>
        <w:sz w:val="20"/>
        <w:szCs w:val="20"/>
      </w:rPr>
      <w:t>Laboratory Services</w:t>
    </w:r>
  </w:p>
  <w:p w:rsidR="00CD35A9" w:rsidRDefault="00CD35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4A" w:rsidRDefault="00547F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A9"/>
    <w:rsid w:val="001931A9"/>
    <w:rsid w:val="001A0337"/>
    <w:rsid w:val="003043BD"/>
    <w:rsid w:val="0046236F"/>
    <w:rsid w:val="00476793"/>
    <w:rsid w:val="004832C8"/>
    <w:rsid w:val="00547F4A"/>
    <w:rsid w:val="006D1540"/>
    <w:rsid w:val="00711BD1"/>
    <w:rsid w:val="00774264"/>
    <w:rsid w:val="0084431B"/>
    <w:rsid w:val="008824B3"/>
    <w:rsid w:val="00894740"/>
    <w:rsid w:val="008D237A"/>
    <w:rsid w:val="008E2BD4"/>
    <w:rsid w:val="00905B46"/>
    <w:rsid w:val="00A90D84"/>
    <w:rsid w:val="00B744E7"/>
    <w:rsid w:val="00C355C9"/>
    <w:rsid w:val="00CD35A9"/>
    <w:rsid w:val="00DF49C9"/>
    <w:rsid w:val="00F4087F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A5C161E-28FE-4F0B-A76E-B4FC6DBD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A9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CD35A9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CD35A9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CD35A9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CD35A9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CD35A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CD35A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CD35A9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CD35A9"/>
  </w:style>
  <w:style w:type="paragraph" w:customStyle="1" w:styleId="BulletText1">
    <w:name w:val="Bullet Text 1"/>
    <w:basedOn w:val="Normal"/>
    <w:rsid w:val="00CD35A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CD35A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CD35A9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CD35A9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CD35A9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CD35A9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CD35A9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CD35A9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CD35A9"/>
    <w:pPr>
      <w:ind w:left="0"/>
    </w:pPr>
  </w:style>
  <w:style w:type="paragraph" w:customStyle="1" w:styleId="NoteText">
    <w:name w:val="Note Text"/>
    <w:basedOn w:val="Normal"/>
    <w:rsid w:val="00CD35A9"/>
    <w:rPr>
      <w:szCs w:val="20"/>
    </w:rPr>
  </w:style>
  <w:style w:type="paragraph" w:customStyle="1" w:styleId="PublicationTitle">
    <w:name w:val="Publication Title"/>
    <w:basedOn w:val="Normal"/>
    <w:next w:val="Heading4"/>
    <w:rsid w:val="00CD35A9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CD35A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CD35A9"/>
    <w:rPr>
      <w:szCs w:val="20"/>
    </w:rPr>
  </w:style>
  <w:style w:type="paragraph" w:customStyle="1" w:styleId="TOCTitle">
    <w:name w:val="TOC Title"/>
    <w:basedOn w:val="Normal"/>
    <w:rsid w:val="00CD35A9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CD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35A9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A9"/>
    <w:rPr>
      <w:color w:val="000000"/>
      <w:sz w:val="24"/>
      <w:szCs w:val="24"/>
    </w:rPr>
  </w:style>
  <w:style w:type="table" w:styleId="TableGrid">
    <w:name w:val="Table Grid"/>
    <w:basedOn w:val="TableNormal"/>
    <w:rsid w:val="00CD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3</Pages>
  <Words>509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dereem</dc:creator>
  <cp:lastModifiedBy>Wittkop, Irene</cp:lastModifiedBy>
  <cp:revision>2</cp:revision>
  <dcterms:created xsi:type="dcterms:W3CDTF">2018-03-23T00:58:00Z</dcterms:created>
  <dcterms:modified xsi:type="dcterms:W3CDTF">2018-03-23T00:58:00Z</dcterms:modified>
</cp:coreProperties>
</file>