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C90245" w:rsidP="00C90245">
      <w:pPr>
        <w:pStyle w:val="Heading4"/>
      </w:pPr>
      <w:r>
        <w:t>Locating, Reprinting, and Retransmitting sample data on the Sysmex XN Hematology analyzer</w:t>
      </w:r>
    </w:p>
    <w:p w:rsidR="00C90245" w:rsidRPr="00C90245" w:rsidRDefault="00C90245" w:rsidP="00C9024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90245" w:rsidRPr="00C90245" w:rsidTr="00C90245">
        <w:tc>
          <w:tcPr>
            <w:tcW w:w="1728" w:type="dxa"/>
            <w:shd w:val="clear" w:color="auto" w:fill="auto"/>
          </w:tcPr>
          <w:p w:rsidR="00C90245" w:rsidRPr="00C90245" w:rsidRDefault="00C90245" w:rsidP="00C90245">
            <w:pPr>
              <w:pStyle w:val="Heading5"/>
            </w:pPr>
            <w: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C90245" w:rsidRPr="00C90245" w:rsidRDefault="00C90245" w:rsidP="00C90245">
            <w:pPr>
              <w:pStyle w:val="BlockText"/>
            </w:pPr>
            <w:r w:rsidRPr="00847112">
              <w:t xml:space="preserve">This procedure describes how to locate </w:t>
            </w:r>
            <w:r>
              <w:t>sample data</w:t>
            </w:r>
            <w:r w:rsidRPr="00847112">
              <w:t xml:space="preserve"> in the </w:t>
            </w:r>
            <w:r>
              <w:t xml:space="preserve">Sysmex XN </w:t>
            </w:r>
            <w:r w:rsidRPr="00847112">
              <w:t xml:space="preserve">IPU, reprint to the </w:t>
            </w:r>
            <w:r>
              <w:t xml:space="preserve">graphic </w:t>
            </w:r>
            <w:r w:rsidRPr="00847112">
              <w:t>printer or retransmit to the Host Computer</w:t>
            </w:r>
          </w:p>
        </w:tc>
      </w:tr>
    </w:tbl>
    <w:p w:rsidR="00C90245" w:rsidRPr="00C90245" w:rsidRDefault="00C90245" w:rsidP="00C9024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90245" w:rsidRPr="00C90245" w:rsidTr="00C90245">
        <w:trPr>
          <w:trHeight w:val="240"/>
        </w:trPr>
        <w:tc>
          <w:tcPr>
            <w:tcW w:w="1728" w:type="dxa"/>
            <w:shd w:val="clear" w:color="auto" w:fill="auto"/>
          </w:tcPr>
          <w:p w:rsidR="00C90245" w:rsidRPr="00C90245" w:rsidRDefault="00C90245" w:rsidP="00C90245">
            <w:pPr>
              <w:pStyle w:val="Heading5"/>
            </w:pPr>
            <w: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C90245" w:rsidRDefault="00C90245" w:rsidP="00C90245">
            <w:pPr>
              <w:pStyle w:val="BlockText"/>
            </w:pPr>
            <w:r>
              <w:t>Follow the steps below to locate sample data:</w:t>
            </w:r>
          </w:p>
          <w:p w:rsidR="00C90245" w:rsidRPr="00C90245" w:rsidRDefault="00C90245" w:rsidP="00C90245">
            <w:pPr>
              <w:pStyle w:val="BlockText"/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30"/>
              <w:gridCol w:w="1695"/>
              <w:gridCol w:w="3240"/>
              <w:gridCol w:w="923"/>
            </w:tblGrid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90245" w:rsidRDefault="00C90245" w:rsidP="00C90245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90245" w:rsidRDefault="00B94A34" w:rsidP="00C90245">
                  <w:pPr>
                    <w:pStyle w:val="TableText"/>
                  </w:pPr>
                  <w:r>
                    <w:t xml:space="preserve">On IPU </w:t>
                  </w:r>
                  <w:r w:rsidR="00C90245">
                    <w:t>Main Menu, click Sample Explorer button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</w:pPr>
                  <w:r>
                    <w:t>On the tool bar, click Find button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90245" w:rsidRDefault="002F63ED" w:rsidP="00C90245">
                  <w:pPr>
                    <w:pStyle w:val="TableText"/>
                  </w:pPr>
                  <w:r>
                    <w:t>When “Find” screen displays, in sample number field, enter the sample number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</w:pPr>
                  <w:r>
                    <w:t>Click Next or Previous button to locate sample data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</w:pPr>
                  <w:r>
                    <w:t>Once blue highlight bar is on sample data</w:t>
                  </w:r>
                  <w:r w:rsidR="0048191C">
                    <w:t xml:space="preserve">, click </w:t>
                  </w:r>
                  <w:r>
                    <w:t>close button</w:t>
                  </w:r>
                </w:p>
              </w:tc>
            </w:tr>
            <w:tr w:rsidR="0048191C" w:rsidTr="0048191C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48191C" w:rsidRDefault="0048191C" w:rsidP="00C90245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</w:tr>
            <w:tr w:rsidR="0048191C" w:rsidTr="0048191C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48191C" w:rsidRDefault="0048191C" w:rsidP="00C90245">
                  <w:pPr>
                    <w:pStyle w:val="TableText"/>
                    <w:jc w:val="center"/>
                  </w:pPr>
                </w:p>
              </w:tc>
              <w:tc>
                <w:tcPr>
                  <w:tcW w:w="42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  <w:tc>
                <w:tcPr>
                  <w:tcW w:w="113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91C" w:rsidRPr="0048191C" w:rsidRDefault="0048191C" w:rsidP="00C90245">
                  <w:pPr>
                    <w:pStyle w:val="TableText"/>
                    <w:rPr>
                      <w:b/>
                    </w:rPr>
                  </w:pPr>
                  <w:r w:rsidRPr="0048191C">
                    <w:rPr>
                      <w:b/>
                    </w:rPr>
                    <w:t>If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91C" w:rsidRPr="0048191C" w:rsidRDefault="0048191C" w:rsidP="00C90245">
                  <w:pPr>
                    <w:pStyle w:val="TableText"/>
                    <w:rPr>
                      <w:b/>
                    </w:rPr>
                  </w:pPr>
                  <w:r w:rsidRPr="0048191C">
                    <w:rPr>
                      <w:b/>
                    </w:rPr>
                    <w:t>Then</w:t>
                  </w:r>
                </w:p>
              </w:tc>
              <w:tc>
                <w:tcPr>
                  <w:tcW w:w="61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</w:tr>
            <w:tr w:rsidR="0048191C" w:rsidTr="0048191C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48191C" w:rsidRDefault="0048191C" w:rsidP="00C90245">
                  <w:pPr>
                    <w:pStyle w:val="TableText"/>
                    <w:jc w:val="center"/>
                  </w:pPr>
                </w:p>
              </w:tc>
              <w:tc>
                <w:tcPr>
                  <w:tcW w:w="420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  <w:tc>
                <w:tcPr>
                  <w:tcW w:w="113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  <w:r>
                    <w:t>Retransmit results to Host Computer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48191C">
                  <w:pPr>
                    <w:pStyle w:val="TableText"/>
                    <w:numPr>
                      <w:ilvl w:val="0"/>
                      <w:numId w:val="4"/>
                    </w:numPr>
                  </w:pPr>
                  <w:r>
                    <w:t>Sample data selected using blue highlight bar</w:t>
                  </w:r>
                </w:p>
                <w:p w:rsidR="0048191C" w:rsidRDefault="0048191C" w:rsidP="0048191C">
                  <w:pPr>
                    <w:pStyle w:val="TableText"/>
                    <w:numPr>
                      <w:ilvl w:val="0"/>
                      <w:numId w:val="4"/>
                    </w:numPr>
                  </w:pPr>
                  <w:r>
                    <w:t>At the tool bar, click Output</w:t>
                  </w:r>
                </w:p>
                <w:p w:rsidR="0048191C" w:rsidRDefault="0048191C" w:rsidP="0048191C">
                  <w:pPr>
                    <w:pStyle w:val="TableText"/>
                    <w:numPr>
                      <w:ilvl w:val="0"/>
                      <w:numId w:val="4"/>
                    </w:numPr>
                  </w:pPr>
                  <w:r>
                    <w:t>Click Host computer</w:t>
                  </w:r>
                </w:p>
              </w:tc>
              <w:tc>
                <w:tcPr>
                  <w:tcW w:w="61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</w:tr>
            <w:tr w:rsidR="0048191C" w:rsidTr="0048191C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48191C" w:rsidRDefault="0048191C" w:rsidP="00C90245">
                  <w:pPr>
                    <w:pStyle w:val="TableText"/>
                    <w:jc w:val="center"/>
                  </w:pPr>
                </w:p>
              </w:tc>
              <w:tc>
                <w:tcPr>
                  <w:tcW w:w="420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  <w:tc>
                <w:tcPr>
                  <w:tcW w:w="113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  <w:r>
                    <w:t>Reprint results to graphic printer</w:t>
                  </w:r>
                </w:p>
              </w:tc>
              <w:tc>
                <w:tcPr>
                  <w:tcW w:w="216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191C" w:rsidRDefault="0048191C" w:rsidP="0048191C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>Sample data selected using blue highlight bar</w:t>
                  </w:r>
                </w:p>
                <w:p w:rsidR="0048191C" w:rsidRDefault="0048191C" w:rsidP="0048191C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>At the tool bar, click Output</w:t>
                  </w:r>
                </w:p>
                <w:p w:rsidR="0048191C" w:rsidRDefault="0048191C" w:rsidP="0048191C">
                  <w:pPr>
                    <w:pStyle w:val="TableText"/>
                    <w:numPr>
                      <w:ilvl w:val="0"/>
                      <w:numId w:val="5"/>
                    </w:numPr>
                  </w:pPr>
                  <w:r>
                    <w:t xml:space="preserve">Click report </w:t>
                  </w:r>
                  <w:r w:rsidR="002F63ED">
                    <w:t>(</w:t>
                  </w:r>
                  <w:r>
                    <w:t>GP</w:t>
                  </w:r>
                  <w:r w:rsidR="002F63ED">
                    <w:t>)</w:t>
                  </w:r>
                </w:p>
              </w:tc>
              <w:tc>
                <w:tcPr>
                  <w:tcW w:w="61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</w:tr>
            <w:tr w:rsidR="0048191C" w:rsidTr="0048191C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48191C" w:rsidRDefault="0048191C" w:rsidP="00C90245">
                  <w:pPr>
                    <w:pStyle w:val="TableText"/>
                    <w:jc w:val="center"/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48191C" w:rsidRDefault="0048191C" w:rsidP="00C90245">
                  <w:pPr>
                    <w:pStyle w:val="TableText"/>
                  </w:pPr>
                </w:p>
              </w:tc>
            </w:tr>
          </w:tbl>
          <w:p w:rsidR="00C90245" w:rsidRPr="00C90245" w:rsidRDefault="00C90245" w:rsidP="00C90245">
            <w:pPr>
              <w:pStyle w:val="BlockText"/>
            </w:pPr>
            <w:r>
              <w:t xml:space="preserve"> </w:t>
            </w:r>
          </w:p>
        </w:tc>
      </w:tr>
    </w:tbl>
    <w:p w:rsidR="00C90245" w:rsidRPr="0048191C" w:rsidRDefault="00C90245" w:rsidP="0048191C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8191C" w:rsidRPr="0048191C" w:rsidTr="0048191C">
        <w:tc>
          <w:tcPr>
            <w:tcW w:w="1728" w:type="dxa"/>
            <w:shd w:val="clear" w:color="auto" w:fill="auto"/>
          </w:tcPr>
          <w:p w:rsidR="0048191C" w:rsidRPr="0048191C" w:rsidRDefault="0048191C" w:rsidP="0048191C">
            <w:pPr>
              <w:pStyle w:val="Heading5"/>
            </w:pPr>
            <w:r>
              <w:t>Reference</w:t>
            </w:r>
          </w:p>
        </w:tc>
        <w:tc>
          <w:tcPr>
            <w:tcW w:w="7740" w:type="dxa"/>
            <w:shd w:val="clear" w:color="auto" w:fill="auto"/>
          </w:tcPr>
          <w:p w:rsidR="0048191C" w:rsidRPr="0048191C" w:rsidRDefault="0048191C" w:rsidP="0048191C">
            <w:pPr>
              <w:pStyle w:val="BlockText"/>
              <w:numPr>
                <w:ilvl w:val="0"/>
                <w:numId w:val="6"/>
              </w:numPr>
            </w:pPr>
            <w:r>
              <w:t xml:space="preserve">Sysmex </w:t>
            </w:r>
            <w:r w:rsidR="00B94A34">
              <w:t xml:space="preserve">XN series </w:t>
            </w:r>
            <w:r>
              <w:t>Operator’s manual</w:t>
            </w:r>
            <w:r w:rsidR="00DE28FA">
              <w:t>, March 2017</w:t>
            </w:r>
          </w:p>
        </w:tc>
      </w:tr>
    </w:tbl>
    <w:p w:rsidR="0048191C" w:rsidRDefault="0048191C" w:rsidP="0048191C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91C">
        <w:rPr>
          <w:i/>
        </w:rPr>
        <w:t>End</w:t>
      </w:r>
    </w:p>
    <w:p w:rsidR="0048191C" w:rsidRPr="0048191C" w:rsidRDefault="0048191C" w:rsidP="0048191C"/>
    <w:p w:rsidR="0048191C" w:rsidRPr="0048191C" w:rsidRDefault="0048191C" w:rsidP="0048191C"/>
    <w:p w:rsidR="0048191C" w:rsidRPr="0048191C" w:rsidRDefault="0048191C" w:rsidP="0048191C"/>
    <w:p w:rsidR="0048191C" w:rsidRPr="0048191C" w:rsidRDefault="0048191C" w:rsidP="0048191C"/>
    <w:p w:rsidR="0048191C" w:rsidRDefault="0048191C" w:rsidP="0048191C"/>
    <w:p w:rsidR="0048191C" w:rsidRPr="0048191C" w:rsidRDefault="0048191C" w:rsidP="0048191C">
      <w:pPr>
        <w:tabs>
          <w:tab w:val="left" w:pos="6165"/>
        </w:tabs>
      </w:pPr>
      <w:r>
        <w:tab/>
      </w:r>
    </w:p>
    <w:sectPr w:rsidR="0048191C" w:rsidRPr="0048191C" w:rsidSect="00C90245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1C" w:rsidRDefault="0048191C" w:rsidP="0048191C">
      <w:r>
        <w:separator/>
      </w:r>
    </w:p>
  </w:endnote>
  <w:endnote w:type="continuationSeparator" w:id="0">
    <w:p w:rsidR="0048191C" w:rsidRDefault="0048191C" w:rsidP="004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1C" w:rsidRDefault="0048191C">
    <w:pPr>
      <w:pStyle w:val="Footer"/>
    </w:pPr>
    <w:r>
      <w:rPr>
        <w:color w:val="auto"/>
      </w:rPr>
      <w:t>Document #</w:t>
    </w:r>
    <w:r w:rsidR="00DE28FA">
      <w:rPr>
        <w:color w:val="auto"/>
      </w:rPr>
      <w:t>HC.NON02.20-/-RV.01</w:t>
    </w:r>
    <w:r>
      <w:rPr>
        <w:color w:val="auto"/>
      </w:rP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DE28F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DE28F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sdtContent>
    </w:sdt>
  </w:p>
  <w:p w:rsidR="0048191C" w:rsidRDefault="00481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1C" w:rsidRDefault="0048191C" w:rsidP="0048191C">
      <w:r>
        <w:separator/>
      </w:r>
    </w:p>
  </w:footnote>
  <w:footnote w:type="continuationSeparator" w:id="0">
    <w:p w:rsidR="0048191C" w:rsidRDefault="0048191C" w:rsidP="0048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1C" w:rsidRDefault="0048191C">
    <w:pPr>
      <w:pStyle w:val="Header"/>
    </w:pPr>
    <w:r>
      <w:t>Sutter Roseville M</w:t>
    </w:r>
    <w:r w:rsidR="00DE28FA">
      <w:t>edical Center</w:t>
    </w:r>
    <w:r w:rsidR="00DE28FA">
      <w:tab/>
    </w:r>
    <w:r w:rsidR="00DE28FA">
      <w:tab/>
      <w:t>Effective Date: 8</w:t>
    </w:r>
    <w:r>
      <w:t>/1/18</w:t>
    </w:r>
  </w:p>
  <w:p w:rsidR="0048191C" w:rsidRPr="0048191C" w:rsidRDefault="0048191C">
    <w:pPr>
      <w:pStyle w:val="Header"/>
      <w:rPr>
        <w:i/>
      </w:rPr>
    </w:pPr>
    <w:r w:rsidRPr="0048191C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419"/>
    <w:multiLevelType w:val="hybridMultilevel"/>
    <w:tmpl w:val="541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4839"/>
    <w:multiLevelType w:val="hybridMultilevel"/>
    <w:tmpl w:val="0A8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17E"/>
    <w:multiLevelType w:val="hybridMultilevel"/>
    <w:tmpl w:val="8AA4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5"/>
    <w:rsid w:val="002F63ED"/>
    <w:rsid w:val="00476793"/>
    <w:rsid w:val="0048191C"/>
    <w:rsid w:val="006D1540"/>
    <w:rsid w:val="00774264"/>
    <w:rsid w:val="0084431B"/>
    <w:rsid w:val="009A6563"/>
    <w:rsid w:val="00B94A34"/>
    <w:rsid w:val="00C90245"/>
    <w:rsid w:val="00DE28FA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DAA3-1B8D-459D-A8D2-4AF64FD3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45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C90245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C90245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C90245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C90245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C90245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C90245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C90245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C90245"/>
  </w:style>
  <w:style w:type="paragraph" w:customStyle="1" w:styleId="BulletText1">
    <w:name w:val="Bullet Text 1"/>
    <w:basedOn w:val="Normal"/>
    <w:rsid w:val="00C90245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C90245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C90245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C90245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C90245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C90245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C90245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C90245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C90245"/>
    <w:pPr>
      <w:ind w:left="0"/>
    </w:pPr>
  </w:style>
  <w:style w:type="paragraph" w:customStyle="1" w:styleId="NoteText">
    <w:name w:val="Note Text"/>
    <w:basedOn w:val="Normal"/>
    <w:rsid w:val="00C90245"/>
    <w:rPr>
      <w:szCs w:val="20"/>
    </w:rPr>
  </w:style>
  <w:style w:type="paragraph" w:customStyle="1" w:styleId="PublicationTitle">
    <w:name w:val="Publication Title"/>
    <w:basedOn w:val="Normal"/>
    <w:next w:val="Heading4"/>
    <w:rsid w:val="00C90245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C90245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C90245"/>
    <w:rPr>
      <w:szCs w:val="20"/>
    </w:rPr>
  </w:style>
  <w:style w:type="paragraph" w:customStyle="1" w:styleId="TOCTitle">
    <w:name w:val="TOC Title"/>
    <w:basedOn w:val="Normal"/>
    <w:rsid w:val="00C90245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C9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81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191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1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1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F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63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279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4</cp:revision>
  <cp:lastPrinted>2018-07-27T23:10:00Z</cp:lastPrinted>
  <dcterms:created xsi:type="dcterms:W3CDTF">2018-06-22T00:40:00Z</dcterms:created>
  <dcterms:modified xsi:type="dcterms:W3CDTF">2018-07-27T23:10:00Z</dcterms:modified>
</cp:coreProperties>
</file>