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BDB" w:rsidRDefault="00EA7442" w:rsidP="00077B76">
      <w:pPr>
        <w:pStyle w:val="Heading4"/>
      </w:pPr>
      <w:r>
        <w:t xml:space="preserve">Policy for </w:t>
      </w:r>
      <w:r w:rsidR="00077B76">
        <w:t>Managing Blood Inventory during Shortages</w:t>
      </w:r>
    </w:p>
    <w:p w:rsidR="00077B76" w:rsidRPr="00077B76" w:rsidRDefault="00077B76" w:rsidP="00077B76">
      <w:pPr>
        <w:pStyle w:val="BlockLine"/>
      </w:pPr>
    </w:p>
    <w:tbl>
      <w:tblPr>
        <w:tblW w:w="9468" w:type="dxa"/>
        <w:tblLayout w:type="fixed"/>
        <w:tblLook w:val="0000" w:firstRow="0" w:lastRow="0" w:firstColumn="0" w:lastColumn="0" w:noHBand="0" w:noVBand="0"/>
      </w:tblPr>
      <w:tblGrid>
        <w:gridCol w:w="1728"/>
        <w:gridCol w:w="7740"/>
      </w:tblGrid>
      <w:tr w:rsidR="00077B76" w:rsidRPr="00077B76" w:rsidTr="00077B76">
        <w:tc>
          <w:tcPr>
            <w:tcW w:w="1728" w:type="dxa"/>
            <w:shd w:val="clear" w:color="auto" w:fill="auto"/>
          </w:tcPr>
          <w:p w:rsidR="00077B76" w:rsidRPr="00077B76" w:rsidRDefault="00077B76" w:rsidP="00077B76">
            <w:pPr>
              <w:pStyle w:val="Heading5"/>
            </w:pPr>
            <w:r>
              <w:t>Purpose</w:t>
            </w:r>
          </w:p>
        </w:tc>
        <w:tc>
          <w:tcPr>
            <w:tcW w:w="7740" w:type="dxa"/>
            <w:shd w:val="clear" w:color="auto" w:fill="auto"/>
          </w:tcPr>
          <w:p w:rsidR="00077B76" w:rsidRPr="00077B76" w:rsidRDefault="00ED7DB4" w:rsidP="00EE2836">
            <w:pPr>
              <w:pStyle w:val="BlockText"/>
            </w:pPr>
            <w:r>
              <w:t xml:space="preserve">To provide direction </w:t>
            </w:r>
            <w:r w:rsidR="00EE2836">
              <w:t>to</w:t>
            </w:r>
            <w:r>
              <w:t xml:space="preserve"> </w:t>
            </w:r>
            <w:r w:rsidR="00EE2836">
              <w:t>T</w:t>
            </w:r>
            <w:r>
              <w:t xml:space="preserve">ransfusion </w:t>
            </w:r>
            <w:r w:rsidR="00EE2836">
              <w:t xml:space="preserve">Service </w:t>
            </w:r>
            <w:r>
              <w:t>staff regarding blood selection when the blood supplier designates that there is a blood shortage.</w:t>
            </w:r>
          </w:p>
        </w:tc>
      </w:tr>
    </w:tbl>
    <w:p w:rsidR="00077B76" w:rsidRPr="00EA7442" w:rsidRDefault="00077B76" w:rsidP="00EA7442">
      <w:pPr>
        <w:pStyle w:val="BlockLine"/>
      </w:pPr>
    </w:p>
    <w:tbl>
      <w:tblPr>
        <w:tblW w:w="9468" w:type="dxa"/>
        <w:tblLayout w:type="fixed"/>
        <w:tblLook w:val="0000" w:firstRow="0" w:lastRow="0" w:firstColumn="0" w:lastColumn="0" w:noHBand="0" w:noVBand="0"/>
      </w:tblPr>
      <w:tblGrid>
        <w:gridCol w:w="1728"/>
        <w:gridCol w:w="7740"/>
      </w:tblGrid>
      <w:tr w:rsidR="00EA7442" w:rsidRPr="00EA7442" w:rsidTr="00EA7442">
        <w:tc>
          <w:tcPr>
            <w:tcW w:w="1728" w:type="dxa"/>
            <w:shd w:val="clear" w:color="auto" w:fill="auto"/>
          </w:tcPr>
          <w:p w:rsidR="00EA7442" w:rsidRPr="00BB16A0" w:rsidRDefault="00EA7442" w:rsidP="00EA7442">
            <w:pPr>
              <w:pStyle w:val="Heading5"/>
            </w:pPr>
            <w:r w:rsidRPr="00BB16A0">
              <w:t>Definition</w:t>
            </w:r>
          </w:p>
        </w:tc>
        <w:tc>
          <w:tcPr>
            <w:tcW w:w="7740" w:type="dxa"/>
            <w:shd w:val="clear" w:color="auto" w:fill="auto"/>
          </w:tcPr>
          <w:p w:rsidR="00EA7442" w:rsidRPr="00BB16A0" w:rsidRDefault="00EA7442" w:rsidP="00EE2836">
            <w:pPr>
              <w:pStyle w:val="BulletText1"/>
            </w:pPr>
            <w:r w:rsidRPr="00BB16A0">
              <w:t>Shortage –</w:t>
            </w:r>
            <w:r w:rsidR="00EE2836" w:rsidRPr="00BB16A0">
              <w:t xml:space="preserve"> </w:t>
            </w:r>
            <w:r w:rsidRPr="00BB16A0">
              <w:t>when the blood supplier is unable to provide stock inventory for a specific ABO and/o</w:t>
            </w:r>
            <w:r w:rsidR="00187170">
              <w:t>r Rh type</w:t>
            </w:r>
            <w:r w:rsidRPr="00BB16A0">
              <w:t xml:space="preserve">, or </w:t>
            </w:r>
            <w:r w:rsidR="00EE2836" w:rsidRPr="00BB16A0">
              <w:t>when</w:t>
            </w:r>
            <w:r w:rsidRPr="00BB16A0">
              <w:t xml:space="preserve"> the supplier requests a change to manage the community blood supply.</w:t>
            </w:r>
          </w:p>
          <w:p w:rsidR="00EE2836" w:rsidRPr="00BB16A0" w:rsidRDefault="00EE2836" w:rsidP="00EE2836">
            <w:pPr>
              <w:pStyle w:val="BulletText1"/>
            </w:pPr>
            <w:r w:rsidRPr="00BB16A0">
              <w:t xml:space="preserve">Neonate – an infant that is </w:t>
            </w:r>
            <w:r w:rsidR="006E760A">
              <w:t>&lt;</w:t>
            </w:r>
            <w:r w:rsidRPr="00BB16A0">
              <w:t xml:space="preserve"> 4 months of age.</w:t>
            </w:r>
          </w:p>
          <w:p w:rsidR="00EE2836" w:rsidRDefault="00EE2836" w:rsidP="00187170">
            <w:pPr>
              <w:pStyle w:val="BulletText1"/>
            </w:pPr>
            <w:r w:rsidRPr="00BB16A0">
              <w:t xml:space="preserve">Pediatric – a child that is </w:t>
            </w:r>
            <w:r w:rsidR="006E760A">
              <w:t>≥</w:t>
            </w:r>
            <w:r w:rsidR="00187170">
              <w:t xml:space="preserve"> 4 months and </w:t>
            </w:r>
            <w:r w:rsidR="00FB54E9">
              <w:t>≤</w:t>
            </w:r>
            <w:r w:rsidR="008A576F" w:rsidRPr="00BB16A0">
              <w:t xml:space="preserve"> 18</w:t>
            </w:r>
            <w:r w:rsidR="00C1793C" w:rsidRPr="00BB16A0">
              <w:t xml:space="preserve"> </w:t>
            </w:r>
            <w:r w:rsidRPr="00BB16A0">
              <w:t>years of age.</w:t>
            </w:r>
          </w:p>
          <w:p w:rsidR="00FB54E9" w:rsidRDefault="00FB54E9" w:rsidP="00187170">
            <w:pPr>
              <w:pStyle w:val="BulletText1"/>
            </w:pPr>
            <w:r>
              <w:t>Adult - &gt; 18 years of age</w:t>
            </w:r>
          </w:p>
          <w:p w:rsidR="00594347" w:rsidRDefault="00594347" w:rsidP="00187170">
            <w:pPr>
              <w:pStyle w:val="BulletText1"/>
            </w:pPr>
            <w:r>
              <w:t>Female of child-bearing age - &lt;50 to ≤ 55 years of age (dependent upon affiliate specific guidelines).</w:t>
            </w:r>
          </w:p>
          <w:p w:rsidR="004072A7" w:rsidRPr="00BB16A0" w:rsidRDefault="004072A7" w:rsidP="00187170">
            <w:pPr>
              <w:pStyle w:val="BulletText1"/>
            </w:pPr>
            <w:r>
              <w:t>REBPS = Blood Product Shortage</w:t>
            </w:r>
          </w:p>
        </w:tc>
      </w:tr>
    </w:tbl>
    <w:p w:rsidR="00EA7442" w:rsidRPr="00EA7442" w:rsidRDefault="00EA7442" w:rsidP="00EA7442">
      <w:pPr>
        <w:pStyle w:val="BlockLine"/>
      </w:pPr>
    </w:p>
    <w:tbl>
      <w:tblPr>
        <w:tblW w:w="9468" w:type="dxa"/>
        <w:tblLayout w:type="fixed"/>
        <w:tblLook w:val="0000" w:firstRow="0" w:lastRow="0" w:firstColumn="0" w:lastColumn="0" w:noHBand="0" w:noVBand="0"/>
      </w:tblPr>
      <w:tblGrid>
        <w:gridCol w:w="1728"/>
        <w:gridCol w:w="7740"/>
      </w:tblGrid>
      <w:tr w:rsidR="00ED7DB4" w:rsidRPr="00ED7DB4" w:rsidTr="00ED7DB4">
        <w:tc>
          <w:tcPr>
            <w:tcW w:w="1728" w:type="dxa"/>
            <w:shd w:val="clear" w:color="auto" w:fill="auto"/>
          </w:tcPr>
          <w:p w:rsidR="00ED7DB4" w:rsidRPr="00400ABD" w:rsidRDefault="00ED7DB4" w:rsidP="00ED7DB4">
            <w:pPr>
              <w:pStyle w:val="Heading5"/>
            </w:pPr>
            <w:r w:rsidRPr="00400ABD">
              <w:t>Policy</w:t>
            </w:r>
          </w:p>
        </w:tc>
        <w:tc>
          <w:tcPr>
            <w:tcW w:w="7740" w:type="dxa"/>
            <w:shd w:val="clear" w:color="auto" w:fill="auto"/>
          </w:tcPr>
          <w:p w:rsidR="00ED7DB4" w:rsidRPr="00400ABD" w:rsidRDefault="00ED7DB4" w:rsidP="008A576F">
            <w:pPr>
              <w:pStyle w:val="BulletText1"/>
            </w:pPr>
            <w:r w:rsidRPr="00400ABD">
              <w:t xml:space="preserve">Rh positive </w:t>
            </w:r>
            <w:r w:rsidR="00187170">
              <w:t>RBC units</w:t>
            </w:r>
            <w:r w:rsidRPr="00400ABD">
              <w:t xml:space="preserve"> may be substituted for Rh negative </w:t>
            </w:r>
            <w:r w:rsidR="00FB54E9">
              <w:t>RBC units</w:t>
            </w:r>
            <w:r w:rsidR="008A576F" w:rsidRPr="00400ABD">
              <w:t xml:space="preserve"> when the patient is </w:t>
            </w:r>
            <w:r w:rsidR="00187170">
              <w:t xml:space="preserve">an adult </w:t>
            </w:r>
            <w:r w:rsidR="008A576F" w:rsidRPr="00400ABD">
              <w:t xml:space="preserve">Male or </w:t>
            </w:r>
            <w:r w:rsidR="00882C5F">
              <w:t xml:space="preserve">Female greater than child-bearing age, </w:t>
            </w:r>
            <w:r w:rsidR="00187170">
              <w:t>and</w:t>
            </w:r>
            <w:r w:rsidR="006A55D0" w:rsidRPr="00400ABD">
              <w:rPr>
                <w:color w:val="auto"/>
              </w:rPr>
              <w:t xml:space="preserve"> has </w:t>
            </w:r>
            <w:r w:rsidR="00EA7442" w:rsidRPr="00400ABD">
              <w:t>no history of anti-D</w:t>
            </w:r>
            <w:r w:rsidR="00F8160B">
              <w:t>,</w:t>
            </w:r>
            <w:r w:rsidR="00EA7442" w:rsidRPr="00400ABD">
              <w:t xml:space="preserve"> </w:t>
            </w:r>
            <w:r w:rsidR="0038756A">
              <w:t>in</w:t>
            </w:r>
            <w:r w:rsidR="00EA7442" w:rsidRPr="00400ABD">
              <w:t xml:space="preserve"> </w:t>
            </w:r>
            <w:r w:rsidRPr="00400ABD">
              <w:t>the</w:t>
            </w:r>
            <w:r w:rsidR="00EA7442" w:rsidRPr="00400ABD">
              <w:t xml:space="preserve"> following</w:t>
            </w:r>
            <w:r w:rsidR="0038756A">
              <w:t xml:space="preserve"> situation</w:t>
            </w:r>
            <w:r w:rsidR="00F8160B">
              <w:t>s</w:t>
            </w:r>
            <w:r w:rsidRPr="00400ABD">
              <w:t>:</w:t>
            </w:r>
          </w:p>
          <w:p w:rsidR="0038756A" w:rsidRDefault="008A576F" w:rsidP="00ED7DB4">
            <w:pPr>
              <w:pStyle w:val="BulletText3"/>
            </w:pPr>
            <w:r w:rsidRPr="00400ABD">
              <w:t>E</w:t>
            </w:r>
            <w:r w:rsidR="00ED7DB4" w:rsidRPr="00400ABD">
              <w:t xml:space="preserve">mergency </w:t>
            </w:r>
            <w:r w:rsidRPr="00400ABD">
              <w:t>Release</w:t>
            </w:r>
          </w:p>
          <w:p w:rsidR="00ED7DB4" w:rsidRDefault="0038756A" w:rsidP="0038756A">
            <w:pPr>
              <w:pStyle w:val="BulletText3"/>
            </w:pPr>
            <w:r w:rsidRPr="0038756A">
              <w:t>Massive Transfusion Protocol</w:t>
            </w:r>
          </w:p>
          <w:p w:rsidR="0000749E" w:rsidRDefault="0000749E" w:rsidP="0038756A">
            <w:pPr>
              <w:pStyle w:val="BulletText3"/>
            </w:pPr>
            <w:r>
              <w:t xml:space="preserve">Routine transfusion of actively bleeding patients once it becomes clear that there will be large transfusion requirements (i.e. &gt; </w:t>
            </w:r>
            <w:r w:rsidR="00882C5F">
              <w:t>6 RBC</w:t>
            </w:r>
            <w:r>
              <w:t xml:space="preserve"> units in 24 hours).</w:t>
            </w:r>
          </w:p>
          <w:p w:rsidR="004072A7" w:rsidRPr="00400ABD" w:rsidRDefault="004072A7" w:rsidP="004072A7">
            <w:pPr>
              <w:pStyle w:val="BulletText1"/>
            </w:pPr>
            <w:r>
              <w:t xml:space="preserve">Staff </w:t>
            </w:r>
            <w:r w:rsidR="00D36AF4">
              <w:t>will</w:t>
            </w:r>
            <w:r>
              <w:t xml:space="preserve"> use the ove</w:t>
            </w:r>
            <w:r w:rsidR="00F45CEA">
              <w:t xml:space="preserve">rride code REBPS whenever </w:t>
            </w:r>
            <w:r w:rsidR="00D36AF4">
              <w:t>an override code is needed due to supply of alternate blood type shortages</w:t>
            </w:r>
            <w:r w:rsidR="00F45CEA">
              <w:t>.</w:t>
            </w:r>
          </w:p>
          <w:p w:rsidR="0000749E" w:rsidRDefault="00EA7442" w:rsidP="0038756A">
            <w:pPr>
              <w:pStyle w:val="BulletText1"/>
            </w:pPr>
            <w:r w:rsidRPr="00400ABD">
              <w:t xml:space="preserve">Attending physician </w:t>
            </w:r>
            <w:r w:rsidR="0000749E">
              <w:t xml:space="preserve">notification </w:t>
            </w:r>
            <w:r w:rsidR="00F8160B">
              <w:t xml:space="preserve">is </w:t>
            </w:r>
            <w:r w:rsidR="0000749E">
              <w:t>require</w:t>
            </w:r>
            <w:r w:rsidR="00F8160B">
              <w:t>d</w:t>
            </w:r>
            <w:r w:rsidR="0000749E">
              <w:t xml:space="preserve"> as follows</w:t>
            </w:r>
            <w:r w:rsidR="003F13E7">
              <w:t xml:space="preserve"> when</w:t>
            </w:r>
            <w:r w:rsidR="0000749E">
              <w:t>:</w:t>
            </w:r>
          </w:p>
          <w:p w:rsidR="00EA7442" w:rsidRPr="00400ABD" w:rsidRDefault="00EA7442" w:rsidP="0000749E">
            <w:pPr>
              <w:pStyle w:val="BulletText3"/>
            </w:pPr>
            <w:r w:rsidRPr="00400ABD">
              <w:t xml:space="preserve">Rh positive RBC’s or platelets </w:t>
            </w:r>
            <w:r w:rsidR="008A576F" w:rsidRPr="00400ABD">
              <w:t>need</w:t>
            </w:r>
            <w:r w:rsidRPr="00400ABD">
              <w:t xml:space="preserve"> to be provided </w:t>
            </w:r>
            <w:r w:rsidR="008A576F" w:rsidRPr="00400ABD">
              <w:t>for</w:t>
            </w:r>
            <w:r w:rsidRPr="00400ABD">
              <w:t xml:space="preserve"> female pat</w:t>
            </w:r>
            <w:r w:rsidR="0023595D" w:rsidRPr="00400ABD">
              <w:t xml:space="preserve">ients of child bearing </w:t>
            </w:r>
            <w:r w:rsidR="00F8160B">
              <w:t>age in order to determine if</w:t>
            </w:r>
            <w:r w:rsidR="00F8160B" w:rsidRPr="00400ABD">
              <w:t xml:space="preserve"> Rh Immune Globulin </w:t>
            </w:r>
            <w:r w:rsidR="00F8160B">
              <w:t>administration is warranted.</w:t>
            </w:r>
          </w:p>
          <w:p w:rsidR="00F45CEA" w:rsidRPr="00400ABD" w:rsidRDefault="003F13E7" w:rsidP="00F45CEA">
            <w:pPr>
              <w:pStyle w:val="BulletText3"/>
            </w:pPr>
            <w:r>
              <w:t>An</w:t>
            </w:r>
            <w:r w:rsidR="008F5875">
              <w:t xml:space="preserve"> Rh negative patient</w:t>
            </w:r>
            <w:r>
              <w:t xml:space="preserve"> (male or female older than child bearing age)</w:t>
            </w:r>
            <w:r w:rsidR="008F5875">
              <w:t xml:space="preserve"> needs to be</w:t>
            </w:r>
            <w:r w:rsidR="008A576F" w:rsidRPr="00400ABD">
              <w:t xml:space="preserve"> provided with Rh positive </w:t>
            </w:r>
            <w:r w:rsidR="0038756A">
              <w:t>RBC’s</w:t>
            </w:r>
            <w:r w:rsidR="00594347">
              <w:t xml:space="preserve"> for each routine transfusion</w:t>
            </w:r>
            <w:r w:rsidR="00AE6274">
              <w:t>,</w:t>
            </w:r>
            <w:r w:rsidR="00594347">
              <w:t xml:space="preserve"> except for actively bleeding patients</w:t>
            </w:r>
            <w:r w:rsidR="00AE6274">
              <w:t>,</w:t>
            </w:r>
            <w:r w:rsidR="00594347">
              <w:t xml:space="preserve"> when physician notification is required for the initial switch only. </w:t>
            </w:r>
          </w:p>
        </w:tc>
      </w:tr>
    </w:tbl>
    <w:p w:rsidR="00ED7DB4" w:rsidRDefault="00594347" w:rsidP="00594347">
      <w:pPr>
        <w:pStyle w:val="ContinuedOnNextPa"/>
      </w:pPr>
      <w:r>
        <w:t>Continued on next page</w:t>
      </w:r>
    </w:p>
    <w:p w:rsidR="00F45CEA" w:rsidRDefault="00F45CEA" w:rsidP="00594347">
      <w:pPr>
        <w:pStyle w:val="MapTitleContinued"/>
      </w:pPr>
    </w:p>
    <w:p w:rsidR="00F45CEA" w:rsidRDefault="00F45CEA" w:rsidP="00594347">
      <w:pPr>
        <w:pStyle w:val="MapTitleContinued"/>
      </w:pPr>
    </w:p>
    <w:p w:rsidR="00D36AF4" w:rsidRDefault="00D36AF4" w:rsidP="00D36AF4"/>
    <w:p w:rsidR="00D36AF4" w:rsidRPr="00D36AF4" w:rsidRDefault="00D36AF4" w:rsidP="00D36AF4"/>
    <w:p w:rsidR="00594347" w:rsidRDefault="00AB70FC" w:rsidP="00594347">
      <w:pPr>
        <w:pStyle w:val="MapTitleContinued"/>
        <w:rPr>
          <w:b w:val="0"/>
          <w:sz w:val="24"/>
        </w:rPr>
      </w:pPr>
      <w:fldSimple w:instr=" STYLEREF &quot;Map Title&quot; ">
        <w:r w:rsidR="00103493">
          <w:rPr>
            <w:noProof/>
          </w:rPr>
          <w:t>Policy for Managing Blood Inventory during Shortages</w:t>
        </w:r>
      </w:fldSimple>
      <w:r w:rsidR="00594347" w:rsidRPr="00594347">
        <w:t xml:space="preserve">, </w:t>
      </w:r>
      <w:r w:rsidR="00594347" w:rsidRPr="00594347">
        <w:rPr>
          <w:b w:val="0"/>
          <w:sz w:val="24"/>
        </w:rPr>
        <w:t>Continued</w:t>
      </w:r>
    </w:p>
    <w:p w:rsidR="00594347" w:rsidRPr="00594347" w:rsidRDefault="00594347" w:rsidP="00594347">
      <w:pPr>
        <w:pStyle w:val="BlockLine"/>
      </w:pPr>
    </w:p>
    <w:tbl>
      <w:tblPr>
        <w:tblW w:w="9468" w:type="dxa"/>
        <w:tblLayout w:type="fixed"/>
        <w:tblLook w:val="0000" w:firstRow="0" w:lastRow="0" w:firstColumn="0" w:lastColumn="0" w:noHBand="0" w:noVBand="0"/>
      </w:tblPr>
      <w:tblGrid>
        <w:gridCol w:w="1728"/>
        <w:gridCol w:w="7740"/>
      </w:tblGrid>
      <w:tr w:rsidR="00594347" w:rsidRPr="00594347" w:rsidTr="00594347">
        <w:tc>
          <w:tcPr>
            <w:tcW w:w="1728" w:type="dxa"/>
            <w:shd w:val="clear" w:color="auto" w:fill="auto"/>
          </w:tcPr>
          <w:p w:rsidR="00594347" w:rsidRPr="00594347" w:rsidRDefault="00AB70FC" w:rsidP="00594347">
            <w:pPr>
              <w:pStyle w:val="ContinuedBlockLabel"/>
            </w:pPr>
            <w:fldSimple w:instr=" STYLEREF &quot;Block Label&quot; ">
              <w:r w:rsidR="00103493">
                <w:rPr>
                  <w:noProof/>
                </w:rPr>
                <w:t>Policy</w:t>
              </w:r>
            </w:fldSimple>
            <w:r w:rsidR="00594347">
              <w:t xml:space="preserve"> </w:t>
            </w:r>
            <w:r w:rsidR="00594347" w:rsidRPr="00594347">
              <w:rPr>
                <w:b w:val="0"/>
              </w:rPr>
              <w:t>(continued)</w:t>
            </w:r>
          </w:p>
        </w:tc>
        <w:tc>
          <w:tcPr>
            <w:tcW w:w="7740" w:type="dxa"/>
            <w:shd w:val="clear" w:color="auto" w:fill="auto"/>
          </w:tcPr>
          <w:p w:rsidR="00F45CEA" w:rsidRDefault="00F45CEA" w:rsidP="00F45CEA">
            <w:pPr>
              <w:pStyle w:val="BulletText1"/>
            </w:pPr>
            <w:r>
              <w:t>Rh negative patients who have been switched to Rh positive RBCs should be switched back to Rh negative RBC’s as soon as one or more of the following criteria has been met:</w:t>
            </w:r>
          </w:p>
          <w:p w:rsidR="00F45CEA" w:rsidRDefault="00F45CEA" w:rsidP="00F45CEA">
            <w:pPr>
              <w:pStyle w:val="BulletText3"/>
            </w:pPr>
            <w:r>
              <w:t>Notification from the patients care givers that the active phase of bleeding over;</w:t>
            </w:r>
          </w:p>
          <w:p w:rsidR="00F45CEA" w:rsidRDefault="00F45CEA" w:rsidP="00F45CEA">
            <w:pPr>
              <w:pStyle w:val="BulletText3"/>
            </w:pPr>
            <w:r w:rsidRPr="00F45CEA">
              <w:t>Notification from the blood supplier that the shortage is over and affiliate inventory is returned to minimum level;</w:t>
            </w:r>
          </w:p>
          <w:p w:rsidR="00F45CEA" w:rsidRDefault="00F45CEA" w:rsidP="00F45CEA">
            <w:pPr>
              <w:pStyle w:val="BulletText3"/>
            </w:pPr>
            <w:r w:rsidRPr="00F45CEA">
              <w:t>No more than 3 days after 1</w:t>
            </w:r>
            <w:r w:rsidRPr="00F45CEA">
              <w:rPr>
                <w:vertAlign w:val="superscript"/>
              </w:rPr>
              <w:t>st</w:t>
            </w:r>
            <w:r w:rsidRPr="00F45CEA">
              <w:t xml:space="preserve"> Rh positive RBC has been administered. If more than 3 days since administration, consult with pathologist.</w:t>
            </w:r>
          </w:p>
          <w:p w:rsidR="004072A7" w:rsidRDefault="004072A7" w:rsidP="004072A7">
            <w:pPr>
              <w:pStyle w:val="BulletText1"/>
            </w:pPr>
            <w:r w:rsidRPr="004072A7">
              <w:t>Provi</w:t>
            </w:r>
            <w:r>
              <w:t xml:space="preserve">ding patients with type O RBC’s </w:t>
            </w:r>
            <w:r w:rsidRPr="004072A7">
              <w:rPr>
                <w:b/>
              </w:rPr>
              <w:t>does not</w:t>
            </w:r>
            <w:r w:rsidRPr="004072A7">
              <w:t xml:space="preserve"> require prior notification or approval of the attending physician.</w:t>
            </w:r>
          </w:p>
          <w:p w:rsidR="00594347" w:rsidRPr="00400ABD" w:rsidRDefault="00594347" w:rsidP="00594347">
            <w:pPr>
              <w:pStyle w:val="BulletText1"/>
            </w:pPr>
            <w:r w:rsidRPr="00400ABD">
              <w:t xml:space="preserve">No more than 2 </w:t>
            </w:r>
            <w:r>
              <w:t xml:space="preserve">ABO </w:t>
            </w:r>
            <w:r w:rsidR="004072A7">
              <w:t>plasma-</w:t>
            </w:r>
            <w:r w:rsidRPr="00400ABD">
              <w:t>incompatible platelets will be transfused to an adult within a 24 hour period</w:t>
            </w:r>
            <w:r w:rsidR="004072A7">
              <w:t xml:space="preserve"> without discussion or approval from the pathologist</w:t>
            </w:r>
            <w:r w:rsidRPr="00400ABD">
              <w:t>.</w:t>
            </w:r>
            <w:r>
              <w:t xml:space="preserve"> </w:t>
            </w:r>
            <w:r w:rsidR="00F8160B">
              <w:t xml:space="preserve"> Exception:  </w:t>
            </w:r>
            <w:r>
              <w:t>Refer to affiliate specific policies for MTP situations.</w:t>
            </w:r>
            <w:r w:rsidRPr="00400ABD">
              <w:t xml:space="preserve"> </w:t>
            </w:r>
          </w:p>
          <w:p w:rsidR="00594347" w:rsidRPr="00594347" w:rsidRDefault="00594347" w:rsidP="00F8160B">
            <w:pPr>
              <w:pStyle w:val="BulletText3"/>
            </w:pPr>
            <w:r w:rsidRPr="00400ABD">
              <w:t xml:space="preserve">Neonates and Pediatric patient’s require </w:t>
            </w:r>
            <w:r>
              <w:t xml:space="preserve">ABO/Rh </w:t>
            </w:r>
            <w:r w:rsidRPr="00400ABD">
              <w:t>compatible platelets.</w:t>
            </w:r>
          </w:p>
        </w:tc>
      </w:tr>
    </w:tbl>
    <w:p w:rsidR="00594347" w:rsidRPr="00A56B03" w:rsidRDefault="00594347" w:rsidP="00A56B03">
      <w:pPr>
        <w:pStyle w:val="BlockLine"/>
      </w:pPr>
    </w:p>
    <w:tbl>
      <w:tblPr>
        <w:tblW w:w="9468" w:type="dxa"/>
        <w:tblLayout w:type="fixed"/>
        <w:tblLook w:val="0000" w:firstRow="0" w:lastRow="0" w:firstColumn="0" w:lastColumn="0" w:noHBand="0" w:noVBand="0"/>
      </w:tblPr>
      <w:tblGrid>
        <w:gridCol w:w="1728"/>
        <w:gridCol w:w="7740"/>
      </w:tblGrid>
      <w:tr w:rsidR="00A56B03" w:rsidRPr="00A56B03" w:rsidTr="00A56B03">
        <w:tblPrEx>
          <w:tblCellMar>
            <w:top w:w="0" w:type="dxa"/>
            <w:bottom w:w="0" w:type="dxa"/>
          </w:tblCellMar>
        </w:tblPrEx>
        <w:tc>
          <w:tcPr>
            <w:tcW w:w="1728" w:type="dxa"/>
            <w:shd w:val="clear" w:color="auto" w:fill="auto"/>
          </w:tcPr>
          <w:p w:rsidR="00A56B03" w:rsidRPr="00A56B03" w:rsidRDefault="00A56B03" w:rsidP="00A56B03">
            <w:pPr>
              <w:pStyle w:val="Heading5"/>
            </w:pPr>
            <w:r>
              <w:t>Forms</w:t>
            </w:r>
          </w:p>
        </w:tc>
        <w:tc>
          <w:tcPr>
            <w:tcW w:w="7740" w:type="dxa"/>
            <w:shd w:val="clear" w:color="auto" w:fill="auto"/>
          </w:tcPr>
          <w:p w:rsidR="00A56B03" w:rsidRDefault="00A56B03" w:rsidP="00A56B03">
            <w:pPr>
              <w:pStyle w:val="BlockText"/>
            </w:pPr>
            <w:r>
              <w:t>A: Incompatible Rh RBC Form</w:t>
            </w:r>
          </w:p>
          <w:p w:rsidR="00A56B03" w:rsidRPr="00A56B03" w:rsidRDefault="00A56B03" w:rsidP="00A56B03">
            <w:pPr>
              <w:pStyle w:val="BlockText"/>
            </w:pPr>
            <w:r>
              <w:t>B: Plasma Incompatible Platelet F</w:t>
            </w:r>
            <w:bookmarkStart w:id="0" w:name="_GoBack"/>
            <w:bookmarkEnd w:id="0"/>
            <w:r>
              <w:t>orm</w:t>
            </w:r>
          </w:p>
        </w:tc>
      </w:tr>
      <w:tr w:rsidR="00A56B03" w:rsidRPr="00A56B03" w:rsidTr="00A56B03">
        <w:tblPrEx>
          <w:tblCellMar>
            <w:top w:w="0" w:type="dxa"/>
            <w:bottom w:w="0" w:type="dxa"/>
          </w:tblCellMar>
        </w:tblPrEx>
        <w:tc>
          <w:tcPr>
            <w:tcW w:w="1728" w:type="dxa"/>
            <w:shd w:val="clear" w:color="auto" w:fill="auto"/>
          </w:tcPr>
          <w:p w:rsidR="00A56B03" w:rsidRDefault="00A56B03" w:rsidP="00A56B03">
            <w:pPr>
              <w:pStyle w:val="Heading5"/>
            </w:pPr>
          </w:p>
        </w:tc>
        <w:tc>
          <w:tcPr>
            <w:tcW w:w="7740" w:type="dxa"/>
            <w:shd w:val="clear" w:color="auto" w:fill="auto"/>
          </w:tcPr>
          <w:p w:rsidR="00A56B03" w:rsidRDefault="00A56B03" w:rsidP="00A56B03">
            <w:pPr>
              <w:pStyle w:val="BlockText"/>
            </w:pPr>
          </w:p>
        </w:tc>
      </w:tr>
    </w:tbl>
    <w:p w:rsidR="00A56B03" w:rsidRPr="00A56B03" w:rsidRDefault="00A56B03" w:rsidP="00A56B03">
      <w:pPr>
        <w:pStyle w:val="BlockLine"/>
      </w:pPr>
    </w:p>
    <w:sectPr w:rsidR="00A56B03" w:rsidRPr="00A56B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B76" w:rsidRDefault="00077B76" w:rsidP="00077B76">
      <w:r>
        <w:separator/>
      </w:r>
    </w:p>
  </w:endnote>
  <w:endnote w:type="continuationSeparator" w:id="0">
    <w:p w:rsidR="00077B76" w:rsidRDefault="00077B76" w:rsidP="0007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FC" w:rsidRDefault="00AB70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70020867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AB70FC" w:rsidRDefault="00AB70FC" w:rsidP="00077B76">
            <w:pPr>
              <w:pStyle w:val="Footer"/>
              <w:rPr>
                <w:sz w:val="18"/>
                <w:szCs w:val="18"/>
              </w:rPr>
            </w:pPr>
            <w:r>
              <w:rPr>
                <w:sz w:val="18"/>
                <w:szCs w:val="18"/>
              </w:rPr>
              <w:t>TS.NON 11.25-0-RV.01</w:t>
            </w:r>
          </w:p>
          <w:p w:rsidR="00077B76" w:rsidRPr="00077B76" w:rsidRDefault="00AB70FC" w:rsidP="00077B76">
            <w:pPr>
              <w:pStyle w:val="Footer"/>
              <w:rPr>
                <w:sz w:val="18"/>
                <w:szCs w:val="18"/>
              </w:rPr>
            </w:pPr>
            <w:r>
              <w:rPr>
                <w:sz w:val="18"/>
                <w:szCs w:val="18"/>
              </w:rPr>
              <w:t>J:/Blood Bank/Procedures/Managing Blood Inventory Shortages</w:t>
            </w:r>
            <w:r w:rsidR="00077B76">
              <w:rPr>
                <w:sz w:val="18"/>
                <w:szCs w:val="18"/>
              </w:rPr>
              <w:tab/>
            </w:r>
            <w:r w:rsidR="00077B76">
              <w:rPr>
                <w:sz w:val="18"/>
                <w:szCs w:val="18"/>
              </w:rPr>
              <w:tab/>
            </w:r>
            <w:r w:rsidR="00077B76" w:rsidRPr="00077B76">
              <w:rPr>
                <w:sz w:val="18"/>
                <w:szCs w:val="18"/>
              </w:rPr>
              <w:t xml:space="preserve">Page </w:t>
            </w:r>
            <w:r w:rsidR="00077B76" w:rsidRPr="00077B76">
              <w:rPr>
                <w:bCs/>
                <w:sz w:val="18"/>
                <w:szCs w:val="18"/>
              </w:rPr>
              <w:fldChar w:fldCharType="begin"/>
            </w:r>
            <w:r w:rsidR="00077B76" w:rsidRPr="00077B76">
              <w:rPr>
                <w:bCs/>
                <w:sz w:val="18"/>
                <w:szCs w:val="18"/>
              </w:rPr>
              <w:instrText xml:space="preserve"> PAGE </w:instrText>
            </w:r>
            <w:r w:rsidR="00077B76" w:rsidRPr="00077B76">
              <w:rPr>
                <w:bCs/>
                <w:sz w:val="18"/>
                <w:szCs w:val="18"/>
              </w:rPr>
              <w:fldChar w:fldCharType="separate"/>
            </w:r>
            <w:r w:rsidR="00A56B03">
              <w:rPr>
                <w:bCs/>
                <w:noProof/>
                <w:sz w:val="18"/>
                <w:szCs w:val="18"/>
              </w:rPr>
              <w:t>2</w:t>
            </w:r>
            <w:r w:rsidR="00077B76" w:rsidRPr="00077B76">
              <w:rPr>
                <w:bCs/>
                <w:sz w:val="18"/>
                <w:szCs w:val="18"/>
              </w:rPr>
              <w:fldChar w:fldCharType="end"/>
            </w:r>
            <w:r w:rsidR="00077B76" w:rsidRPr="00077B76">
              <w:rPr>
                <w:sz w:val="18"/>
                <w:szCs w:val="18"/>
              </w:rPr>
              <w:t xml:space="preserve"> of </w:t>
            </w:r>
            <w:r w:rsidR="00077B76" w:rsidRPr="00077B76">
              <w:rPr>
                <w:bCs/>
                <w:sz w:val="18"/>
                <w:szCs w:val="18"/>
              </w:rPr>
              <w:fldChar w:fldCharType="begin"/>
            </w:r>
            <w:r w:rsidR="00077B76" w:rsidRPr="00077B76">
              <w:rPr>
                <w:bCs/>
                <w:sz w:val="18"/>
                <w:szCs w:val="18"/>
              </w:rPr>
              <w:instrText xml:space="preserve"> NUMPAGES  </w:instrText>
            </w:r>
            <w:r w:rsidR="00077B76" w:rsidRPr="00077B76">
              <w:rPr>
                <w:bCs/>
                <w:sz w:val="18"/>
                <w:szCs w:val="18"/>
              </w:rPr>
              <w:fldChar w:fldCharType="separate"/>
            </w:r>
            <w:r w:rsidR="00A56B03">
              <w:rPr>
                <w:bCs/>
                <w:noProof/>
                <w:sz w:val="18"/>
                <w:szCs w:val="18"/>
              </w:rPr>
              <w:t>2</w:t>
            </w:r>
            <w:r w:rsidR="00077B76" w:rsidRPr="00077B76">
              <w:rPr>
                <w:bCs/>
                <w:sz w:val="18"/>
                <w:szCs w:val="18"/>
              </w:rPr>
              <w:fldChar w:fldCharType="end"/>
            </w:r>
          </w:p>
        </w:sdtContent>
      </w:sdt>
    </w:sdtContent>
  </w:sdt>
  <w:p w:rsidR="00077B76" w:rsidRPr="00077B76" w:rsidRDefault="00077B76">
    <w:pPr>
      <w:pStyle w:val="Foo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FC" w:rsidRDefault="00AB70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B76" w:rsidRDefault="00077B76" w:rsidP="00077B76">
      <w:r>
        <w:separator/>
      </w:r>
    </w:p>
  </w:footnote>
  <w:footnote w:type="continuationSeparator" w:id="0">
    <w:p w:rsidR="00077B76" w:rsidRDefault="00077B76" w:rsidP="00077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FC" w:rsidRDefault="00AB70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B76" w:rsidRDefault="00077B76">
    <w:pPr>
      <w:pStyle w:val="Header"/>
      <w:rPr>
        <w:sz w:val="18"/>
        <w:szCs w:val="18"/>
      </w:rPr>
    </w:pPr>
    <w:r>
      <w:rPr>
        <w:sz w:val="18"/>
        <w:szCs w:val="18"/>
      </w:rPr>
      <w:t>Sutter</w:t>
    </w:r>
    <w:r w:rsidR="00AB70FC">
      <w:rPr>
        <w:sz w:val="18"/>
        <w:szCs w:val="18"/>
      </w:rPr>
      <w:t xml:space="preserve"> Roseville Medical Center</w:t>
    </w:r>
    <w:r>
      <w:rPr>
        <w:sz w:val="18"/>
        <w:szCs w:val="18"/>
      </w:rPr>
      <w:tab/>
    </w:r>
    <w:r>
      <w:rPr>
        <w:sz w:val="18"/>
        <w:szCs w:val="18"/>
      </w:rPr>
      <w:tab/>
      <w:t>Effective Date:</w:t>
    </w:r>
    <w:r w:rsidR="00AB70FC">
      <w:rPr>
        <w:sz w:val="18"/>
        <w:szCs w:val="18"/>
      </w:rPr>
      <w:t xml:space="preserve"> 12/01/2018</w:t>
    </w:r>
  </w:p>
  <w:p w:rsidR="00077B76" w:rsidRPr="00077B76" w:rsidRDefault="00077B76">
    <w:pPr>
      <w:pStyle w:val="Header"/>
      <w:rPr>
        <w:sz w:val="18"/>
        <w:szCs w:val="18"/>
      </w:rPr>
    </w:pPr>
    <w:r w:rsidRPr="00077B76">
      <w:rPr>
        <w:sz w:val="18"/>
        <w:szCs w:val="18"/>
      </w:rPr>
      <w:t>Laboratory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FC" w:rsidRDefault="00AB7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31B0"/>
    <w:multiLevelType w:val="hybridMultilevel"/>
    <w:tmpl w:val="A86257A2"/>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7C2456"/>
    <w:multiLevelType w:val="hybridMultilevel"/>
    <w:tmpl w:val="3F4EFFAC"/>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76"/>
    <w:rsid w:val="0000749E"/>
    <w:rsid w:val="000163AC"/>
    <w:rsid w:val="00077B76"/>
    <w:rsid w:val="000E5B80"/>
    <w:rsid w:val="00103493"/>
    <w:rsid w:val="00187170"/>
    <w:rsid w:val="0023595D"/>
    <w:rsid w:val="0038756A"/>
    <w:rsid w:val="003F13E7"/>
    <w:rsid w:val="00400ABD"/>
    <w:rsid w:val="004072A7"/>
    <w:rsid w:val="00594347"/>
    <w:rsid w:val="006A097C"/>
    <w:rsid w:val="006A55D0"/>
    <w:rsid w:val="006E760A"/>
    <w:rsid w:val="0074570E"/>
    <w:rsid w:val="007C57C2"/>
    <w:rsid w:val="00857C94"/>
    <w:rsid w:val="00864CDB"/>
    <w:rsid w:val="00882C5F"/>
    <w:rsid w:val="008A576F"/>
    <w:rsid w:val="008F5875"/>
    <w:rsid w:val="00A56B03"/>
    <w:rsid w:val="00AB70FC"/>
    <w:rsid w:val="00AE6274"/>
    <w:rsid w:val="00BB16A0"/>
    <w:rsid w:val="00C1793C"/>
    <w:rsid w:val="00D163A1"/>
    <w:rsid w:val="00D36AF4"/>
    <w:rsid w:val="00E80BDB"/>
    <w:rsid w:val="00EA3517"/>
    <w:rsid w:val="00EA7442"/>
    <w:rsid w:val="00ED7DB4"/>
    <w:rsid w:val="00EE2836"/>
    <w:rsid w:val="00F45CEA"/>
    <w:rsid w:val="00F8160B"/>
    <w:rsid w:val="00FB54E9"/>
    <w:rsid w:val="00FC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9358D-6159-41D6-84BE-08A3D496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B76"/>
    <w:pPr>
      <w:spacing w:after="0" w:line="240" w:lineRule="auto"/>
    </w:pPr>
    <w:rPr>
      <w:rFonts w:ascii="Times New Roman" w:eastAsia="Times New Roman" w:hAnsi="Times New Roman" w:cs="Times New Roman"/>
      <w:color w:val="000000"/>
      <w:sz w:val="24"/>
      <w:szCs w:val="24"/>
    </w:rPr>
  </w:style>
  <w:style w:type="paragraph" w:styleId="Heading1">
    <w:name w:val="heading 1"/>
    <w:aliases w:val="Part Title"/>
    <w:basedOn w:val="Normal"/>
    <w:next w:val="Heading4"/>
    <w:link w:val="Heading1Char"/>
    <w:qFormat/>
    <w:rsid w:val="00077B76"/>
    <w:pPr>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rsid w:val="00077B76"/>
    <w:pPr>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rsid w:val="00077B76"/>
    <w:pPr>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rsid w:val="00077B76"/>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077B76"/>
    <w:pPr>
      <w:outlineLvl w:val="4"/>
    </w:pPr>
    <w:rPr>
      <w:b/>
      <w:sz w:val="22"/>
      <w:szCs w:val="20"/>
    </w:rPr>
  </w:style>
  <w:style w:type="paragraph" w:styleId="Heading6">
    <w:name w:val="heading 6"/>
    <w:aliases w:val="Sub Label"/>
    <w:basedOn w:val="Heading5"/>
    <w:next w:val="BlockText"/>
    <w:link w:val="Heading6Char"/>
    <w:qFormat/>
    <w:rsid w:val="00077B76"/>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B76"/>
    <w:pPr>
      <w:tabs>
        <w:tab w:val="center" w:pos="4680"/>
        <w:tab w:val="right" w:pos="9360"/>
      </w:tabs>
    </w:pPr>
  </w:style>
  <w:style w:type="character" w:customStyle="1" w:styleId="HeaderChar">
    <w:name w:val="Header Char"/>
    <w:basedOn w:val="DefaultParagraphFont"/>
    <w:link w:val="Header"/>
    <w:uiPriority w:val="99"/>
    <w:rsid w:val="00077B76"/>
  </w:style>
  <w:style w:type="paragraph" w:styleId="Footer">
    <w:name w:val="footer"/>
    <w:basedOn w:val="Normal"/>
    <w:link w:val="FooterChar"/>
    <w:uiPriority w:val="99"/>
    <w:unhideWhenUsed/>
    <w:rsid w:val="00077B76"/>
    <w:pPr>
      <w:tabs>
        <w:tab w:val="center" w:pos="4680"/>
        <w:tab w:val="right" w:pos="9360"/>
      </w:tabs>
    </w:pPr>
  </w:style>
  <w:style w:type="character" w:customStyle="1" w:styleId="FooterChar">
    <w:name w:val="Footer Char"/>
    <w:basedOn w:val="DefaultParagraphFont"/>
    <w:link w:val="Footer"/>
    <w:uiPriority w:val="99"/>
    <w:rsid w:val="00077B76"/>
  </w:style>
  <w:style w:type="character" w:customStyle="1" w:styleId="Heading1Char">
    <w:name w:val="Heading 1 Char"/>
    <w:aliases w:val="Part Title Char"/>
    <w:basedOn w:val="DefaultParagraphFont"/>
    <w:link w:val="Heading1"/>
    <w:rsid w:val="00077B76"/>
    <w:rPr>
      <w:rFonts w:ascii="Arial" w:eastAsia="Times New Roman" w:hAnsi="Arial" w:cs="Arial"/>
      <w:b/>
      <w:color w:val="000000"/>
      <w:sz w:val="32"/>
      <w:szCs w:val="20"/>
    </w:rPr>
  </w:style>
  <w:style w:type="character" w:customStyle="1" w:styleId="Heading2Char">
    <w:name w:val="Heading 2 Char"/>
    <w:aliases w:val="Chapter Title Char"/>
    <w:basedOn w:val="DefaultParagraphFont"/>
    <w:link w:val="Heading2"/>
    <w:rsid w:val="00077B76"/>
    <w:rPr>
      <w:rFonts w:ascii="Arial" w:eastAsia="Times New Roman" w:hAnsi="Arial" w:cs="Arial"/>
      <w:b/>
      <w:color w:val="000000"/>
      <w:sz w:val="32"/>
      <w:szCs w:val="20"/>
    </w:rPr>
  </w:style>
  <w:style w:type="character" w:customStyle="1" w:styleId="Heading3Char">
    <w:name w:val="Heading 3 Char"/>
    <w:aliases w:val="Section Title Char"/>
    <w:basedOn w:val="DefaultParagraphFont"/>
    <w:link w:val="Heading3"/>
    <w:rsid w:val="00077B76"/>
    <w:rPr>
      <w:rFonts w:ascii="Arial" w:eastAsia="Times New Roman" w:hAnsi="Arial" w:cs="Arial"/>
      <w:b/>
      <w:color w:val="000000"/>
      <w:sz w:val="32"/>
      <w:szCs w:val="20"/>
    </w:rPr>
  </w:style>
  <w:style w:type="character" w:customStyle="1" w:styleId="Heading4Char">
    <w:name w:val="Heading 4 Char"/>
    <w:aliases w:val="Map Title Char"/>
    <w:basedOn w:val="DefaultParagraphFont"/>
    <w:link w:val="Heading4"/>
    <w:rsid w:val="00077B76"/>
    <w:rPr>
      <w:rFonts w:ascii="Arial" w:eastAsia="Times New Roman" w:hAnsi="Arial" w:cs="Arial"/>
      <w:b/>
      <w:color w:val="000000"/>
      <w:sz w:val="32"/>
      <w:szCs w:val="20"/>
    </w:rPr>
  </w:style>
  <w:style w:type="character" w:customStyle="1" w:styleId="Heading5Char">
    <w:name w:val="Heading 5 Char"/>
    <w:aliases w:val="Block Label Char"/>
    <w:basedOn w:val="DefaultParagraphFont"/>
    <w:link w:val="Heading5"/>
    <w:rsid w:val="00077B76"/>
    <w:rPr>
      <w:rFonts w:ascii="Times New Roman" w:eastAsia="Times New Roman" w:hAnsi="Times New Roman" w:cs="Times New Roman"/>
      <w:b/>
      <w:color w:val="000000"/>
      <w:szCs w:val="20"/>
    </w:rPr>
  </w:style>
  <w:style w:type="character" w:customStyle="1" w:styleId="Heading6Char">
    <w:name w:val="Heading 6 Char"/>
    <w:aliases w:val="Sub Label Char"/>
    <w:basedOn w:val="DefaultParagraphFont"/>
    <w:link w:val="Heading6"/>
    <w:rsid w:val="00077B76"/>
    <w:rPr>
      <w:rFonts w:ascii="Times New Roman" w:eastAsia="Times New Roman" w:hAnsi="Times New Roman" w:cs="Times New Roman"/>
      <w:b/>
      <w:i/>
      <w:color w:val="000000"/>
      <w:szCs w:val="20"/>
    </w:rPr>
  </w:style>
  <w:style w:type="paragraph" w:customStyle="1" w:styleId="BlockLine">
    <w:name w:val="Block Line"/>
    <w:basedOn w:val="Normal"/>
    <w:next w:val="Normal"/>
    <w:rsid w:val="00077B76"/>
    <w:pPr>
      <w:pBdr>
        <w:top w:val="single" w:sz="6" w:space="1" w:color="auto"/>
        <w:between w:val="single" w:sz="6" w:space="1" w:color="auto"/>
      </w:pBdr>
      <w:spacing w:before="240"/>
      <w:ind w:left="1728"/>
    </w:pPr>
    <w:rPr>
      <w:szCs w:val="20"/>
    </w:rPr>
  </w:style>
  <w:style w:type="paragraph" w:styleId="BlockText">
    <w:name w:val="Block Text"/>
    <w:basedOn w:val="Normal"/>
    <w:rsid w:val="00077B76"/>
  </w:style>
  <w:style w:type="paragraph" w:customStyle="1" w:styleId="BulletText1">
    <w:name w:val="Bullet Text 1"/>
    <w:basedOn w:val="Normal"/>
    <w:rsid w:val="00077B76"/>
    <w:pPr>
      <w:numPr>
        <w:numId w:val="1"/>
      </w:numPr>
    </w:pPr>
    <w:rPr>
      <w:szCs w:val="20"/>
    </w:rPr>
  </w:style>
  <w:style w:type="paragraph" w:customStyle="1" w:styleId="BulletText2">
    <w:name w:val="Bullet Text 2"/>
    <w:basedOn w:val="Normal"/>
    <w:rsid w:val="00077B76"/>
    <w:pPr>
      <w:numPr>
        <w:numId w:val="2"/>
      </w:numPr>
    </w:pPr>
    <w:rPr>
      <w:szCs w:val="20"/>
    </w:rPr>
  </w:style>
  <w:style w:type="paragraph" w:customStyle="1" w:styleId="BulletText3">
    <w:name w:val="Bullet Text 3"/>
    <w:basedOn w:val="Normal"/>
    <w:rsid w:val="00077B76"/>
    <w:pPr>
      <w:numPr>
        <w:numId w:val="3"/>
      </w:numPr>
    </w:pPr>
  </w:style>
  <w:style w:type="paragraph" w:customStyle="1" w:styleId="ContinuedBlockLabel">
    <w:name w:val="Continued Block Label"/>
    <w:basedOn w:val="Normal"/>
    <w:next w:val="Normal"/>
    <w:rsid w:val="00077B76"/>
    <w:pPr>
      <w:spacing w:after="240"/>
    </w:pPr>
    <w:rPr>
      <w:b/>
      <w:sz w:val="22"/>
      <w:szCs w:val="20"/>
    </w:rPr>
  </w:style>
  <w:style w:type="paragraph" w:customStyle="1" w:styleId="ContinuedOnNextPa">
    <w:name w:val="Continued On Next Pa"/>
    <w:basedOn w:val="Normal"/>
    <w:next w:val="Normal"/>
    <w:rsid w:val="00077B76"/>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077B76"/>
    <w:pPr>
      <w:spacing w:after="240"/>
    </w:pPr>
    <w:rPr>
      <w:b/>
      <w:sz w:val="22"/>
      <w:szCs w:val="20"/>
    </w:rPr>
  </w:style>
  <w:style w:type="paragraph" w:customStyle="1" w:styleId="EmbeddedText">
    <w:name w:val="Embedded Text"/>
    <w:basedOn w:val="Normal"/>
    <w:rsid w:val="00077B76"/>
    <w:rPr>
      <w:szCs w:val="20"/>
    </w:rPr>
  </w:style>
  <w:style w:type="character" w:styleId="HTMLAcronym">
    <w:name w:val="HTML Acronym"/>
    <w:basedOn w:val="DefaultParagraphFont"/>
    <w:rsid w:val="00077B76"/>
  </w:style>
  <w:style w:type="paragraph" w:customStyle="1" w:styleId="IMTOC">
    <w:name w:val="IMTOC"/>
    <w:rsid w:val="00077B76"/>
    <w:pPr>
      <w:spacing w:after="0" w:line="240" w:lineRule="auto"/>
    </w:pPr>
    <w:rPr>
      <w:rFonts w:ascii="Times New Roman" w:eastAsia="Times New Roman" w:hAnsi="Times New Roman" w:cs="Times New Roman"/>
      <w:sz w:val="24"/>
      <w:szCs w:val="20"/>
    </w:rPr>
  </w:style>
  <w:style w:type="paragraph" w:customStyle="1" w:styleId="MapTitleContinued">
    <w:name w:val="Map Title. Continued"/>
    <w:basedOn w:val="Normal"/>
    <w:next w:val="Normal"/>
    <w:rsid w:val="00077B76"/>
    <w:pPr>
      <w:spacing w:after="240"/>
    </w:pPr>
    <w:rPr>
      <w:rFonts w:ascii="Arial" w:hAnsi="Arial" w:cs="Arial"/>
      <w:b/>
      <w:sz w:val="32"/>
      <w:szCs w:val="20"/>
    </w:rPr>
  </w:style>
  <w:style w:type="paragraph" w:customStyle="1" w:styleId="MemoLine">
    <w:name w:val="Memo Line"/>
    <w:basedOn w:val="BlockLine"/>
    <w:next w:val="Normal"/>
    <w:rsid w:val="00077B76"/>
    <w:pPr>
      <w:ind w:left="0"/>
    </w:pPr>
  </w:style>
  <w:style w:type="paragraph" w:customStyle="1" w:styleId="NoteText">
    <w:name w:val="Note Text"/>
    <w:basedOn w:val="Normal"/>
    <w:rsid w:val="00077B76"/>
    <w:rPr>
      <w:szCs w:val="20"/>
    </w:rPr>
  </w:style>
  <w:style w:type="paragraph" w:customStyle="1" w:styleId="PublicationTitle">
    <w:name w:val="Publication Title"/>
    <w:basedOn w:val="Normal"/>
    <w:next w:val="Heading4"/>
    <w:rsid w:val="00077B76"/>
    <w:pPr>
      <w:spacing w:after="240"/>
      <w:jc w:val="center"/>
    </w:pPr>
    <w:rPr>
      <w:rFonts w:ascii="Arial" w:hAnsi="Arial" w:cs="Arial"/>
      <w:b/>
      <w:sz w:val="32"/>
      <w:szCs w:val="20"/>
    </w:rPr>
  </w:style>
  <w:style w:type="paragraph" w:customStyle="1" w:styleId="TableHeaderText">
    <w:name w:val="Table Header Text"/>
    <w:basedOn w:val="Normal"/>
    <w:rsid w:val="00077B76"/>
    <w:pPr>
      <w:jc w:val="center"/>
    </w:pPr>
    <w:rPr>
      <w:b/>
      <w:szCs w:val="20"/>
    </w:rPr>
  </w:style>
  <w:style w:type="paragraph" w:customStyle="1" w:styleId="TableText">
    <w:name w:val="Table Text"/>
    <w:basedOn w:val="Normal"/>
    <w:rsid w:val="00077B76"/>
    <w:rPr>
      <w:szCs w:val="20"/>
    </w:rPr>
  </w:style>
  <w:style w:type="paragraph" w:customStyle="1" w:styleId="TOCTitle">
    <w:name w:val="TOC Title"/>
    <w:basedOn w:val="Normal"/>
    <w:rsid w:val="00077B76"/>
    <w:pPr>
      <w:widowControl w:val="0"/>
    </w:pPr>
    <w:rPr>
      <w:rFonts w:ascii="Arial" w:hAnsi="Arial" w:cs="Arial"/>
      <w:b/>
      <w:sz w:val="32"/>
      <w:szCs w:val="20"/>
    </w:rPr>
  </w:style>
  <w:style w:type="paragraph" w:customStyle="1" w:styleId="TOCItem">
    <w:name w:val="TOCItem"/>
    <w:basedOn w:val="Normal"/>
    <w:rsid w:val="00077B76"/>
    <w:pPr>
      <w:tabs>
        <w:tab w:val="left" w:leader="dot" w:pos="7061"/>
        <w:tab w:val="right" w:pos="7524"/>
      </w:tabs>
      <w:spacing w:before="60" w:after="60"/>
      <w:ind w:right="465"/>
    </w:pPr>
    <w:rPr>
      <w:szCs w:val="20"/>
    </w:rPr>
  </w:style>
  <w:style w:type="paragraph" w:customStyle="1" w:styleId="TOCStem">
    <w:name w:val="TOCStem"/>
    <w:basedOn w:val="Normal"/>
    <w:rsid w:val="00077B76"/>
    <w:rPr>
      <w:szCs w:val="20"/>
    </w:rPr>
  </w:style>
  <w:style w:type="paragraph" w:styleId="BalloonText">
    <w:name w:val="Balloon Text"/>
    <w:basedOn w:val="Normal"/>
    <w:link w:val="BalloonTextChar"/>
    <w:uiPriority w:val="99"/>
    <w:semiHidden/>
    <w:unhideWhenUsed/>
    <w:rsid w:val="006A55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5D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FSPro</Template>
  <TotalTime>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DeRee, Michele</dc:creator>
  <cp:keywords/>
  <dc:description/>
  <cp:lastModifiedBy>Wittkop, Irene</cp:lastModifiedBy>
  <cp:revision>2</cp:revision>
  <dcterms:created xsi:type="dcterms:W3CDTF">2018-11-21T21:35:00Z</dcterms:created>
  <dcterms:modified xsi:type="dcterms:W3CDTF">2018-11-21T21:35:00Z</dcterms:modified>
</cp:coreProperties>
</file>