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78" w:rsidRDefault="008A0778" w:rsidP="00FC3CCD">
      <w:pPr>
        <w:pStyle w:val="Heading4"/>
        <w:ind w:left="1440" w:firstLine="720"/>
        <w:rPr>
          <w:color w:val="0070C0"/>
        </w:rPr>
      </w:pPr>
      <w:bookmarkStart w:id="0" w:name="MapTitleHere"/>
    </w:p>
    <w:p w:rsidR="00837322" w:rsidRPr="00C50454" w:rsidRDefault="00FC3CCD" w:rsidP="00FC3CCD">
      <w:pPr>
        <w:pStyle w:val="Heading4"/>
        <w:ind w:left="1440" w:firstLine="720"/>
        <w:rPr>
          <w:color w:val="0070C0"/>
        </w:rPr>
      </w:pPr>
      <w:r w:rsidRPr="00C50454">
        <w:rPr>
          <w:color w:val="0070C0"/>
        </w:rPr>
        <w:t>Rotating 5 Day Plasma</w:t>
      </w:r>
      <w:bookmarkEnd w:id="0"/>
      <w:r w:rsidRPr="00C50454">
        <w:rPr>
          <w:color w:val="0070C0"/>
        </w:rPr>
        <w:t xml:space="preserve"> Stock</w:t>
      </w:r>
    </w:p>
    <w:p w:rsidR="00FC3CCD" w:rsidRPr="00C50454" w:rsidRDefault="00FC3CCD" w:rsidP="00FC3CCD">
      <w:pPr>
        <w:pStyle w:val="BlockLine"/>
        <w:rPr>
          <w:color w:val="0070C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50454" w:rsidRPr="00C50454" w:rsidTr="00FC3CCD">
        <w:tc>
          <w:tcPr>
            <w:tcW w:w="1728" w:type="dxa"/>
            <w:shd w:val="clear" w:color="auto" w:fill="auto"/>
          </w:tcPr>
          <w:p w:rsidR="00FC3CCD" w:rsidRPr="00C50454" w:rsidRDefault="00FC3CCD" w:rsidP="00FC3CCD">
            <w:pPr>
              <w:pStyle w:val="Heading5"/>
              <w:rPr>
                <w:color w:val="0070C0"/>
              </w:rPr>
            </w:pPr>
            <w:r w:rsidRPr="00C50454">
              <w:rPr>
                <w:color w:val="0070C0"/>
              </w:rPr>
              <w:t>Purpose</w:t>
            </w:r>
          </w:p>
        </w:tc>
        <w:tc>
          <w:tcPr>
            <w:tcW w:w="7740" w:type="dxa"/>
            <w:shd w:val="clear" w:color="auto" w:fill="auto"/>
          </w:tcPr>
          <w:p w:rsidR="00FC3CCD" w:rsidRPr="00C50454" w:rsidRDefault="00FC3CCD" w:rsidP="00FC3CCD">
            <w:pPr>
              <w:pStyle w:val="BlockText"/>
              <w:rPr>
                <w:color w:val="0070C0"/>
              </w:rPr>
            </w:pPr>
            <w:r w:rsidRPr="00C50454">
              <w:rPr>
                <w:color w:val="0070C0"/>
              </w:rPr>
              <w:t>The purpose of this procedure is to provide instructions on rotating 5 Day plasma stock to reduce waste and prevent delays in providing plasma for Emergent support.</w:t>
            </w:r>
          </w:p>
        </w:tc>
      </w:tr>
    </w:tbl>
    <w:p w:rsidR="00FC3CCD" w:rsidRPr="00FC3CCD" w:rsidRDefault="00FC3CCD" w:rsidP="00FC3CCD">
      <w:pPr>
        <w:pStyle w:val="BlockLine"/>
      </w:pPr>
    </w:p>
    <w:tbl>
      <w:tblPr>
        <w:tblW w:w="10620" w:type="dxa"/>
        <w:tblLayout w:type="fixed"/>
        <w:tblLook w:val="0000" w:firstRow="0" w:lastRow="0" w:firstColumn="0" w:lastColumn="0" w:noHBand="0" w:noVBand="0"/>
      </w:tblPr>
      <w:tblGrid>
        <w:gridCol w:w="1721"/>
        <w:gridCol w:w="7"/>
        <w:gridCol w:w="871"/>
        <w:gridCol w:w="245"/>
        <w:gridCol w:w="1836"/>
        <w:gridCol w:w="4342"/>
        <w:gridCol w:w="248"/>
        <w:gridCol w:w="198"/>
        <w:gridCol w:w="1152"/>
      </w:tblGrid>
      <w:tr w:rsidR="00FC3CCD" w:rsidRPr="00FC3CCD" w:rsidTr="0061279E">
        <w:trPr>
          <w:gridAfter w:val="1"/>
          <w:wAfter w:w="1152" w:type="dxa"/>
        </w:trPr>
        <w:tc>
          <w:tcPr>
            <w:tcW w:w="1728" w:type="dxa"/>
            <w:gridSpan w:val="2"/>
            <w:shd w:val="clear" w:color="auto" w:fill="auto"/>
          </w:tcPr>
          <w:p w:rsidR="000F1A48" w:rsidRDefault="000F1A48" w:rsidP="00FC3CCD">
            <w:pPr>
              <w:pStyle w:val="Heading5"/>
            </w:pPr>
          </w:p>
          <w:p w:rsidR="000F1A48" w:rsidRDefault="000F1A48" w:rsidP="00FC3CCD">
            <w:pPr>
              <w:pStyle w:val="Heading5"/>
            </w:pPr>
            <w:r>
              <w:t>Policy</w:t>
            </w:r>
          </w:p>
          <w:p w:rsidR="000F1A48" w:rsidRDefault="000F1A48" w:rsidP="00FC3CCD">
            <w:pPr>
              <w:pStyle w:val="Heading5"/>
            </w:pPr>
          </w:p>
          <w:p w:rsidR="000F1A48" w:rsidRDefault="000F1A48" w:rsidP="00FC3CCD">
            <w:pPr>
              <w:pStyle w:val="Heading5"/>
            </w:pPr>
          </w:p>
          <w:p w:rsidR="000F1A48" w:rsidRDefault="000F1A48" w:rsidP="00FC3CCD">
            <w:pPr>
              <w:pStyle w:val="Heading5"/>
            </w:pPr>
          </w:p>
          <w:p w:rsidR="000F1A48" w:rsidRDefault="000F1A48" w:rsidP="00FC3CCD">
            <w:pPr>
              <w:pStyle w:val="Heading5"/>
            </w:pPr>
          </w:p>
          <w:p w:rsidR="000F1A48" w:rsidRDefault="000F1A48" w:rsidP="00FC3CCD">
            <w:pPr>
              <w:pStyle w:val="Heading5"/>
            </w:pPr>
          </w:p>
          <w:p w:rsidR="000F1A48" w:rsidRDefault="000F1A48" w:rsidP="00FC3CCD">
            <w:pPr>
              <w:pStyle w:val="Heading5"/>
            </w:pPr>
          </w:p>
          <w:p w:rsidR="000F1A48" w:rsidRDefault="000F1A48" w:rsidP="00FC3CCD">
            <w:pPr>
              <w:pStyle w:val="Heading5"/>
            </w:pPr>
          </w:p>
          <w:p w:rsidR="00FC3CCD" w:rsidRPr="00FC3CCD" w:rsidRDefault="00FC3CCD" w:rsidP="00FC3CCD">
            <w:pPr>
              <w:pStyle w:val="Heading5"/>
            </w:pPr>
            <w:r>
              <w:t>Procedure</w:t>
            </w:r>
          </w:p>
        </w:tc>
        <w:tc>
          <w:tcPr>
            <w:tcW w:w="7740" w:type="dxa"/>
            <w:gridSpan w:val="6"/>
            <w:shd w:val="clear" w:color="auto" w:fill="auto"/>
          </w:tcPr>
          <w:p w:rsidR="000F1A48" w:rsidRPr="00D45F58" w:rsidRDefault="000F1A48" w:rsidP="00C50454">
            <w:pPr>
              <w:pStyle w:val="BulletText1"/>
              <w:rPr>
                <w:color w:val="0070C0"/>
              </w:rPr>
            </w:pPr>
            <w:r>
              <w:t xml:space="preserve">4 units (or an equivalent volume) of thawed AB </w:t>
            </w:r>
            <w:r w:rsidRPr="00D45F58">
              <w:rPr>
                <w:color w:val="0070C0"/>
              </w:rPr>
              <w:t>plasma</w:t>
            </w:r>
            <w:r>
              <w:t xml:space="preserve"> and</w:t>
            </w:r>
            <w:r w:rsidRPr="00D45F58">
              <w:rPr>
                <w:color w:val="0070C0"/>
              </w:rPr>
              <w:t xml:space="preserve"> 2 units </w:t>
            </w:r>
          </w:p>
          <w:p w:rsidR="000F1A48" w:rsidRDefault="000F1A48" w:rsidP="0097442E">
            <w:pPr>
              <w:pStyle w:val="BulletText1"/>
              <w:numPr>
                <w:ilvl w:val="0"/>
                <w:numId w:val="0"/>
              </w:numPr>
              <w:ind w:left="173"/>
            </w:pPr>
            <w:r w:rsidRPr="00D45F58">
              <w:rPr>
                <w:color w:val="0070C0"/>
              </w:rPr>
              <w:t>(</w:t>
            </w:r>
            <w:proofErr w:type="gramStart"/>
            <w:r w:rsidRPr="00D45F58">
              <w:rPr>
                <w:color w:val="0070C0"/>
              </w:rPr>
              <w:t>or</w:t>
            </w:r>
            <w:proofErr w:type="gramEnd"/>
            <w:r w:rsidRPr="00D45F58">
              <w:rPr>
                <w:color w:val="0070C0"/>
              </w:rPr>
              <w:t xml:space="preserve"> an equivalent volume) of thawed A plasma</w:t>
            </w:r>
            <w:r>
              <w:t xml:space="preserve"> will be “reserved for Emergent Use” at all times.</w:t>
            </w:r>
          </w:p>
          <w:p w:rsidR="00FC3CCD" w:rsidRPr="00C50454" w:rsidRDefault="000F1A48" w:rsidP="00C50454">
            <w:pPr>
              <w:pStyle w:val="BulletText1"/>
              <w:rPr>
                <w:color w:val="0070C0"/>
              </w:rPr>
            </w:pPr>
            <w:r w:rsidRPr="00C50454">
              <w:rPr>
                <w:color w:val="0070C0"/>
              </w:rPr>
              <w:t>Monitoring Emergent Use plasma for release to Genera</w:t>
            </w:r>
            <w:r w:rsidR="0086499C">
              <w:rPr>
                <w:color w:val="0070C0"/>
              </w:rPr>
              <w:t>l Use will be done by Day shift CLS/MLT.</w:t>
            </w:r>
            <w:bookmarkStart w:id="1" w:name="_GoBack"/>
            <w:bookmarkEnd w:id="1"/>
          </w:p>
          <w:p w:rsidR="000F1A48" w:rsidRPr="00C50454" w:rsidRDefault="00C50454" w:rsidP="00C50454">
            <w:pPr>
              <w:pStyle w:val="BulletText1"/>
              <w:rPr>
                <w:color w:val="0070C0"/>
              </w:rPr>
            </w:pPr>
            <w:r w:rsidRPr="00C50454">
              <w:rPr>
                <w:color w:val="0070C0"/>
              </w:rPr>
              <w:t xml:space="preserve">Plasma </w:t>
            </w:r>
            <w:r w:rsidR="000F1A48" w:rsidRPr="00C50454">
              <w:rPr>
                <w:color w:val="0070C0"/>
              </w:rPr>
              <w:t xml:space="preserve">will be moved </w:t>
            </w:r>
            <w:r w:rsidRPr="00C50454">
              <w:rPr>
                <w:color w:val="0070C0"/>
              </w:rPr>
              <w:t xml:space="preserve">from Emergent </w:t>
            </w:r>
            <w:r w:rsidR="000F1A48" w:rsidRPr="00C50454">
              <w:rPr>
                <w:color w:val="0070C0"/>
              </w:rPr>
              <w:t xml:space="preserve">to General Use when 2 calendar days </w:t>
            </w:r>
            <w:r w:rsidRPr="00C50454">
              <w:rPr>
                <w:color w:val="0070C0"/>
              </w:rPr>
              <w:t>remain until expiration</w:t>
            </w:r>
          </w:p>
          <w:p w:rsidR="00C50454" w:rsidRDefault="0061279E" w:rsidP="000F1A48">
            <w:pPr>
              <w:pStyle w:val="BulletText1"/>
              <w:numPr>
                <w:ilvl w:val="0"/>
                <w:numId w:val="0"/>
              </w:numPr>
              <w:ind w:left="173"/>
            </w:pPr>
            <w:r>
              <w:t>_____________________________________________________________</w:t>
            </w:r>
          </w:p>
          <w:p w:rsidR="000F1A48" w:rsidRPr="00FC3CCD" w:rsidRDefault="000F1A48" w:rsidP="000F1A48">
            <w:pPr>
              <w:pStyle w:val="BulletText1"/>
              <w:numPr>
                <w:ilvl w:val="0"/>
                <w:numId w:val="0"/>
              </w:numPr>
              <w:ind w:left="173"/>
            </w:pPr>
          </w:p>
        </w:tc>
      </w:tr>
      <w:tr w:rsidR="00FC3CCD" w:rsidTr="0061279E">
        <w:tblPrEx>
          <w:tblCellMar>
            <w:left w:w="79" w:type="dxa"/>
            <w:right w:w="79" w:type="dxa"/>
          </w:tblCellMar>
        </w:tblPrEx>
        <w:trPr>
          <w:gridBefore w:val="1"/>
          <w:gridAfter w:val="2"/>
          <w:wBefore w:w="1721" w:type="dxa"/>
          <w:wAfter w:w="1350" w:type="dxa"/>
          <w:cantSplit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TableHeaderText"/>
            </w:pPr>
            <w:r>
              <w:t>Action</w:t>
            </w:r>
          </w:p>
        </w:tc>
      </w:tr>
      <w:tr w:rsidR="00FC3CCD" w:rsidTr="0061279E">
        <w:tblPrEx>
          <w:tblCellMar>
            <w:left w:w="79" w:type="dxa"/>
            <w:right w:w="79" w:type="dxa"/>
          </w:tblCellMar>
        </w:tblPrEx>
        <w:trPr>
          <w:gridBefore w:val="1"/>
          <w:gridAfter w:val="2"/>
          <w:wBefore w:w="1721" w:type="dxa"/>
          <w:wAfter w:w="1350" w:type="dxa"/>
          <w:cantSplit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CCD" w:rsidRDefault="0061279E" w:rsidP="00401A55">
            <w:pPr>
              <w:pStyle w:val="EmbeddedText"/>
              <w:jc w:val="center"/>
            </w:pPr>
            <w:r>
              <w:t>1</w:t>
            </w:r>
            <w:r w:rsidR="00FC3CCD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TableText"/>
            </w:pPr>
            <w:r>
              <w:t>Is the thawed plasma type AB or A?</w:t>
            </w:r>
          </w:p>
        </w:tc>
      </w:tr>
      <w:tr w:rsidR="00FC3CCD" w:rsidTr="0061279E">
        <w:tblPrEx>
          <w:tblCellMar>
            <w:left w:w="79" w:type="dxa"/>
            <w:right w:w="79" w:type="dxa"/>
          </w:tblCellMar>
        </w:tblPrEx>
        <w:trPr>
          <w:gridBefore w:val="1"/>
          <w:gridAfter w:val="2"/>
          <w:wBefore w:w="1721" w:type="dxa"/>
          <w:wAfter w:w="1350" w:type="dxa"/>
          <w:cantSplit/>
        </w:trPr>
        <w:tc>
          <w:tcPr>
            <w:tcW w:w="8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</w:pPr>
          </w:p>
        </w:tc>
      </w:tr>
      <w:tr w:rsidR="00FC3CCD" w:rsidTr="0061279E">
        <w:tblPrEx>
          <w:tblCellMar>
            <w:left w:w="79" w:type="dxa"/>
            <w:right w:w="79" w:type="dxa"/>
          </w:tblCellMar>
        </w:tblPrEx>
        <w:trPr>
          <w:gridBefore w:val="1"/>
          <w:gridAfter w:val="2"/>
          <w:wBefore w:w="1721" w:type="dxa"/>
          <w:wAfter w:w="1350" w:type="dxa"/>
          <w:cantSplit/>
        </w:trPr>
        <w:tc>
          <w:tcPr>
            <w:tcW w:w="8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</w:pPr>
            <w:r>
              <w:t>No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</w:pPr>
            <w:r>
              <w:t>Store for General Use on thawed shelf of Helmer double door refrigerator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</w:pPr>
          </w:p>
        </w:tc>
      </w:tr>
      <w:tr w:rsidR="00FC3CCD" w:rsidTr="0061279E">
        <w:tblPrEx>
          <w:tblCellMar>
            <w:left w:w="79" w:type="dxa"/>
            <w:right w:w="79" w:type="dxa"/>
          </w:tblCellMar>
        </w:tblPrEx>
        <w:trPr>
          <w:gridBefore w:val="1"/>
          <w:gridAfter w:val="2"/>
          <w:wBefore w:w="1721" w:type="dxa"/>
          <w:wAfter w:w="1350" w:type="dxa"/>
          <w:cantSplit/>
        </w:trPr>
        <w:tc>
          <w:tcPr>
            <w:tcW w:w="8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</w:pPr>
            <w:r>
              <w:t>Yes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</w:pP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</w:pPr>
          </w:p>
        </w:tc>
      </w:tr>
      <w:tr w:rsidR="00FC3CCD" w:rsidTr="0061279E">
        <w:tblPrEx>
          <w:tblCellMar>
            <w:left w:w="79" w:type="dxa"/>
            <w:right w:w="79" w:type="dxa"/>
          </w:tblCellMar>
        </w:tblPrEx>
        <w:trPr>
          <w:gridBefore w:val="1"/>
          <w:gridAfter w:val="2"/>
          <w:wBefore w:w="1721" w:type="dxa"/>
          <w:wAfter w:w="1350" w:type="dxa"/>
          <w:cantSplit/>
        </w:trPr>
        <w:tc>
          <w:tcPr>
            <w:tcW w:w="87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TableText"/>
            </w:pPr>
          </w:p>
        </w:tc>
      </w:tr>
      <w:tr w:rsidR="00FC3CCD" w:rsidTr="0061279E">
        <w:tblPrEx>
          <w:tblCellMar>
            <w:left w:w="79" w:type="dxa"/>
            <w:right w:w="79" w:type="dxa"/>
          </w:tblCellMar>
        </w:tblPrEx>
        <w:trPr>
          <w:gridBefore w:val="1"/>
          <w:gridAfter w:val="2"/>
          <w:wBefore w:w="1721" w:type="dxa"/>
          <w:wAfter w:w="1350" w:type="dxa"/>
          <w:cantSplit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CCD" w:rsidRDefault="0061279E" w:rsidP="00401A55">
            <w:pPr>
              <w:pStyle w:val="EmbeddedText"/>
              <w:jc w:val="center"/>
            </w:pPr>
            <w:r>
              <w:t>2</w:t>
            </w:r>
            <w:r w:rsidR="00FC3CCD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TableText"/>
            </w:pPr>
            <w:r>
              <w:t>Are there more than 2 days until expiration?</w:t>
            </w:r>
          </w:p>
        </w:tc>
      </w:tr>
      <w:tr w:rsidR="00FC3CCD" w:rsidTr="0061279E">
        <w:tblPrEx>
          <w:tblCellMar>
            <w:left w:w="79" w:type="dxa"/>
            <w:right w:w="79" w:type="dxa"/>
          </w:tblCellMar>
        </w:tblPrEx>
        <w:trPr>
          <w:gridBefore w:val="1"/>
          <w:gridAfter w:val="2"/>
          <w:wBefore w:w="1721" w:type="dxa"/>
          <w:wAfter w:w="1350" w:type="dxa"/>
          <w:cantSplit/>
        </w:trPr>
        <w:tc>
          <w:tcPr>
            <w:tcW w:w="8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</w:pPr>
          </w:p>
        </w:tc>
      </w:tr>
      <w:tr w:rsidR="00FC3CCD" w:rsidTr="0061279E">
        <w:tblPrEx>
          <w:tblCellMar>
            <w:left w:w="79" w:type="dxa"/>
            <w:right w:w="79" w:type="dxa"/>
          </w:tblCellMar>
        </w:tblPrEx>
        <w:trPr>
          <w:gridBefore w:val="1"/>
          <w:gridAfter w:val="2"/>
          <w:wBefore w:w="1721" w:type="dxa"/>
          <w:wAfter w:w="1350" w:type="dxa"/>
          <w:cantSplit/>
        </w:trPr>
        <w:tc>
          <w:tcPr>
            <w:tcW w:w="8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CCD" w:rsidRPr="00861D01" w:rsidRDefault="000F1A48" w:rsidP="00401A55">
            <w:pPr>
              <w:pStyle w:val="BulletText1"/>
              <w:rPr>
                <w:color w:val="0070C0"/>
              </w:rPr>
            </w:pPr>
            <w:r>
              <w:rPr>
                <w:color w:val="0070C0"/>
              </w:rPr>
              <w:t>If not already present, a</w:t>
            </w:r>
            <w:r w:rsidR="00FC3CCD" w:rsidRPr="00861D01">
              <w:rPr>
                <w:color w:val="0070C0"/>
              </w:rPr>
              <w:t xml:space="preserve">ttach a  blank MTP/Emergent Use Non-RBC </w:t>
            </w:r>
            <w:r w:rsidR="00C50454">
              <w:rPr>
                <w:color w:val="0070C0"/>
              </w:rPr>
              <w:t>tag</w:t>
            </w:r>
            <w:r w:rsidR="00FC3CCD">
              <w:rPr>
                <w:color w:val="0070C0"/>
              </w:rPr>
              <w:t xml:space="preserve"> </w:t>
            </w:r>
          </w:p>
          <w:p w:rsidR="00FC3CCD" w:rsidRPr="00F94DC9" w:rsidRDefault="00FC3CCD" w:rsidP="00401A55">
            <w:pPr>
              <w:pStyle w:val="BulletText1"/>
            </w:pPr>
            <w:r w:rsidRPr="00F94DC9">
              <w:t>Store in “Emergent Use Only” section on thawed shelf of Helmer double door refrigerator.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</w:pPr>
          </w:p>
        </w:tc>
      </w:tr>
      <w:tr w:rsidR="00FC3CCD" w:rsidTr="0061279E">
        <w:tblPrEx>
          <w:tblCellMar>
            <w:left w:w="79" w:type="dxa"/>
            <w:right w:w="79" w:type="dxa"/>
          </w:tblCellMar>
        </w:tblPrEx>
        <w:trPr>
          <w:gridBefore w:val="1"/>
          <w:gridAfter w:val="2"/>
          <w:wBefore w:w="1721" w:type="dxa"/>
          <w:wAfter w:w="1350" w:type="dxa"/>
          <w:cantSplit/>
        </w:trPr>
        <w:tc>
          <w:tcPr>
            <w:tcW w:w="8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BulletText1"/>
            </w:pPr>
            <w:r>
              <w:t xml:space="preserve">Remove </w:t>
            </w:r>
            <w:r w:rsidR="00C50454">
              <w:t>the “</w:t>
            </w:r>
            <w:r w:rsidR="00C50454" w:rsidRPr="00861D01">
              <w:rPr>
                <w:color w:val="0070C0"/>
              </w:rPr>
              <w:t>MTP/Emergent Use Non-RBC</w:t>
            </w:r>
            <w:r w:rsidR="00C50454">
              <w:rPr>
                <w:color w:val="0070C0"/>
              </w:rPr>
              <w:t>”</w:t>
            </w:r>
            <w:r>
              <w:t xml:space="preserve"> tag.</w:t>
            </w:r>
          </w:p>
          <w:p w:rsidR="00FC3CCD" w:rsidRDefault="00FC3CCD" w:rsidP="00401A55">
            <w:pPr>
              <w:pStyle w:val="BulletText1"/>
            </w:pPr>
            <w:r>
              <w:t>Store in “General Use” section on thawed shelf of Helmer double door refrigerator</w:t>
            </w:r>
          </w:p>
          <w:p w:rsidR="00FC3CCD" w:rsidRDefault="00FC3CCD" w:rsidP="00C50454">
            <w:pPr>
              <w:pStyle w:val="BulletText1"/>
            </w:pPr>
            <w:r>
              <w:t xml:space="preserve">Thaw replacement AB </w:t>
            </w:r>
            <w:r w:rsidR="00CC2246">
              <w:t xml:space="preserve">or A </w:t>
            </w:r>
            <w:r w:rsidR="00C50454">
              <w:t>plasma</w:t>
            </w:r>
            <w:r>
              <w:t xml:space="preserve"> so that there is the equivalent of 4 single units </w:t>
            </w:r>
            <w:r w:rsidR="00C50454">
              <w:t xml:space="preserve">(2 Jumbo, 1 Jumbo + 2 single or 4 single) </w:t>
            </w:r>
            <w:r w:rsidR="00C50454" w:rsidRPr="00C50454">
              <w:rPr>
                <w:color w:val="0070C0"/>
              </w:rPr>
              <w:t xml:space="preserve">and the equivalent of 2 single A plasma (1 Jumbo or 2 single) </w:t>
            </w:r>
            <w:r>
              <w:t>available for “</w:t>
            </w:r>
            <w:r w:rsidR="00C50454">
              <w:t>E</w:t>
            </w:r>
            <w:r>
              <w:t xml:space="preserve">mergent </w:t>
            </w:r>
            <w:r w:rsidR="00C50454">
              <w:t>U</w:t>
            </w:r>
            <w:r>
              <w:t>se” Follow labeling and store instructions in “Yes” grid above.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</w:pPr>
          </w:p>
        </w:tc>
      </w:tr>
      <w:tr w:rsidR="00FC3CCD" w:rsidTr="0061279E">
        <w:tblPrEx>
          <w:tblCellMar>
            <w:left w:w="79" w:type="dxa"/>
            <w:right w:w="79" w:type="dxa"/>
          </w:tblCellMar>
        </w:tblPrEx>
        <w:trPr>
          <w:gridBefore w:val="1"/>
          <w:gridAfter w:val="2"/>
          <w:wBefore w:w="1721" w:type="dxa"/>
          <w:wAfter w:w="1350" w:type="dxa"/>
          <w:cantSplit/>
        </w:trPr>
        <w:tc>
          <w:tcPr>
            <w:tcW w:w="87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FC3CCD" w:rsidRDefault="00FC3CCD" w:rsidP="00401A55">
            <w:pPr>
              <w:pStyle w:val="TableText"/>
            </w:pPr>
          </w:p>
        </w:tc>
      </w:tr>
      <w:tr w:rsidR="0061279E" w:rsidRPr="0061279E" w:rsidTr="0061279E">
        <w:tc>
          <w:tcPr>
            <w:tcW w:w="1728" w:type="dxa"/>
            <w:gridSpan w:val="2"/>
            <w:shd w:val="clear" w:color="auto" w:fill="auto"/>
          </w:tcPr>
          <w:p w:rsidR="0061279E" w:rsidRPr="0061279E" w:rsidRDefault="0061279E" w:rsidP="0061279E">
            <w:pPr>
              <w:pStyle w:val="Heading5"/>
            </w:pPr>
            <w:r>
              <w:lastRenderedPageBreak/>
              <w:t xml:space="preserve"> </w:t>
            </w:r>
          </w:p>
        </w:tc>
        <w:tc>
          <w:tcPr>
            <w:tcW w:w="8892" w:type="dxa"/>
            <w:gridSpan w:val="7"/>
            <w:shd w:val="clear" w:color="auto" w:fill="auto"/>
          </w:tcPr>
          <w:p w:rsidR="0061279E" w:rsidRPr="0061279E" w:rsidRDefault="0061279E" w:rsidP="0061279E">
            <w:pPr>
              <w:pStyle w:val="BlockText"/>
            </w:pPr>
          </w:p>
        </w:tc>
      </w:tr>
    </w:tbl>
    <w:p w:rsidR="0061279E" w:rsidRPr="0061279E" w:rsidRDefault="0061279E" w:rsidP="0061279E">
      <w:pPr>
        <w:pStyle w:val="BlockLine"/>
      </w:pPr>
    </w:p>
    <w:tbl>
      <w:tblPr>
        <w:tblW w:w="10620" w:type="dxa"/>
        <w:tblLayout w:type="fixed"/>
        <w:tblLook w:val="0000" w:firstRow="0" w:lastRow="0" w:firstColumn="0" w:lastColumn="0" w:noHBand="0" w:noVBand="0"/>
      </w:tblPr>
      <w:tblGrid>
        <w:gridCol w:w="1728"/>
        <w:gridCol w:w="8892"/>
      </w:tblGrid>
      <w:tr w:rsidR="0061279E" w:rsidRPr="0061279E" w:rsidTr="0061279E">
        <w:tc>
          <w:tcPr>
            <w:tcW w:w="1728" w:type="dxa"/>
            <w:shd w:val="clear" w:color="auto" w:fill="auto"/>
          </w:tcPr>
          <w:p w:rsidR="00CC2246" w:rsidRDefault="00CC2246" w:rsidP="0061279E">
            <w:pPr>
              <w:pStyle w:val="Heading5"/>
            </w:pPr>
          </w:p>
          <w:p w:rsidR="0061279E" w:rsidRPr="0061279E" w:rsidRDefault="0061279E" w:rsidP="0061279E">
            <w:pPr>
              <w:pStyle w:val="Heading5"/>
            </w:pPr>
            <w:r>
              <w:t>Attachment</w:t>
            </w:r>
          </w:p>
        </w:tc>
        <w:tc>
          <w:tcPr>
            <w:tcW w:w="8892" w:type="dxa"/>
            <w:shd w:val="clear" w:color="auto" w:fill="auto"/>
          </w:tcPr>
          <w:p w:rsidR="00CC2246" w:rsidRDefault="00CC2246" w:rsidP="0061279E">
            <w:pPr>
              <w:pStyle w:val="BlockText"/>
            </w:pPr>
          </w:p>
          <w:p w:rsidR="0061279E" w:rsidRPr="0061279E" w:rsidRDefault="0061279E" w:rsidP="0061279E">
            <w:pPr>
              <w:pStyle w:val="BlockText"/>
            </w:pPr>
            <w:r>
              <w:t>MTP/Emergent Use: Non-RBC Product tag</w:t>
            </w:r>
          </w:p>
        </w:tc>
      </w:tr>
    </w:tbl>
    <w:p w:rsidR="0061279E" w:rsidRPr="0061279E" w:rsidRDefault="0061279E" w:rsidP="0061279E">
      <w:pPr>
        <w:pStyle w:val="BlockLine"/>
      </w:pPr>
    </w:p>
    <w:sectPr w:rsidR="0061279E" w:rsidRPr="0061279E" w:rsidSect="00612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CD" w:rsidRDefault="00FC3CCD" w:rsidP="00FC3CCD">
      <w:r>
        <w:separator/>
      </w:r>
    </w:p>
  </w:endnote>
  <w:endnote w:type="continuationSeparator" w:id="0">
    <w:p w:rsidR="00FC3CCD" w:rsidRDefault="00FC3CCD" w:rsidP="00FC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890" w:rsidRDefault="008A48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890" w:rsidRPr="008A4890" w:rsidRDefault="008A4890">
    <w:pPr>
      <w:pStyle w:val="Footer"/>
      <w:rPr>
        <w:sz w:val="20"/>
        <w:szCs w:val="20"/>
      </w:rPr>
    </w:pPr>
    <w:r w:rsidRPr="008A4890">
      <w:rPr>
        <w:sz w:val="20"/>
        <w:szCs w:val="20"/>
      </w:rPr>
      <w:t>J:/Blood Bank/Procedures/Rotating 5 Day Plasma Stock</w:t>
    </w:r>
  </w:p>
  <w:p w:rsidR="0061279E" w:rsidRPr="008A4890" w:rsidRDefault="0061279E">
    <w:pPr>
      <w:pStyle w:val="Footer"/>
      <w:rPr>
        <w:sz w:val="20"/>
        <w:szCs w:val="20"/>
      </w:rPr>
    </w:pPr>
    <w:r w:rsidRPr="008A4890">
      <w:rPr>
        <w:sz w:val="20"/>
        <w:szCs w:val="20"/>
      </w:rPr>
      <w:t xml:space="preserve">TS. </w:t>
    </w:r>
    <w:r w:rsidR="008A4890">
      <w:rPr>
        <w:sz w:val="20"/>
        <w:szCs w:val="20"/>
      </w:rPr>
      <w:t>NON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890" w:rsidRDefault="008A4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CD" w:rsidRDefault="00FC3CCD" w:rsidP="00FC3CCD">
      <w:r>
        <w:separator/>
      </w:r>
    </w:p>
  </w:footnote>
  <w:footnote w:type="continuationSeparator" w:id="0">
    <w:p w:rsidR="00FC3CCD" w:rsidRDefault="00FC3CCD" w:rsidP="00FC3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890" w:rsidRDefault="008A48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CCD" w:rsidRDefault="00FC3CCD">
    <w:pPr>
      <w:pStyle w:val="Header"/>
    </w:pPr>
    <w:r>
      <w:t>Sutter Roseville Medical Center</w:t>
    </w:r>
    <w:r>
      <w:tab/>
    </w:r>
    <w:r>
      <w:tab/>
      <w:t>Effective: 2/11/2019</w:t>
    </w:r>
  </w:p>
  <w:p w:rsidR="00FC3CCD" w:rsidRPr="00FC3CCD" w:rsidRDefault="00FC3CCD">
    <w:pPr>
      <w:pStyle w:val="Header"/>
      <w:rPr>
        <w:i/>
      </w:rPr>
    </w:pPr>
    <w:r w:rsidRPr="00FC3CCD">
      <w:rPr>
        <w:i/>
      </w:rPr>
      <w:t>Laboratory Services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890" w:rsidRDefault="008A48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CD"/>
    <w:rsid w:val="000F1A48"/>
    <w:rsid w:val="0061279E"/>
    <w:rsid w:val="00837322"/>
    <w:rsid w:val="0086499C"/>
    <w:rsid w:val="008A0778"/>
    <w:rsid w:val="008A4890"/>
    <w:rsid w:val="0097442E"/>
    <w:rsid w:val="00C50454"/>
    <w:rsid w:val="00CC2246"/>
    <w:rsid w:val="00FC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559ADEA-D4FD-49C1-B02C-5B2FFA46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C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FC3CCD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FC3CCD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FC3CCD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FC3CCD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FC3CCD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FC3CCD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Title Char"/>
    <w:basedOn w:val="DefaultParagraphFont"/>
    <w:link w:val="Heading1"/>
    <w:rsid w:val="00FC3CCD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FC3CCD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3Char">
    <w:name w:val="Heading 3 Char"/>
    <w:aliases w:val="Section Title Char"/>
    <w:basedOn w:val="DefaultParagraphFont"/>
    <w:link w:val="Heading3"/>
    <w:rsid w:val="00FC3CCD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4Char">
    <w:name w:val="Heading 4 Char"/>
    <w:aliases w:val="Map Title Char"/>
    <w:basedOn w:val="DefaultParagraphFont"/>
    <w:link w:val="Heading4"/>
    <w:rsid w:val="00FC3CCD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FC3CCD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6Char">
    <w:name w:val="Heading 6 Char"/>
    <w:aliases w:val="Sub Label Char"/>
    <w:basedOn w:val="DefaultParagraphFont"/>
    <w:link w:val="Heading6"/>
    <w:rsid w:val="00FC3CCD"/>
    <w:rPr>
      <w:rFonts w:ascii="Times New Roman" w:eastAsia="Times New Roman" w:hAnsi="Times New Roman" w:cs="Times New Roman"/>
      <w:b/>
      <w:i/>
      <w:color w:val="000000"/>
      <w:szCs w:val="20"/>
    </w:rPr>
  </w:style>
  <w:style w:type="paragraph" w:customStyle="1" w:styleId="BlockLine">
    <w:name w:val="Block Line"/>
    <w:basedOn w:val="Normal"/>
    <w:next w:val="Normal"/>
    <w:rsid w:val="00FC3CCD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FC3CCD"/>
  </w:style>
  <w:style w:type="paragraph" w:customStyle="1" w:styleId="BulletText1">
    <w:name w:val="Bullet Text 1"/>
    <w:basedOn w:val="Normal"/>
    <w:rsid w:val="00FC3CCD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FC3CCD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FC3CCD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FC3CCD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FC3CCD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FC3CCD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FC3CCD"/>
    <w:rPr>
      <w:szCs w:val="20"/>
    </w:rPr>
  </w:style>
  <w:style w:type="character" w:styleId="HTMLAcronym">
    <w:name w:val="HTML Acronym"/>
    <w:basedOn w:val="DefaultParagraphFont"/>
    <w:rsid w:val="00FC3CCD"/>
  </w:style>
  <w:style w:type="paragraph" w:customStyle="1" w:styleId="IMTOC">
    <w:name w:val="IMTOC"/>
    <w:rsid w:val="00FC3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pTitleContinued">
    <w:name w:val="Map Title. Continued"/>
    <w:basedOn w:val="Normal"/>
    <w:next w:val="Normal"/>
    <w:rsid w:val="00FC3CCD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FC3CCD"/>
    <w:pPr>
      <w:ind w:left="0"/>
    </w:pPr>
  </w:style>
  <w:style w:type="paragraph" w:customStyle="1" w:styleId="NoteText">
    <w:name w:val="Note Text"/>
    <w:basedOn w:val="Normal"/>
    <w:rsid w:val="00FC3CCD"/>
    <w:rPr>
      <w:szCs w:val="20"/>
    </w:rPr>
  </w:style>
  <w:style w:type="paragraph" w:customStyle="1" w:styleId="PublicationTitle">
    <w:name w:val="Publication Title"/>
    <w:basedOn w:val="Normal"/>
    <w:next w:val="Heading4"/>
    <w:rsid w:val="00FC3CCD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FC3CCD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FC3CCD"/>
    <w:rPr>
      <w:szCs w:val="20"/>
    </w:rPr>
  </w:style>
  <w:style w:type="paragraph" w:customStyle="1" w:styleId="TOCTitle">
    <w:name w:val="TOC Title"/>
    <w:basedOn w:val="Normal"/>
    <w:rsid w:val="00FC3CCD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C3CCD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C3CCD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FC3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CC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C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CCD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C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41BEF-55E6-448A-B238-519DB959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Wittkop, Irene</dc:creator>
  <cp:keywords/>
  <dc:description/>
  <cp:lastModifiedBy>Wittkop, Irene</cp:lastModifiedBy>
  <cp:revision>2</cp:revision>
  <dcterms:created xsi:type="dcterms:W3CDTF">2019-01-29T00:31:00Z</dcterms:created>
  <dcterms:modified xsi:type="dcterms:W3CDTF">2019-01-29T00:31:00Z</dcterms:modified>
</cp:coreProperties>
</file>