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7"/>
        <w:gridCol w:w="3328"/>
        <w:gridCol w:w="3867"/>
        <w:gridCol w:w="3598"/>
      </w:tblGrid>
      <w:tr w:rsidR="00AA1699" w:rsidTr="006D3554">
        <w:tc>
          <w:tcPr>
            <w:tcW w:w="3597" w:type="dxa"/>
          </w:tcPr>
          <w:p w:rsidR="00AA1699" w:rsidRDefault="00FC6E9D">
            <w:r>
              <w:t>What is Changing?</w:t>
            </w:r>
          </w:p>
        </w:tc>
        <w:tc>
          <w:tcPr>
            <w:tcW w:w="3328" w:type="dxa"/>
          </w:tcPr>
          <w:p w:rsidR="00AA1699" w:rsidRDefault="00FC6E9D">
            <w:r>
              <w:t>Examples of Changes</w:t>
            </w:r>
          </w:p>
        </w:tc>
        <w:tc>
          <w:tcPr>
            <w:tcW w:w="3867" w:type="dxa"/>
          </w:tcPr>
          <w:p w:rsidR="00AA1699" w:rsidRDefault="00FC6E9D">
            <w:r>
              <w:t>SQ Parameter Changes</w:t>
            </w:r>
          </w:p>
        </w:tc>
        <w:tc>
          <w:tcPr>
            <w:tcW w:w="3598" w:type="dxa"/>
          </w:tcPr>
          <w:p w:rsidR="00AA1699" w:rsidRDefault="00FC6E9D">
            <w:r>
              <w:t>Changes need?</w:t>
            </w:r>
          </w:p>
        </w:tc>
      </w:tr>
      <w:tr w:rsidR="00AA1699" w:rsidTr="00C34FDB">
        <w:trPr>
          <w:trHeight w:val="1682"/>
        </w:trPr>
        <w:tc>
          <w:tcPr>
            <w:tcW w:w="3597" w:type="dxa"/>
          </w:tcPr>
          <w:p w:rsidR="00AA1699" w:rsidRDefault="00AA1699">
            <w:r>
              <w:t>Icon Change</w:t>
            </w:r>
          </w:p>
        </w:tc>
        <w:tc>
          <w:tcPr>
            <w:tcW w:w="3328" w:type="dxa"/>
            <w:vAlign w:val="center"/>
          </w:tcPr>
          <w:p w:rsidR="00C34FDB" w:rsidRDefault="00AA1699" w:rsidP="00C34F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E04149" wp14:editId="7CA09612">
                  <wp:extent cx="600000" cy="961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:rsidR="00AA1699" w:rsidRDefault="00AA1699"/>
        </w:tc>
        <w:tc>
          <w:tcPr>
            <w:tcW w:w="3598" w:type="dxa"/>
          </w:tcPr>
          <w:p w:rsidR="00AA1699" w:rsidRDefault="007836CF" w:rsidP="00FC6E9D">
            <w:r>
              <w:t>Visual</w:t>
            </w:r>
            <w:r w:rsidR="00FC6E9D">
              <w:t xml:space="preserve"> change only, no SOP update</w:t>
            </w:r>
            <w:r>
              <w:t xml:space="preserve"> needed.</w:t>
            </w:r>
          </w:p>
        </w:tc>
      </w:tr>
      <w:tr w:rsidR="00AA1699" w:rsidTr="00C34FDB">
        <w:trPr>
          <w:trHeight w:val="1610"/>
        </w:trPr>
        <w:tc>
          <w:tcPr>
            <w:tcW w:w="3597" w:type="dxa"/>
          </w:tcPr>
          <w:p w:rsidR="00AA1699" w:rsidRDefault="00A91633">
            <w:r>
              <w:t xml:space="preserve">New application </w:t>
            </w:r>
          </w:p>
        </w:tc>
        <w:tc>
          <w:tcPr>
            <w:tcW w:w="3328" w:type="dxa"/>
            <w:vAlign w:val="center"/>
          </w:tcPr>
          <w:p w:rsidR="00C34FDB" w:rsidRDefault="00A91633" w:rsidP="00C34F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F6D6FB" wp14:editId="5131DC8B">
                  <wp:extent cx="847619" cy="876190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9" cy="8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:rsidR="00AA1699" w:rsidRDefault="00A91633" w:rsidP="00A91633">
            <w:pPr>
              <w:pStyle w:val="BulletText1"/>
            </w:pPr>
            <w:r>
              <w:t>Blood Utilization Report</w:t>
            </w:r>
          </w:p>
          <w:p w:rsidR="00A91633" w:rsidRDefault="00A91633" w:rsidP="00A91633">
            <w:pPr>
              <w:pStyle w:val="BulletText1"/>
            </w:pPr>
            <w:r>
              <w:t>Finalized/Issue Units Summery(BBR16)</w:t>
            </w:r>
          </w:p>
          <w:p w:rsidR="00A91633" w:rsidRDefault="00A91633" w:rsidP="00A91633">
            <w:pPr>
              <w:pStyle w:val="BulletText1"/>
            </w:pPr>
            <w:r>
              <w:t>Quality Assurance Report</w:t>
            </w:r>
            <w:r w:rsidR="0093445E">
              <w:t xml:space="preserve"> (BBR7)</w:t>
            </w:r>
          </w:p>
        </w:tc>
        <w:tc>
          <w:tcPr>
            <w:tcW w:w="3598" w:type="dxa"/>
          </w:tcPr>
          <w:p w:rsidR="00AA1699" w:rsidRDefault="007836CF" w:rsidP="00FC6E9D">
            <w:r>
              <w:t>SOPs need to be created and</w:t>
            </w:r>
            <w:r w:rsidR="00FC6E9D">
              <w:t>/</w:t>
            </w:r>
            <w:r>
              <w:t xml:space="preserve">or updated. </w:t>
            </w:r>
          </w:p>
        </w:tc>
      </w:tr>
      <w:tr w:rsidR="00FC6E9D" w:rsidTr="00C34FDB">
        <w:tc>
          <w:tcPr>
            <w:tcW w:w="3597" w:type="dxa"/>
          </w:tcPr>
          <w:p w:rsidR="00FC6E9D" w:rsidRDefault="00FC6E9D" w:rsidP="00FC6E9D">
            <w:r>
              <w:t>Blood Inventory Search</w:t>
            </w:r>
          </w:p>
        </w:tc>
        <w:tc>
          <w:tcPr>
            <w:tcW w:w="3328" w:type="dxa"/>
            <w:vAlign w:val="center"/>
          </w:tcPr>
          <w:p w:rsidR="00FC6E9D" w:rsidRDefault="00FC6E9D" w:rsidP="00FC6E9D">
            <w:pPr>
              <w:pStyle w:val="BulletText1"/>
              <w:numPr>
                <w:ilvl w:val="0"/>
                <w:numId w:val="0"/>
              </w:numPr>
              <w:ind w:left="173"/>
              <w:jc w:val="both"/>
            </w:pPr>
            <w:r>
              <w:rPr>
                <w:noProof/>
              </w:rPr>
              <w:drawing>
                <wp:inline distT="0" distB="0" distL="0" distR="0" wp14:anchorId="43EED181" wp14:editId="3BE82811">
                  <wp:extent cx="1847619" cy="27619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619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:rsidR="00FC6E9D" w:rsidRDefault="00FC6E9D" w:rsidP="00FC6E9D">
            <w:pPr>
              <w:pStyle w:val="BulletText1"/>
            </w:pPr>
            <w:r w:rsidRPr="00A91633">
              <w:t xml:space="preserve">Displays </w:t>
            </w:r>
            <w:r>
              <w:t>actual expiration date/time of u</w:t>
            </w:r>
            <w:r w:rsidRPr="00A91633">
              <w:t>nit ex</w:t>
            </w:r>
            <w:r>
              <w:t>piration.</w:t>
            </w:r>
          </w:p>
        </w:tc>
        <w:tc>
          <w:tcPr>
            <w:tcW w:w="3598" w:type="dxa"/>
          </w:tcPr>
          <w:p w:rsidR="00FC6E9D" w:rsidRDefault="00FC6E9D" w:rsidP="00FC6E9D">
            <w:r w:rsidRPr="008C72D7">
              <w:t>Visual change only, no SOP update needed.</w:t>
            </w:r>
          </w:p>
        </w:tc>
      </w:tr>
      <w:tr w:rsidR="00FC6E9D" w:rsidTr="00C34FDB">
        <w:tc>
          <w:tcPr>
            <w:tcW w:w="3597" w:type="dxa"/>
          </w:tcPr>
          <w:p w:rsidR="00FC6E9D" w:rsidRDefault="00FC6E9D" w:rsidP="00FC6E9D">
            <w:r>
              <w:t>Transfusion History Display Change</w:t>
            </w:r>
          </w:p>
        </w:tc>
        <w:tc>
          <w:tcPr>
            <w:tcW w:w="3328" w:type="dxa"/>
            <w:vAlign w:val="center"/>
          </w:tcPr>
          <w:p w:rsidR="00FC6E9D" w:rsidRDefault="00FC6E9D" w:rsidP="00FC6E9D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  <w:r>
              <w:rPr>
                <w:noProof/>
              </w:rPr>
              <w:t>Transfusion History accessed through Blood Bank Inquiry</w:t>
            </w:r>
          </w:p>
          <w:p w:rsidR="00FC6E9D" w:rsidRDefault="00FC6E9D" w:rsidP="00FC6E9D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</w:tc>
        <w:tc>
          <w:tcPr>
            <w:tcW w:w="3867" w:type="dxa"/>
          </w:tcPr>
          <w:p w:rsidR="00FC6E9D" w:rsidRDefault="00FC6E9D" w:rsidP="00FC6E9D">
            <w:pPr>
              <w:pStyle w:val="BulletText1"/>
              <w:numPr>
                <w:ilvl w:val="0"/>
                <w:numId w:val="0"/>
              </w:numPr>
              <w:ind w:left="173" w:hanging="173"/>
            </w:pPr>
            <w:r>
              <w:t>The following fields have been added.</w:t>
            </w:r>
          </w:p>
          <w:p w:rsidR="00FC6E9D" w:rsidRDefault="00FC6E9D" w:rsidP="00FC6E9D">
            <w:pPr>
              <w:pStyle w:val="BulletText1"/>
            </w:pPr>
            <w:r>
              <w:t xml:space="preserve">Issue time, </w:t>
            </w:r>
          </w:p>
          <w:p w:rsidR="00FC6E9D" w:rsidRDefault="00FC6E9D" w:rsidP="00FC6E9D">
            <w:pPr>
              <w:pStyle w:val="BulletText1"/>
            </w:pPr>
            <w:r>
              <w:t>Status Includes both Issue and Issue Final</w:t>
            </w:r>
          </w:p>
          <w:p w:rsidR="00FC6E9D" w:rsidRPr="00A91633" w:rsidRDefault="00FC6E9D" w:rsidP="00FC6E9D">
            <w:pPr>
              <w:pStyle w:val="BulletText1"/>
            </w:pPr>
            <w:r>
              <w:t>Ability to sort by clicking on column headers</w:t>
            </w:r>
          </w:p>
        </w:tc>
        <w:tc>
          <w:tcPr>
            <w:tcW w:w="3598" w:type="dxa"/>
          </w:tcPr>
          <w:p w:rsidR="00FC6E9D" w:rsidRDefault="00FC6E9D" w:rsidP="00FC6E9D">
            <w:r w:rsidRPr="008C72D7">
              <w:t>Visual change only, no SOP update needed.</w:t>
            </w:r>
          </w:p>
        </w:tc>
      </w:tr>
      <w:tr w:rsidR="004C427E" w:rsidTr="006D3554">
        <w:tc>
          <w:tcPr>
            <w:tcW w:w="3597" w:type="dxa"/>
          </w:tcPr>
          <w:p w:rsidR="004C427E" w:rsidRDefault="004C427E">
            <w:r>
              <w:t>Antibody Panel reflex test</w:t>
            </w:r>
          </w:p>
        </w:tc>
        <w:tc>
          <w:tcPr>
            <w:tcW w:w="3328" w:type="dxa"/>
          </w:tcPr>
          <w:p w:rsidR="004C427E" w:rsidRDefault="004C427E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</w:tc>
        <w:tc>
          <w:tcPr>
            <w:tcW w:w="3867" w:type="dxa"/>
          </w:tcPr>
          <w:p w:rsidR="004C427E" w:rsidRDefault="008004C6" w:rsidP="004C427E">
            <w:pPr>
              <w:pStyle w:val="BulletText1"/>
            </w:pPr>
            <w:r>
              <w:t xml:space="preserve">ABI </w:t>
            </w:r>
            <w:r w:rsidR="004C427E">
              <w:t>will reflex when AS screen is positive</w:t>
            </w:r>
            <w:r w:rsidR="00AF2BCE">
              <w:t xml:space="preserve"> on the same order.</w:t>
            </w:r>
          </w:p>
        </w:tc>
        <w:tc>
          <w:tcPr>
            <w:tcW w:w="3598" w:type="dxa"/>
          </w:tcPr>
          <w:p w:rsidR="004C427E" w:rsidRDefault="00FC6E9D">
            <w:r w:rsidRPr="00FC6E9D">
              <w:t>SOPs need to be created and/or updated.</w:t>
            </w:r>
          </w:p>
        </w:tc>
      </w:tr>
      <w:tr w:rsidR="00AF2BCE" w:rsidTr="00C34FDB">
        <w:trPr>
          <w:trHeight w:val="1160"/>
        </w:trPr>
        <w:tc>
          <w:tcPr>
            <w:tcW w:w="3597" w:type="dxa"/>
          </w:tcPr>
          <w:p w:rsidR="00AF2BCE" w:rsidRDefault="00AF2BCE">
            <w:r>
              <w:t xml:space="preserve">Electronic Crossmatch Eligibility field. </w:t>
            </w:r>
          </w:p>
        </w:tc>
        <w:tc>
          <w:tcPr>
            <w:tcW w:w="3328" w:type="dxa"/>
            <w:vAlign w:val="center"/>
          </w:tcPr>
          <w:p w:rsidR="00C34FDB" w:rsidRDefault="00C34FDB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  <w:p w:rsidR="00AF2BCE" w:rsidRDefault="00AF2BCE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A4E803" wp14:editId="11741385">
                  <wp:extent cx="895238" cy="219048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8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04C6" w:rsidRDefault="008004C6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70FABD" wp14:editId="07C8B973">
                  <wp:extent cx="895403" cy="2184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75" cy="21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2BCE" w:rsidRDefault="00AF2BCE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</w:tc>
        <w:tc>
          <w:tcPr>
            <w:tcW w:w="3867" w:type="dxa"/>
          </w:tcPr>
          <w:p w:rsidR="00AF2BCE" w:rsidRDefault="00955AC7" w:rsidP="00AF2BCE">
            <w:pPr>
              <w:pStyle w:val="BulletText1"/>
            </w:pPr>
            <w:r>
              <w:t>Will only update after saving</w:t>
            </w:r>
          </w:p>
          <w:p w:rsidR="00955AC7" w:rsidRDefault="00FC6E9D" w:rsidP="00AF2BCE">
            <w:pPr>
              <w:pStyle w:val="BulletText1"/>
            </w:pPr>
            <w:r>
              <w:t>Click on the N to review</w:t>
            </w:r>
            <w:r w:rsidR="00955AC7">
              <w:t xml:space="preserve"> message why unit is not eligible </w:t>
            </w:r>
          </w:p>
        </w:tc>
        <w:tc>
          <w:tcPr>
            <w:tcW w:w="3598" w:type="dxa"/>
          </w:tcPr>
          <w:p w:rsidR="00AF2BCE" w:rsidRDefault="00FC6E9D">
            <w:r w:rsidRPr="00FC6E9D">
              <w:t>Visual change only, no SOP update needed.</w:t>
            </w:r>
          </w:p>
        </w:tc>
      </w:tr>
      <w:tr w:rsidR="002A04D0" w:rsidTr="00C34FDB">
        <w:tc>
          <w:tcPr>
            <w:tcW w:w="3597" w:type="dxa"/>
          </w:tcPr>
          <w:p w:rsidR="002A04D0" w:rsidRDefault="002A04D0">
            <w:r>
              <w:t xml:space="preserve">New QA warning for </w:t>
            </w:r>
            <w:proofErr w:type="spellStart"/>
            <w:r>
              <w:t>Plts</w:t>
            </w:r>
            <w:proofErr w:type="spellEnd"/>
          </w:p>
        </w:tc>
        <w:tc>
          <w:tcPr>
            <w:tcW w:w="3328" w:type="dxa"/>
            <w:vAlign w:val="center"/>
          </w:tcPr>
          <w:p w:rsidR="00615A93" w:rsidRDefault="00615A93" w:rsidP="00615A93">
            <w:pPr>
              <w:pStyle w:val="BulletText1"/>
              <w:numPr>
                <w:ilvl w:val="0"/>
                <w:numId w:val="0"/>
              </w:numPr>
              <w:ind w:left="17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3EBA0F" wp14:editId="5A051E67">
                  <wp:extent cx="1677670" cy="6311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:rsidR="002A04D0" w:rsidRDefault="002A04D0" w:rsidP="002A04D0">
            <w:pPr>
              <w:pStyle w:val="BulletText1"/>
            </w:pPr>
            <w:r>
              <w:t xml:space="preserve">For Rh </w:t>
            </w:r>
            <w:proofErr w:type="spellStart"/>
            <w:r>
              <w:t>neg</w:t>
            </w:r>
            <w:proofErr w:type="spellEnd"/>
            <w:r>
              <w:t xml:space="preserve"> females ≤ </w:t>
            </w:r>
            <w:r w:rsidRPr="008D230B">
              <w:t>5</w:t>
            </w:r>
            <w:r w:rsidR="006C211A">
              <w:t>0</w:t>
            </w:r>
            <w:r w:rsidR="00FC6E9D">
              <w:t xml:space="preserve"> years old when allocating </w:t>
            </w:r>
            <w:proofErr w:type="spellStart"/>
            <w:r w:rsidR="00FC6E9D">
              <w:t>plts</w:t>
            </w:r>
            <w:proofErr w:type="spellEnd"/>
            <w:r w:rsidR="00FC6E9D">
              <w:t xml:space="preserve"> a QA warning </w:t>
            </w:r>
            <w:r>
              <w:t xml:space="preserve">will pop up to remind staff to set-up Rh </w:t>
            </w:r>
            <w:proofErr w:type="spellStart"/>
            <w:r>
              <w:t>neg</w:t>
            </w:r>
            <w:proofErr w:type="spellEnd"/>
            <w:r>
              <w:t xml:space="preserve"> </w:t>
            </w:r>
            <w:proofErr w:type="spellStart"/>
            <w:r>
              <w:t>plts</w:t>
            </w:r>
            <w:proofErr w:type="spellEnd"/>
            <w:r>
              <w:t>.</w:t>
            </w:r>
          </w:p>
          <w:p w:rsidR="002A04D0" w:rsidRDefault="002A04D0" w:rsidP="002A04D0">
            <w:pPr>
              <w:pStyle w:val="BulletText1"/>
            </w:pPr>
            <w:r>
              <w:t xml:space="preserve">This is only a warning and will not prevent staff from allocating Rh </w:t>
            </w:r>
            <w:proofErr w:type="spellStart"/>
            <w:r>
              <w:t>pos</w:t>
            </w:r>
            <w:proofErr w:type="spellEnd"/>
            <w:r>
              <w:t xml:space="preserve"> platelets to those patients.  </w:t>
            </w:r>
          </w:p>
        </w:tc>
        <w:tc>
          <w:tcPr>
            <w:tcW w:w="3598" w:type="dxa"/>
          </w:tcPr>
          <w:p w:rsidR="002A04D0" w:rsidRDefault="00FC6E9D">
            <w:r w:rsidRPr="00FC6E9D">
              <w:t>SOPs need to be created and/or updated.</w:t>
            </w:r>
          </w:p>
        </w:tc>
      </w:tr>
      <w:tr w:rsidR="002A04D0" w:rsidTr="006D3554">
        <w:tc>
          <w:tcPr>
            <w:tcW w:w="3597" w:type="dxa"/>
          </w:tcPr>
          <w:p w:rsidR="002A04D0" w:rsidRDefault="002A04D0">
            <w:r>
              <w:lastRenderedPageBreak/>
              <w:t>Unable to BPE units with same Unit number but different blood types.</w:t>
            </w:r>
          </w:p>
        </w:tc>
        <w:tc>
          <w:tcPr>
            <w:tcW w:w="3328" w:type="dxa"/>
          </w:tcPr>
          <w:p w:rsidR="002A04D0" w:rsidRDefault="002A04D0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</w:tc>
        <w:tc>
          <w:tcPr>
            <w:tcW w:w="3867" w:type="dxa"/>
          </w:tcPr>
          <w:p w:rsidR="002A04D0" w:rsidRDefault="002A04D0" w:rsidP="008D230B">
            <w:pPr>
              <w:pStyle w:val="BulletText1"/>
            </w:pPr>
            <w:r w:rsidRPr="002A04D0">
              <w:t xml:space="preserve">Only for those with a security </w:t>
            </w:r>
            <w:r w:rsidR="008D230B">
              <w:t xml:space="preserve">level </w:t>
            </w:r>
            <w:r w:rsidRPr="002A04D0">
              <w:t xml:space="preserve">of less than </w:t>
            </w:r>
            <w:r w:rsidR="008D230B">
              <w:t>77</w:t>
            </w:r>
          </w:p>
        </w:tc>
        <w:tc>
          <w:tcPr>
            <w:tcW w:w="3598" w:type="dxa"/>
          </w:tcPr>
          <w:p w:rsidR="002A04D0" w:rsidRDefault="00FC6E9D">
            <w:r>
              <w:t xml:space="preserve">Only assigned individuals will have access. </w:t>
            </w:r>
          </w:p>
        </w:tc>
      </w:tr>
      <w:tr w:rsidR="002A04D0" w:rsidTr="006D3554">
        <w:tc>
          <w:tcPr>
            <w:tcW w:w="3597" w:type="dxa"/>
          </w:tcPr>
          <w:p w:rsidR="002A04D0" w:rsidRDefault="002A04D0">
            <w:r>
              <w:t>New QA failures which will not block electronic crossmatch</w:t>
            </w:r>
          </w:p>
        </w:tc>
        <w:tc>
          <w:tcPr>
            <w:tcW w:w="3328" w:type="dxa"/>
          </w:tcPr>
          <w:p w:rsidR="002A04D0" w:rsidRDefault="002A04D0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</w:tc>
        <w:tc>
          <w:tcPr>
            <w:tcW w:w="3867" w:type="dxa"/>
          </w:tcPr>
          <w:p w:rsidR="002A04D0" w:rsidRDefault="002A04D0" w:rsidP="002A04D0">
            <w:pPr>
              <w:pStyle w:val="BulletText1"/>
            </w:pPr>
            <w:r w:rsidRPr="002A04D0">
              <w:t>Selected unit's Rh does not match specimen's Rh</w:t>
            </w:r>
          </w:p>
          <w:p w:rsidR="002A04D0" w:rsidRPr="002A04D0" w:rsidRDefault="002A04D0" w:rsidP="002A04D0">
            <w:pPr>
              <w:pStyle w:val="BulletText1"/>
            </w:pPr>
            <w:r w:rsidRPr="002A04D0">
              <w:t>Specimen testing Rh does not match linked patient's permanent Rh</w:t>
            </w:r>
          </w:p>
          <w:p w:rsidR="002A04D0" w:rsidRPr="002A04D0" w:rsidRDefault="002A04D0" w:rsidP="002A04D0">
            <w:pPr>
              <w:pStyle w:val="BulletText1"/>
            </w:pPr>
            <w:r w:rsidRPr="002A04D0">
              <w:t>Linked patient/unit attribute incompatibility</w:t>
            </w:r>
          </w:p>
        </w:tc>
        <w:tc>
          <w:tcPr>
            <w:tcW w:w="3598" w:type="dxa"/>
          </w:tcPr>
          <w:p w:rsidR="002A04D0" w:rsidRDefault="008D230B" w:rsidP="008004C6">
            <w:r>
              <w:t>Train staff of the change</w:t>
            </w:r>
            <w:r w:rsidR="00E26E75">
              <w:t>.</w:t>
            </w:r>
          </w:p>
        </w:tc>
      </w:tr>
      <w:tr w:rsidR="00615A93" w:rsidTr="00821BD3">
        <w:trPr>
          <w:trHeight w:val="2024"/>
        </w:trPr>
        <w:tc>
          <w:tcPr>
            <w:tcW w:w="3597" w:type="dxa"/>
          </w:tcPr>
          <w:p w:rsidR="00615A93" w:rsidRDefault="00615A93" w:rsidP="00615A93">
            <w:r>
              <w:t xml:space="preserve">After saving in Blood Order Processing the action box is visually different. </w:t>
            </w:r>
          </w:p>
        </w:tc>
        <w:tc>
          <w:tcPr>
            <w:tcW w:w="3328" w:type="dxa"/>
            <w:vAlign w:val="center"/>
          </w:tcPr>
          <w:p w:rsidR="00615A93" w:rsidRDefault="00615A93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51AC94" wp14:editId="1FE06C15">
                  <wp:extent cx="1747520" cy="1205865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:rsidR="00615A93" w:rsidRPr="002A04D0" w:rsidRDefault="00615A93" w:rsidP="00724FB5">
            <w:pPr>
              <w:pStyle w:val="BulletText1"/>
              <w:numPr>
                <w:ilvl w:val="0"/>
                <w:numId w:val="0"/>
              </w:numPr>
              <w:ind w:left="173"/>
            </w:pPr>
          </w:p>
        </w:tc>
        <w:tc>
          <w:tcPr>
            <w:tcW w:w="3598" w:type="dxa"/>
          </w:tcPr>
          <w:p w:rsidR="00615A93" w:rsidRDefault="00E26E75" w:rsidP="008004C6">
            <w:r w:rsidRPr="00E26E75">
              <w:t>Visual change only, no SOP update needed.</w:t>
            </w:r>
          </w:p>
        </w:tc>
      </w:tr>
      <w:tr w:rsidR="00615A93" w:rsidTr="006D3554">
        <w:tc>
          <w:tcPr>
            <w:tcW w:w="3597" w:type="dxa"/>
          </w:tcPr>
          <w:p w:rsidR="00615A93" w:rsidRDefault="00D56B76" w:rsidP="00D56B76">
            <w:r>
              <w:t>U</w:t>
            </w:r>
            <w:r w:rsidRPr="00D56B76">
              <w:t xml:space="preserve">nit </w:t>
            </w:r>
            <w:r>
              <w:t xml:space="preserve">allowed to </w:t>
            </w:r>
            <w:r w:rsidRPr="00D56B76">
              <w:t>be allocated to multiple orders</w:t>
            </w:r>
          </w:p>
        </w:tc>
        <w:tc>
          <w:tcPr>
            <w:tcW w:w="3328" w:type="dxa"/>
          </w:tcPr>
          <w:p w:rsidR="00615A93" w:rsidRDefault="00615A93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  <w:p w:rsidR="00D56B76" w:rsidRDefault="00D56B76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7B6200" wp14:editId="6207941E">
                  <wp:extent cx="438095" cy="447619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B76" w:rsidRDefault="00D56B76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D0079F" wp14:editId="5F857EFE">
                  <wp:extent cx="1861820" cy="205105"/>
                  <wp:effectExtent l="0" t="0" r="508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20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B76" w:rsidRDefault="00D56B76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</w:tc>
        <w:tc>
          <w:tcPr>
            <w:tcW w:w="3867" w:type="dxa"/>
          </w:tcPr>
          <w:p w:rsidR="00D56B76" w:rsidRDefault="00D56B76" w:rsidP="002A04D0">
            <w:pPr>
              <w:pStyle w:val="BulletText1"/>
            </w:pPr>
            <w:r>
              <w:t xml:space="preserve">At issue a flags box will have an * </w:t>
            </w:r>
          </w:p>
          <w:p w:rsidR="00615A93" w:rsidRPr="002A04D0" w:rsidRDefault="00D56B76" w:rsidP="00D56B76">
            <w:pPr>
              <w:pStyle w:val="BulletText1"/>
            </w:pPr>
            <w:r>
              <w:t>A box with the second patient informa</w:t>
            </w:r>
            <w:r w:rsidR="00FC6E9D">
              <w:t>tion will show in the lower half</w:t>
            </w:r>
            <w:r>
              <w:t xml:space="preserve"> of the screen </w:t>
            </w:r>
          </w:p>
        </w:tc>
        <w:tc>
          <w:tcPr>
            <w:tcW w:w="3598" w:type="dxa"/>
          </w:tcPr>
          <w:p w:rsidR="00615A93" w:rsidRPr="00615A93" w:rsidRDefault="00E26E75" w:rsidP="008004C6">
            <w:r w:rsidRPr="00E26E75">
              <w:t>Visual change only, no SOP update needed.</w:t>
            </w:r>
          </w:p>
        </w:tc>
      </w:tr>
      <w:tr w:rsidR="006D3554" w:rsidTr="006D3554">
        <w:tc>
          <w:tcPr>
            <w:tcW w:w="3597" w:type="dxa"/>
          </w:tcPr>
          <w:p w:rsidR="006D3554" w:rsidRDefault="006D3554" w:rsidP="00D56B76">
            <w:r w:rsidRPr="006D3554">
              <w:t>Prompt for add on billing after issue</w:t>
            </w:r>
          </w:p>
        </w:tc>
        <w:tc>
          <w:tcPr>
            <w:tcW w:w="3328" w:type="dxa"/>
          </w:tcPr>
          <w:p w:rsidR="006D3554" w:rsidRDefault="006D3554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</w:tc>
        <w:tc>
          <w:tcPr>
            <w:tcW w:w="3867" w:type="dxa"/>
          </w:tcPr>
          <w:p w:rsidR="006D3554" w:rsidRDefault="006D3554" w:rsidP="002A04D0">
            <w:pPr>
              <w:pStyle w:val="BulletText1"/>
            </w:pPr>
            <w:r>
              <w:t>The Add Billing window will no longer come up at Issue.</w:t>
            </w:r>
          </w:p>
        </w:tc>
        <w:tc>
          <w:tcPr>
            <w:tcW w:w="3598" w:type="dxa"/>
          </w:tcPr>
          <w:p w:rsidR="006D3554" w:rsidRPr="00615A93" w:rsidRDefault="00E26E75" w:rsidP="008004C6">
            <w:r w:rsidRPr="00E26E75">
              <w:t>Visual change only, no SOP update needed.</w:t>
            </w:r>
          </w:p>
        </w:tc>
      </w:tr>
      <w:tr w:rsidR="00724FB5" w:rsidTr="00724FB5">
        <w:trPr>
          <w:trHeight w:val="1052"/>
        </w:trPr>
        <w:tc>
          <w:tcPr>
            <w:tcW w:w="3597" w:type="dxa"/>
          </w:tcPr>
          <w:p w:rsidR="00724FB5" w:rsidRDefault="0085425C" w:rsidP="00D56B76">
            <w:r>
              <w:t xml:space="preserve">ABO discrepancy between unit’s </w:t>
            </w:r>
            <w:r w:rsidR="00FC6E9D">
              <w:t xml:space="preserve">label </w:t>
            </w:r>
            <w:r>
              <w:t xml:space="preserve">ABO type and </w:t>
            </w:r>
            <w:r w:rsidR="00FC6E9D">
              <w:t>unit’s type confirmation</w:t>
            </w:r>
            <w:r>
              <w:t xml:space="preserve"> testing. </w:t>
            </w:r>
          </w:p>
          <w:p w:rsidR="0085425C" w:rsidRPr="006D3554" w:rsidRDefault="0085425C" w:rsidP="00D56B76"/>
        </w:tc>
        <w:tc>
          <w:tcPr>
            <w:tcW w:w="3328" w:type="dxa"/>
            <w:vAlign w:val="center"/>
          </w:tcPr>
          <w:p w:rsidR="0078073C" w:rsidRDefault="0078073C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  <w:p w:rsidR="00724FB5" w:rsidRDefault="0078073C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3BEFB0" wp14:editId="0E101F9F">
                  <wp:extent cx="1676400" cy="4705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73C" w:rsidRDefault="0078073C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  <w:p w:rsidR="0078073C" w:rsidRDefault="0078073C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2E8EE4" wp14:editId="4A14A834">
                  <wp:extent cx="1581150" cy="4794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73C" w:rsidRDefault="0078073C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  <w:p w:rsidR="0078073C" w:rsidRDefault="0078073C" w:rsidP="00A91633">
            <w:pPr>
              <w:pStyle w:val="BulletText1"/>
              <w:numPr>
                <w:ilvl w:val="0"/>
                <w:numId w:val="0"/>
              </w:numPr>
              <w:ind w:left="173"/>
              <w:jc w:val="center"/>
              <w:rPr>
                <w:noProof/>
              </w:rPr>
            </w:pPr>
          </w:p>
        </w:tc>
        <w:tc>
          <w:tcPr>
            <w:tcW w:w="3867" w:type="dxa"/>
          </w:tcPr>
          <w:p w:rsidR="00724FB5" w:rsidRDefault="0085425C" w:rsidP="002A04D0">
            <w:pPr>
              <w:pStyle w:val="BulletText1"/>
            </w:pPr>
            <w:r>
              <w:t>Only those who have a security level of 66 or higher can override.</w:t>
            </w:r>
          </w:p>
          <w:p w:rsidR="0085425C" w:rsidRDefault="0085425C" w:rsidP="0085425C">
            <w:pPr>
              <w:pStyle w:val="BulletText1"/>
            </w:pPr>
            <w:r>
              <w:t>This should not be overridden, instead stop and investigate why there is an ABO discrepancy during unit typing.</w:t>
            </w:r>
          </w:p>
        </w:tc>
        <w:tc>
          <w:tcPr>
            <w:tcW w:w="3598" w:type="dxa"/>
          </w:tcPr>
          <w:p w:rsidR="00724FB5" w:rsidRPr="00615A93" w:rsidRDefault="0078073C" w:rsidP="009E28C7">
            <w:r>
              <w:t>This is not a new process but</w:t>
            </w:r>
            <w:r w:rsidR="009E28C7">
              <w:t xml:space="preserve"> </w:t>
            </w:r>
            <w:r>
              <w:t xml:space="preserve">a reminder since it </w:t>
            </w:r>
            <w:r w:rsidR="0085425C">
              <w:t>could lead to an incompatible unit being administered to a patient.</w:t>
            </w:r>
          </w:p>
        </w:tc>
      </w:tr>
    </w:tbl>
    <w:p w:rsidR="00B4158A" w:rsidRDefault="00B4158A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7"/>
        <w:gridCol w:w="3328"/>
        <w:gridCol w:w="3867"/>
        <w:gridCol w:w="3598"/>
      </w:tblGrid>
      <w:tr w:rsidR="00E336CC" w:rsidTr="00724FB5">
        <w:trPr>
          <w:trHeight w:val="1052"/>
        </w:trPr>
        <w:tc>
          <w:tcPr>
            <w:tcW w:w="3597" w:type="dxa"/>
          </w:tcPr>
          <w:p w:rsidR="00E336CC" w:rsidRDefault="00E336CC" w:rsidP="00B4158A">
            <w:r>
              <w:lastRenderedPageBreak/>
              <w:t xml:space="preserve">Bug fix from v8.0 </w:t>
            </w:r>
            <w:r w:rsidR="007E5438">
              <w:t>–Unit tag</w:t>
            </w:r>
            <w:r w:rsidR="00B4158A">
              <w:t xml:space="preserve"> will not be generated </w:t>
            </w:r>
            <w:r w:rsidR="007E5438">
              <w:t xml:space="preserve">automatically  when adding tests to </w:t>
            </w:r>
            <w:r w:rsidR="00B4158A">
              <w:t>Specimen Test field in BOP</w:t>
            </w:r>
            <w:r w:rsidR="007E5438">
              <w:t xml:space="preserve"> </w:t>
            </w:r>
          </w:p>
        </w:tc>
        <w:tc>
          <w:tcPr>
            <w:tcW w:w="3328" w:type="dxa"/>
            <w:vAlign w:val="center"/>
          </w:tcPr>
          <w:p w:rsidR="00E336CC" w:rsidRDefault="00E336CC" w:rsidP="007E5438">
            <w:pPr>
              <w:pStyle w:val="BulletText1"/>
              <w:numPr>
                <w:ilvl w:val="0"/>
                <w:numId w:val="0"/>
              </w:numPr>
              <w:ind w:left="173"/>
              <w:rPr>
                <w:noProof/>
              </w:rPr>
            </w:pPr>
          </w:p>
        </w:tc>
        <w:tc>
          <w:tcPr>
            <w:tcW w:w="3867" w:type="dxa"/>
          </w:tcPr>
          <w:p w:rsidR="00E336CC" w:rsidRDefault="00B4158A" w:rsidP="00B4158A">
            <w:pPr>
              <w:pStyle w:val="BulletText1"/>
            </w:pPr>
            <w:r>
              <w:t>No longer require billing/credit charges to be added to Add Specimen Test in BOP to avoid print of duplicate compatibility tags.</w:t>
            </w:r>
          </w:p>
        </w:tc>
        <w:tc>
          <w:tcPr>
            <w:tcW w:w="3598" w:type="dxa"/>
          </w:tcPr>
          <w:p w:rsidR="00E336CC" w:rsidRDefault="007E5438" w:rsidP="00B4158A">
            <w:r>
              <w:rPr>
                <w:noProof/>
              </w:rPr>
              <w:t xml:space="preserve">Resume adding antigen charges and special </w:t>
            </w:r>
            <w:r w:rsidR="00B4158A">
              <w:rPr>
                <w:noProof/>
              </w:rPr>
              <w:t>unit charge corrections, as needed to each unit usingAdd unit Test field</w:t>
            </w:r>
          </w:p>
        </w:tc>
      </w:tr>
      <w:tr w:rsidR="006C211A" w:rsidTr="00724FB5">
        <w:trPr>
          <w:trHeight w:val="1052"/>
        </w:trPr>
        <w:tc>
          <w:tcPr>
            <w:tcW w:w="3597" w:type="dxa"/>
          </w:tcPr>
          <w:p w:rsidR="006C211A" w:rsidRDefault="006C211A" w:rsidP="006C211A">
            <w:r>
              <w:t>Visual Inspection field in Blood Product Entry is a required field</w:t>
            </w:r>
          </w:p>
        </w:tc>
        <w:tc>
          <w:tcPr>
            <w:tcW w:w="3328" w:type="dxa"/>
            <w:vAlign w:val="center"/>
          </w:tcPr>
          <w:p w:rsidR="006C211A" w:rsidRDefault="006C211A" w:rsidP="007E5438">
            <w:pPr>
              <w:pStyle w:val="BulletText1"/>
              <w:numPr>
                <w:ilvl w:val="0"/>
                <w:numId w:val="0"/>
              </w:numPr>
              <w:ind w:left="173"/>
              <w:rPr>
                <w:noProof/>
              </w:rPr>
            </w:pPr>
          </w:p>
        </w:tc>
        <w:tc>
          <w:tcPr>
            <w:tcW w:w="3867" w:type="dxa"/>
          </w:tcPr>
          <w:p w:rsidR="006C211A" w:rsidRDefault="006C211A" w:rsidP="00B4158A">
            <w:pPr>
              <w:pStyle w:val="BulletText1"/>
            </w:pPr>
            <w:r>
              <w:t>Visual Inspection field in BPE is highlighted yellow, requiring an entry</w:t>
            </w:r>
          </w:p>
        </w:tc>
        <w:tc>
          <w:tcPr>
            <w:tcW w:w="3598" w:type="dxa"/>
          </w:tcPr>
          <w:p w:rsidR="006C211A" w:rsidRDefault="006C211A" w:rsidP="006C211A">
            <w:pPr>
              <w:rPr>
                <w:noProof/>
              </w:rPr>
            </w:pPr>
            <w:r>
              <w:rPr>
                <w:noProof/>
              </w:rPr>
              <w:t>Answer field with Pass or Fail</w:t>
            </w:r>
          </w:p>
        </w:tc>
      </w:tr>
      <w:tr w:rsidR="006C211A" w:rsidTr="00724FB5">
        <w:trPr>
          <w:trHeight w:val="1052"/>
        </w:trPr>
        <w:tc>
          <w:tcPr>
            <w:tcW w:w="3597" w:type="dxa"/>
          </w:tcPr>
          <w:p w:rsidR="006C211A" w:rsidRDefault="006C211A" w:rsidP="00B4158A">
            <w:r>
              <w:t>Temperature field in Blood Status Update is a required field</w:t>
            </w:r>
          </w:p>
        </w:tc>
        <w:tc>
          <w:tcPr>
            <w:tcW w:w="3328" w:type="dxa"/>
            <w:vAlign w:val="center"/>
          </w:tcPr>
          <w:p w:rsidR="006C211A" w:rsidRDefault="006C211A" w:rsidP="007E5438">
            <w:pPr>
              <w:pStyle w:val="BulletText1"/>
              <w:numPr>
                <w:ilvl w:val="0"/>
                <w:numId w:val="0"/>
              </w:numPr>
              <w:ind w:left="173"/>
              <w:rPr>
                <w:noProof/>
              </w:rPr>
            </w:pPr>
          </w:p>
        </w:tc>
        <w:tc>
          <w:tcPr>
            <w:tcW w:w="3867" w:type="dxa"/>
          </w:tcPr>
          <w:p w:rsidR="006C211A" w:rsidRDefault="006C211A" w:rsidP="00B4158A">
            <w:pPr>
              <w:pStyle w:val="BulletText1"/>
            </w:pPr>
            <w:r>
              <w:t>Temperature field in BSU is highlighted yellow, requiring an entry</w:t>
            </w:r>
          </w:p>
        </w:tc>
        <w:tc>
          <w:tcPr>
            <w:tcW w:w="3598" w:type="dxa"/>
          </w:tcPr>
          <w:p w:rsidR="006C211A" w:rsidRDefault="006C211A" w:rsidP="006C211A">
            <w:pPr>
              <w:rPr>
                <w:noProof/>
              </w:rPr>
            </w:pPr>
            <w:r>
              <w:rPr>
                <w:noProof/>
              </w:rPr>
              <w:t>Answer field with neumonic established in return SOP or Pass/Fail for units beingreturned to supplier</w:t>
            </w:r>
            <w:bookmarkStart w:id="0" w:name="_GoBack"/>
            <w:bookmarkEnd w:id="0"/>
          </w:p>
        </w:tc>
      </w:tr>
    </w:tbl>
    <w:p w:rsidR="002A04D0" w:rsidRDefault="002A04D0"/>
    <w:sectPr w:rsidR="002A04D0" w:rsidSect="00AA16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A4B9F"/>
    <w:multiLevelType w:val="hybridMultilevel"/>
    <w:tmpl w:val="A1D6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99"/>
    <w:rsid w:val="0007617C"/>
    <w:rsid w:val="00281FC9"/>
    <w:rsid w:val="002A04D0"/>
    <w:rsid w:val="003A1B26"/>
    <w:rsid w:val="003A6433"/>
    <w:rsid w:val="003D0E4F"/>
    <w:rsid w:val="004217CD"/>
    <w:rsid w:val="004C427E"/>
    <w:rsid w:val="00615A93"/>
    <w:rsid w:val="006C211A"/>
    <w:rsid w:val="006D3554"/>
    <w:rsid w:val="00702E57"/>
    <w:rsid w:val="00724FB5"/>
    <w:rsid w:val="0078073C"/>
    <w:rsid w:val="007836CF"/>
    <w:rsid w:val="007E5438"/>
    <w:rsid w:val="008004C6"/>
    <w:rsid w:val="00821BD3"/>
    <w:rsid w:val="0085425C"/>
    <w:rsid w:val="008D230B"/>
    <w:rsid w:val="0093445E"/>
    <w:rsid w:val="00955AC7"/>
    <w:rsid w:val="009E28C7"/>
    <w:rsid w:val="00A91633"/>
    <w:rsid w:val="00AA1699"/>
    <w:rsid w:val="00AF2BCE"/>
    <w:rsid w:val="00B4158A"/>
    <w:rsid w:val="00C16C6A"/>
    <w:rsid w:val="00C34FDB"/>
    <w:rsid w:val="00D56B76"/>
    <w:rsid w:val="00E26E75"/>
    <w:rsid w:val="00E336CC"/>
    <w:rsid w:val="00FC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6D192-3CA7-4930-ACBC-B91050E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A91633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A91633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A91633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A91633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A91633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A91633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art Title Char"/>
    <w:basedOn w:val="DefaultParagraphFont"/>
    <w:link w:val="Heading1"/>
    <w:rsid w:val="00A91633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A91633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aliases w:val="Section Title Char"/>
    <w:basedOn w:val="DefaultParagraphFont"/>
    <w:link w:val="Heading3"/>
    <w:rsid w:val="00A91633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A91633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A91633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basedOn w:val="DefaultParagraphFont"/>
    <w:link w:val="Heading6"/>
    <w:rsid w:val="00A91633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A91633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A91633"/>
  </w:style>
  <w:style w:type="paragraph" w:customStyle="1" w:styleId="BulletText1">
    <w:name w:val="Bullet Text 1"/>
    <w:basedOn w:val="Normal"/>
    <w:rsid w:val="00A91633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A91633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A91633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A91633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A91633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A91633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A91633"/>
    <w:rPr>
      <w:szCs w:val="20"/>
    </w:rPr>
  </w:style>
  <w:style w:type="character" w:styleId="HTMLAcronym">
    <w:name w:val="HTML Acronym"/>
    <w:basedOn w:val="DefaultParagraphFont"/>
    <w:rsid w:val="00A91633"/>
  </w:style>
  <w:style w:type="paragraph" w:customStyle="1" w:styleId="IMTOC">
    <w:name w:val="IMTOC"/>
    <w:rsid w:val="00A916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pTitleContinued">
    <w:name w:val="Map Title. Continued"/>
    <w:basedOn w:val="Normal"/>
    <w:next w:val="Normal"/>
    <w:rsid w:val="00A91633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A91633"/>
    <w:pPr>
      <w:ind w:left="0"/>
    </w:pPr>
  </w:style>
  <w:style w:type="paragraph" w:customStyle="1" w:styleId="NoteText">
    <w:name w:val="Note Text"/>
    <w:basedOn w:val="Normal"/>
    <w:rsid w:val="00A91633"/>
    <w:rPr>
      <w:szCs w:val="20"/>
    </w:rPr>
  </w:style>
  <w:style w:type="paragraph" w:customStyle="1" w:styleId="PublicationTitle">
    <w:name w:val="Publication Title"/>
    <w:basedOn w:val="Normal"/>
    <w:next w:val="Heading4"/>
    <w:rsid w:val="00A91633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A91633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A91633"/>
    <w:rPr>
      <w:szCs w:val="20"/>
    </w:rPr>
  </w:style>
  <w:style w:type="paragraph" w:customStyle="1" w:styleId="TOCTitle">
    <w:name w:val="TOC Title"/>
    <w:basedOn w:val="Normal"/>
    <w:rsid w:val="00A91633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A91633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A9163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Tibbs, Christine C.</dc:creator>
  <cp:keywords/>
  <dc:description/>
  <cp:lastModifiedBy>Wittkop, Irene</cp:lastModifiedBy>
  <cp:revision>2</cp:revision>
  <dcterms:created xsi:type="dcterms:W3CDTF">2019-08-21T06:41:00Z</dcterms:created>
  <dcterms:modified xsi:type="dcterms:W3CDTF">2019-08-21T06:41:00Z</dcterms:modified>
</cp:coreProperties>
</file>