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0F6" w:rsidRDefault="00E505BD" w:rsidP="008330F6">
      <w:pPr>
        <w:spacing w:after="120"/>
        <w:rPr>
          <w:rFonts w:ascii="Arial" w:hAnsi="Arial" w:cs="Arial"/>
          <w:b/>
          <w:color w:val="00A9A0"/>
          <w:sz w:val="32"/>
          <w:szCs w:val="52"/>
        </w:rPr>
      </w:pPr>
      <w:bookmarkStart w:id="0" w:name="_GoBack"/>
      <w:bookmarkEnd w:id="0"/>
      <w:r>
        <w:rPr>
          <w:rFonts w:ascii="Arial" w:hAnsi="Arial" w:cs="Arial"/>
          <w:b/>
          <w:color w:val="00A9A0"/>
          <w:sz w:val="32"/>
          <w:szCs w:val="52"/>
        </w:rPr>
        <w:t>INVESTIGATIONAL COVID 19 CONVALESCENT PLASMA</w:t>
      </w:r>
    </w:p>
    <w:p w:rsidR="009C6B20" w:rsidRPr="00B81949" w:rsidRDefault="00FB27B8" w:rsidP="00B81949">
      <w:pPr>
        <w:rPr>
          <w:rFonts w:ascii="Arial" w:hAnsi="Arial" w:cs="Arial"/>
          <w:b/>
          <w:color w:val="00A9A0"/>
          <w:sz w:val="32"/>
          <w:szCs w:val="32"/>
        </w:rPr>
      </w:pPr>
      <w:r>
        <w:rPr>
          <w:rFonts w:ascii="Arial" w:hAnsi="Arial" w:cs="Arial"/>
          <w:b/>
          <w:color w:val="00A9A0"/>
          <w:sz w:val="32"/>
          <w:szCs w:val="32"/>
        </w:rPr>
        <w:t>Overview:</w:t>
      </w:r>
    </w:p>
    <w:p w:rsidR="006D3610" w:rsidRPr="008330F6" w:rsidRDefault="009C6B20" w:rsidP="0049334D">
      <w:pPr>
        <w:pStyle w:val="Default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8330F6">
        <w:rPr>
          <w:rFonts w:ascii="Arial" w:hAnsi="Arial" w:cs="Arial"/>
          <w:sz w:val="20"/>
          <w:szCs w:val="20"/>
        </w:rPr>
        <w:t>COVID-19 Convalescent Plasma is being made available through a collaboration between the U.S. Food and Drug</w:t>
      </w:r>
      <w:r w:rsidR="0049334D" w:rsidRPr="008330F6">
        <w:rPr>
          <w:rFonts w:ascii="Arial" w:hAnsi="Arial" w:cs="Arial"/>
          <w:sz w:val="20"/>
          <w:szCs w:val="20"/>
        </w:rPr>
        <w:t xml:space="preserve"> </w:t>
      </w:r>
      <w:r w:rsidRPr="008330F6">
        <w:rPr>
          <w:rFonts w:ascii="Arial" w:hAnsi="Arial" w:cs="Arial"/>
          <w:sz w:val="20"/>
          <w:szCs w:val="20"/>
        </w:rPr>
        <w:t xml:space="preserve">Administration and the Mayo Clinic through an accelerated Extended Access Program (EAP) to the </w:t>
      </w:r>
      <w:r w:rsidRPr="008330F6">
        <w:rPr>
          <w:rFonts w:ascii="Arial" w:hAnsi="Arial" w:cs="Arial"/>
          <w:b/>
          <w:bCs/>
          <w:sz w:val="20"/>
          <w:szCs w:val="20"/>
        </w:rPr>
        <w:t>Mayo Clinic Clinical Trial</w:t>
      </w:r>
      <w:r w:rsidRPr="008330F6">
        <w:rPr>
          <w:rFonts w:ascii="Arial" w:hAnsi="Arial" w:cs="Arial"/>
          <w:sz w:val="20"/>
          <w:szCs w:val="20"/>
        </w:rPr>
        <w:t>.</w:t>
      </w:r>
    </w:p>
    <w:p w:rsidR="006D3610" w:rsidRPr="008330F6" w:rsidRDefault="006D3610" w:rsidP="006D3610">
      <w:pPr>
        <w:pStyle w:val="Default"/>
        <w:ind w:left="780"/>
        <w:rPr>
          <w:rFonts w:ascii="Arial" w:hAnsi="Arial" w:cs="Arial"/>
          <w:sz w:val="20"/>
          <w:szCs w:val="20"/>
        </w:rPr>
      </w:pPr>
    </w:p>
    <w:p w:rsidR="006D3610" w:rsidRPr="00923D82" w:rsidRDefault="006D3610" w:rsidP="006D3610">
      <w:pPr>
        <w:pStyle w:val="ListParagraph"/>
        <w:numPr>
          <w:ilvl w:val="0"/>
          <w:numId w:val="7"/>
        </w:numPr>
        <w:autoSpaceDE w:val="0"/>
        <w:autoSpaceDN w:val="0"/>
        <w:spacing w:before="40" w:after="40" w:line="240" w:lineRule="auto"/>
        <w:rPr>
          <w:rFonts w:ascii="Arial" w:eastAsia="Times New Roman" w:hAnsi="Arial" w:cs="Arial"/>
          <w:sz w:val="20"/>
          <w:szCs w:val="20"/>
        </w:rPr>
      </w:pPr>
      <w:r w:rsidRPr="008330F6">
        <w:rPr>
          <w:rFonts w:ascii="Arial" w:eastAsia="Times New Roman" w:hAnsi="Arial" w:cs="Arial"/>
          <w:sz w:val="20"/>
          <w:szCs w:val="20"/>
        </w:rPr>
        <w:t>People who've recovered from COVID-1</w:t>
      </w:r>
      <w:r w:rsidR="00FD18C2">
        <w:rPr>
          <w:rFonts w:ascii="Arial" w:eastAsia="Times New Roman" w:hAnsi="Arial" w:cs="Arial"/>
          <w:sz w:val="20"/>
          <w:szCs w:val="20"/>
        </w:rPr>
        <w:t>9 have antibodies to the virus</w:t>
      </w:r>
      <w:r w:rsidRPr="008330F6">
        <w:rPr>
          <w:rFonts w:ascii="Arial" w:eastAsia="Times New Roman" w:hAnsi="Arial" w:cs="Arial"/>
          <w:sz w:val="20"/>
          <w:szCs w:val="20"/>
        </w:rPr>
        <w:t xml:space="preserve"> in their blood. Doctors call this convalescent plasma. Researchers hope that convalescent plasma can be given to people with severe COVID-19 to boost their ability to fight the virus</w:t>
      </w:r>
      <w:r w:rsidRPr="008330F6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923D82" w:rsidRPr="00923D82" w:rsidRDefault="00923D82" w:rsidP="00923D82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923D82" w:rsidRPr="00923D82" w:rsidRDefault="00923D82" w:rsidP="00923D82">
      <w:pPr>
        <w:pStyle w:val="ListParagraph"/>
        <w:numPr>
          <w:ilvl w:val="0"/>
          <w:numId w:val="7"/>
        </w:numPr>
        <w:rPr>
          <w:rFonts w:ascii="Arial" w:hAnsi="Arial" w:cs="Arial"/>
          <w:color w:val="222222"/>
          <w:sz w:val="20"/>
          <w:szCs w:val="20"/>
        </w:rPr>
      </w:pPr>
      <w:r w:rsidRPr="00923D82">
        <w:rPr>
          <w:rFonts w:ascii="Arial" w:hAnsi="Arial" w:cs="Arial"/>
          <w:color w:val="222222"/>
          <w:sz w:val="20"/>
          <w:szCs w:val="20"/>
        </w:rPr>
        <w:t>Donors of COVID-19 Convalescent Plasma have previously tested positive for COVID-19 or have antibodies to COVID-19, and have been symptom-free for at least 14 days.</w:t>
      </w:r>
    </w:p>
    <w:p w:rsidR="006D3610" w:rsidRPr="008330F6" w:rsidRDefault="006D3610" w:rsidP="0049334D">
      <w:pPr>
        <w:autoSpaceDE w:val="0"/>
        <w:autoSpaceDN w:val="0"/>
        <w:spacing w:before="40" w:after="40" w:line="240" w:lineRule="auto"/>
        <w:rPr>
          <w:rFonts w:ascii="Arial" w:eastAsia="Times New Roman" w:hAnsi="Arial" w:cs="Arial"/>
          <w:sz w:val="20"/>
          <w:szCs w:val="20"/>
        </w:rPr>
      </w:pPr>
    </w:p>
    <w:p w:rsidR="003F48CE" w:rsidRPr="003F48CE" w:rsidRDefault="006D3610" w:rsidP="003F48CE">
      <w:pPr>
        <w:rPr>
          <w:rFonts w:ascii="Arial" w:hAnsi="Arial" w:cs="Arial"/>
          <w:b/>
          <w:color w:val="00A9A0"/>
          <w:sz w:val="32"/>
          <w:szCs w:val="32"/>
        </w:rPr>
      </w:pPr>
      <w:r>
        <w:rPr>
          <w:rFonts w:ascii="Arial" w:hAnsi="Arial" w:cs="Arial"/>
          <w:b/>
          <w:color w:val="00A9A0"/>
          <w:sz w:val="32"/>
          <w:szCs w:val="32"/>
        </w:rPr>
        <w:t xml:space="preserve">COVID 19 Convalescent Plasma Administration: </w:t>
      </w:r>
    </w:p>
    <w:p w:rsidR="00CE2F22" w:rsidRPr="008330F6" w:rsidRDefault="0049334D" w:rsidP="00B81949">
      <w:pPr>
        <w:pStyle w:val="ListParagraph"/>
        <w:numPr>
          <w:ilvl w:val="0"/>
          <w:numId w:val="7"/>
        </w:numPr>
        <w:ind w:right="-360"/>
        <w:rPr>
          <w:rFonts w:ascii="Arial" w:hAnsi="Arial" w:cs="Arial"/>
          <w:sz w:val="20"/>
          <w:szCs w:val="20"/>
        </w:rPr>
      </w:pPr>
      <w:r w:rsidRPr="008330F6">
        <w:rPr>
          <w:rFonts w:ascii="Arial" w:hAnsi="Arial" w:cs="Arial"/>
          <w:sz w:val="20"/>
          <w:szCs w:val="20"/>
        </w:rPr>
        <w:t>Ad</w:t>
      </w:r>
      <w:r w:rsidR="00CE2F22" w:rsidRPr="008330F6">
        <w:rPr>
          <w:rFonts w:ascii="Arial" w:hAnsi="Arial" w:cs="Arial"/>
          <w:sz w:val="20"/>
          <w:szCs w:val="20"/>
        </w:rPr>
        <w:t>ministration of COVID 19 Convalescent</w:t>
      </w:r>
      <w:r w:rsidRPr="008330F6">
        <w:rPr>
          <w:rFonts w:ascii="Arial" w:hAnsi="Arial" w:cs="Arial"/>
          <w:sz w:val="20"/>
          <w:szCs w:val="20"/>
        </w:rPr>
        <w:t xml:space="preserve"> Plasma should follow the same </w:t>
      </w:r>
      <w:r w:rsidR="002B0498">
        <w:rPr>
          <w:rFonts w:ascii="Arial" w:hAnsi="Arial" w:cs="Arial"/>
          <w:sz w:val="20"/>
          <w:szCs w:val="20"/>
        </w:rPr>
        <w:t xml:space="preserve">current </w:t>
      </w:r>
      <w:r w:rsidRPr="008330F6">
        <w:rPr>
          <w:rFonts w:ascii="Arial" w:hAnsi="Arial" w:cs="Arial"/>
          <w:sz w:val="20"/>
          <w:szCs w:val="20"/>
        </w:rPr>
        <w:t xml:space="preserve">workflow used for </w:t>
      </w:r>
      <w:r w:rsidR="00CE2F22" w:rsidRPr="008330F6">
        <w:rPr>
          <w:rFonts w:ascii="Arial" w:hAnsi="Arial" w:cs="Arial"/>
          <w:sz w:val="20"/>
          <w:szCs w:val="20"/>
        </w:rPr>
        <w:t xml:space="preserve">Blood Product administration and documentation.  </w:t>
      </w:r>
    </w:p>
    <w:p w:rsidR="003F48CE" w:rsidRDefault="00CE2F22" w:rsidP="003F48CE">
      <w:pPr>
        <w:pStyle w:val="ListParagraph"/>
        <w:numPr>
          <w:ilvl w:val="0"/>
          <w:numId w:val="9"/>
        </w:numPr>
        <w:ind w:right="-360"/>
        <w:rPr>
          <w:rFonts w:ascii="Arial" w:hAnsi="Arial" w:cs="Arial"/>
          <w:sz w:val="20"/>
          <w:szCs w:val="20"/>
        </w:rPr>
      </w:pPr>
      <w:r w:rsidRPr="008330F6">
        <w:rPr>
          <w:rFonts w:ascii="Arial" w:hAnsi="Arial" w:cs="Arial"/>
          <w:b/>
          <w:sz w:val="20"/>
          <w:szCs w:val="20"/>
        </w:rPr>
        <w:t>E</w:t>
      </w:r>
      <w:r w:rsidR="00E505BD" w:rsidRPr="008330F6">
        <w:rPr>
          <w:rFonts w:ascii="Arial" w:hAnsi="Arial" w:cs="Arial"/>
          <w:b/>
          <w:sz w:val="20"/>
          <w:szCs w:val="20"/>
        </w:rPr>
        <w:t>xception:</w:t>
      </w:r>
      <w:r w:rsidRPr="008330F6">
        <w:rPr>
          <w:rFonts w:ascii="Arial" w:hAnsi="Arial" w:cs="Arial"/>
          <w:sz w:val="20"/>
          <w:szCs w:val="20"/>
        </w:rPr>
        <w:t xml:space="preserve"> </w:t>
      </w:r>
      <w:r w:rsidR="0049334D" w:rsidRPr="008330F6">
        <w:rPr>
          <w:rFonts w:ascii="Arial" w:hAnsi="Arial" w:cs="Arial"/>
          <w:sz w:val="20"/>
          <w:szCs w:val="20"/>
        </w:rPr>
        <w:t xml:space="preserve">COVID 19 Convalescent Plasma </w:t>
      </w:r>
      <w:r w:rsidR="002B0498">
        <w:rPr>
          <w:rFonts w:ascii="Arial" w:hAnsi="Arial" w:cs="Arial"/>
          <w:sz w:val="20"/>
          <w:szCs w:val="20"/>
        </w:rPr>
        <w:t xml:space="preserve">is </w:t>
      </w:r>
      <w:r w:rsidRPr="008330F6">
        <w:rPr>
          <w:rFonts w:ascii="Arial" w:hAnsi="Arial" w:cs="Arial"/>
          <w:sz w:val="20"/>
          <w:szCs w:val="20"/>
        </w:rPr>
        <w:t xml:space="preserve">infused over </w:t>
      </w:r>
      <w:r w:rsidR="0049334D" w:rsidRPr="008330F6">
        <w:rPr>
          <w:rFonts w:ascii="Arial" w:hAnsi="Arial" w:cs="Arial"/>
          <w:sz w:val="20"/>
          <w:szCs w:val="20"/>
        </w:rPr>
        <w:t>2</w:t>
      </w:r>
      <w:r w:rsidRPr="008330F6">
        <w:rPr>
          <w:rFonts w:ascii="Arial" w:hAnsi="Arial" w:cs="Arial"/>
          <w:sz w:val="20"/>
          <w:szCs w:val="20"/>
        </w:rPr>
        <w:t xml:space="preserve"> hours </w:t>
      </w:r>
    </w:p>
    <w:p w:rsidR="003F48CE" w:rsidRDefault="003F48CE" w:rsidP="003F48CE">
      <w:pPr>
        <w:pStyle w:val="ListParagraph"/>
        <w:ind w:left="1560" w:right="-360"/>
        <w:rPr>
          <w:rFonts w:ascii="Arial" w:hAnsi="Arial" w:cs="Arial"/>
          <w:sz w:val="20"/>
          <w:szCs w:val="20"/>
        </w:rPr>
      </w:pPr>
    </w:p>
    <w:p w:rsidR="002B0498" w:rsidRPr="002B0498" w:rsidRDefault="00FD18C2" w:rsidP="002B0498">
      <w:pPr>
        <w:pStyle w:val="ListParagraph"/>
        <w:ind w:left="1560" w:right="-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2B04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</w:t>
      </w:r>
      <w:r w:rsidR="002B0498">
        <w:rPr>
          <w:rFonts w:ascii="Arial" w:hAnsi="Arial" w:cs="Arial"/>
          <w:sz w:val="20"/>
          <w:szCs w:val="20"/>
        </w:rPr>
        <w:t xml:space="preserve"> </w:t>
      </w:r>
      <w:r w:rsidR="002B0498">
        <w:rPr>
          <w:noProof/>
        </w:rPr>
        <w:drawing>
          <wp:inline distT="0" distB="0" distL="0" distR="0" wp14:anchorId="7E93240D" wp14:editId="6DDB0A4B">
            <wp:extent cx="2849880" cy="2022475"/>
            <wp:effectExtent l="38100" t="38100" r="45720" b="349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7" t="25842" r="28981" b="7851"/>
                    <a:stretch/>
                  </pic:blipFill>
                  <pic:spPr bwMode="auto">
                    <a:xfrm>
                      <a:off x="0" y="0"/>
                      <a:ext cx="2861789" cy="2030926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98" w:rsidRDefault="002B0498" w:rsidP="003F48CE">
      <w:pPr>
        <w:pStyle w:val="ListParagraph"/>
        <w:ind w:left="1560" w:right="-360"/>
        <w:rPr>
          <w:rFonts w:ascii="Arial" w:hAnsi="Arial" w:cs="Arial"/>
          <w:sz w:val="20"/>
          <w:szCs w:val="20"/>
        </w:rPr>
      </w:pPr>
    </w:p>
    <w:p w:rsidR="002B0498" w:rsidRPr="003F48CE" w:rsidRDefault="002B0498" w:rsidP="003F48CE">
      <w:pPr>
        <w:pStyle w:val="ListParagraph"/>
        <w:ind w:left="1560" w:right="-360"/>
        <w:rPr>
          <w:rFonts w:ascii="Arial" w:hAnsi="Arial" w:cs="Arial"/>
          <w:sz w:val="20"/>
          <w:szCs w:val="20"/>
        </w:rPr>
      </w:pPr>
    </w:p>
    <w:p w:rsidR="008330F6" w:rsidRPr="003F48CE" w:rsidRDefault="003F48CE" w:rsidP="003F48CE">
      <w:pPr>
        <w:pStyle w:val="ListParagraph"/>
        <w:numPr>
          <w:ilvl w:val="0"/>
          <w:numId w:val="7"/>
        </w:numPr>
        <w:ind w:right="-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label</w:t>
      </w:r>
      <w:r w:rsidR="002A27F2">
        <w:rPr>
          <w:rFonts w:ascii="Arial" w:hAnsi="Arial" w:cs="Arial"/>
          <w:sz w:val="20"/>
          <w:szCs w:val="20"/>
        </w:rPr>
        <w:t>s below display</w:t>
      </w:r>
      <w:r>
        <w:rPr>
          <w:rFonts w:ascii="Arial" w:hAnsi="Arial" w:cs="Arial"/>
          <w:sz w:val="20"/>
          <w:szCs w:val="20"/>
        </w:rPr>
        <w:t xml:space="preserve"> the Investigational COVID-19 Convalescent Plasma Identification:</w:t>
      </w:r>
    </w:p>
    <w:p w:rsidR="002B0498" w:rsidRDefault="002B0498" w:rsidP="002B0498">
      <w:pPr>
        <w:pStyle w:val="ListParagraph"/>
        <w:ind w:left="1560" w:right="-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</w:p>
    <w:p w:rsidR="0002198A" w:rsidRPr="002B0498" w:rsidRDefault="003F48CE" w:rsidP="002B0498">
      <w:pPr>
        <w:pStyle w:val="ListParagraph"/>
        <w:ind w:left="1560" w:right="-360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925195</wp:posOffset>
                </wp:positionV>
                <wp:extent cx="1417320" cy="266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8CE" w:rsidRDefault="003F4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1.6pt;margin-top:72.85pt;width:111.6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" fillcolor="#cfcdcd [2894]" stroked="f" strokeweight=".5pt">
                <v:textbox>
                  <w:txbxContent>
                    <w:p w:rsidR="003F48CE" w:rsidRDefault="003F48CE"/>
                  </w:txbxContent>
                </v:textbox>
              </v:shape>
            </w:pict>
          </mc:Fallback>
        </mc:AlternateContent>
      </w:r>
      <w:r w:rsidR="00FD18C2">
        <w:rPr>
          <w:rFonts w:ascii="Arial" w:hAnsi="Arial" w:cs="Arial"/>
          <w:b/>
          <w:sz w:val="20"/>
          <w:szCs w:val="20"/>
        </w:rPr>
        <w:t xml:space="preserve">   </w:t>
      </w:r>
      <w:r w:rsidR="008330F6">
        <w:rPr>
          <w:noProof/>
        </w:rPr>
        <w:drawing>
          <wp:inline distT="0" distB="0" distL="0" distR="0" wp14:anchorId="3A4A65E2" wp14:editId="53335695">
            <wp:extent cx="4135755" cy="1243271"/>
            <wp:effectExtent l="76200" t="76200" r="131445" b="128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3764"/>
                    <a:stretch/>
                  </pic:blipFill>
                  <pic:spPr bwMode="auto">
                    <a:xfrm>
                      <a:off x="0" y="0"/>
                      <a:ext cx="4148615" cy="12471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0A3B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81E" w:rsidRPr="002B0498" w:rsidRDefault="003F48CE" w:rsidP="002B0498">
      <w:pPr>
        <w:ind w:right="-3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 w:rsidR="00FD18C2"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2C240C2E" wp14:editId="17C28F5F">
            <wp:extent cx="4229100" cy="1051560"/>
            <wp:effectExtent l="38100" t="38100" r="38100" b="34290"/>
            <wp:docPr id="5" name="Content Placeholder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 rotWithShape="1">
                    <a:blip r:embed="rId7"/>
                    <a:srcRect l="7145" t="11037" r="8680" b="27147"/>
                    <a:stretch/>
                  </pic:blipFill>
                  <pic:spPr bwMode="auto">
                    <a:xfrm>
                      <a:off x="0" y="0"/>
                      <a:ext cx="4229100" cy="105156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38100" cap="flat" cmpd="sng" algn="ctr">
                      <a:solidFill>
                        <a:srgbClr val="00A9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81E" w:rsidRPr="002B0498" w:rsidSect="00F61C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E1AE8"/>
    <w:multiLevelType w:val="hybridMultilevel"/>
    <w:tmpl w:val="D750D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42AC0"/>
    <w:multiLevelType w:val="hybridMultilevel"/>
    <w:tmpl w:val="3DF2FF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C12931"/>
    <w:multiLevelType w:val="hybridMultilevel"/>
    <w:tmpl w:val="50565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55CA8"/>
    <w:multiLevelType w:val="hybridMultilevel"/>
    <w:tmpl w:val="7D4EA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81961"/>
    <w:multiLevelType w:val="hybridMultilevel"/>
    <w:tmpl w:val="862CDBE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DDB0AB4"/>
    <w:multiLevelType w:val="hybridMultilevel"/>
    <w:tmpl w:val="B52E3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927A7"/>
    <w:multiLevelType w:val="hybridMultilevel"/>
    <w:tmpl w:val="D03C2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B1712"/>
    <w:multiLevelType w:val="hybridMultilevel"/>
    <w:tmpl w:val="7D5A5ED4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6EA0DB3"/>
    <w:multiLevelType w:val="hybridMultilevel"/>
    <w:tmpl w:val="FA86757E"/>
    <w:lvl w:ilvl="0" w:tplc="04090009">
      <w:start w:val="1"/>
      <w:numFmt w:val="bullet"/>
      <w:lvlText w:val=""/>
      <w:lvlJc w:val="left"/>
      <w:pPr>
        <w:ind w:left="15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5F1C0D6F"/>
    <w:multiLevelType w:val="hybridMultilevel"/>
    <w:tmpl w:val="280A5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DC"/>
    <w:rsid w:val="0002198A"/>
    <w:rsid w:val="000858AD"/>
    <w:rsid w:val="000941D0"/>
    <w:rsid w:val="000F7E9F"/>
    <w:rsid w:val="000F7F6C"/>
    <w:rsid w:val="001652E3"/>
    <w:rsid w:val="0016776C"/>
    <w:rsid w:val="002032BE"/>
    <w:rsid w:val="00234778"/>
    <w:rsid w:val="002373CB"/>
    <w:rsid w:val="002420C6"/>
    <w:rsid w:val="002652D9"/>
    <w:rsid w:val="00277F40"/>
    <w:rsid w:val="0028627D"/>
    <w:rsid w:val="002A27F2"/>
    <w:rsid w:val="002B0498"/>
    <w:rsid w:val="002E641C"/>
    <w:rsid w:val="002F3087"/>
    <w:rsid w:val="00381CC8"/>
    <w:rsid w:val="003861B1"/>
    <w:rsid w:val="003861DE"/>
    <w:rsid w:val="003A1616"/>
    <w:rsid w:val="003D7D54"/>
    <w:rsid w:val="003E30AE"/>
    <w:rsid w:val="003F48CE"/>
    <w:rsid w:val="00430B90"/>
    <w:rsid w:val="0049334D"/>
    <w:rsid w:val="004A3512"/>
    <w:rsid w:val="004A562C"/>
    <w:rsid w:val="004C69D8"/>
    <w:rsid w:val="004D65AF"/>
    <w:rsid w:val="00503D0B"/>
    <w:rsid w:val="00516C16"/>
    <w:rsid w:val="00545CF4"/>
    <w:rsid w:val="00557B29"/>
    <w:rsid w:val="005B44A9"/>
    <w:rsid w:val="005E5049"/>
    <w:rsid w:val="00633511"/>
    <w:rsid w:val="006831A9"/>
    <w:rsid w:val="006D3610"/>
    <w:rsid w:val="00717F8E"/>
    <w:rsid w:val="0073359B"/>
    <w:rsid w:val="0075702B"/>
    <w:rsid w:val="00771940"/>
    <w:rsid w:val="00797737"/>
    <w:rsid w:val="00797B4D"/>
    <w:rsid w:val="007C45D5"/>
    <w:rsid w:val="00831331"/>
    <w:rsid w:val="008330F6"/>
    <w:rsid w:val="0086072B"/>
    <w:rsid w:val="0088246B"/>
    <w:rsid w:val="008B75D7"/>
    <w:rsid w:val="008E0A19"/>
    <w:rsid w:val="00923D82"/>
    <w:rsid w:val="009275BC"/>
    <w:rsid w:val="0098130D"/>
    <w:rsid w:val="009C6B20"/>
    <w:rsid w:val="00A13AD7"/>
    <w:rsid w:val="00A1644D"/>
    <w:rsid w:val="00A21026"/>
    <w:rsid w:val="00A83EE8"/>
    <w:rsid w:val="00A862A4"/>
    <w:rsid w:val="00AC18A3"/>
    <w:rsid w:val="00AF295F"/>
    <w:rsid w:val="00B30D25"/>
    <w:rsid w:val="00B736F3"/>
    <w:rsid w:val="00B81949"/>
    <w:rsid w:val="00BA3389"/>
    <w:rsid w:val="00CA6708"/>
    <w:rsid w:val="00CE2F22"/>
    <w:rsid w:val="00D34E7B"/>
    <w:rsid w:val="00D97AB3"/>
    <w:rsid w:val="00E16A66"/>
    <w:rsid w:val="00E505BD"/>
    <w:rsid w:val="00ED4622"/>
    <w:rsid w:val="00EE5B2E"/>
    <w:rsid w:val="00F53569"/>
    <w:rsid w:val="00F61CDC"/>
    <w:rsid w:val="00F732EA"/>
    <w:rsid w:val="00F934C8"/>
    <w:rsid w:val="00FB27B8"/>
    <w:rsid w:val="00FD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51D0A0-AB36-4649-BDF2-CA30225C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CDC"/>
    <w:pPr>
      <w:ind w:left="720"/>
      <w:contextualSpacing/>
    </w:pPr>
  </w:style>
  <w:style w:type="table" w:styleId="TableGrid">
    <w:name w:val="Table Grid"/>
    <w:basedOn w:val="TableNormal"/>
    <w:uiPriority w:val="39"/>
    <w:rsid w:val="00F61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4E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E7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71940"/>
    <w:pPr>
      <w:spacing w:after="0" w:line="240" w:lineRule="auto"/>
    </w:pPr>
  </w:style>
  <w:style w:type="paragraph" w:customStyle="1" w:styleId="Default">
    <w:name w:val="Default"/>
    <w:rsid w:val="009C6B2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D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1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Richerson, Scott</dc:creator>
  <cp:keywords/>
  <dc:description/>
  <cp:lastModifiedBy>Wittkop, Irene</cp:lastModifiedBy>
  <cp:revision>2</cp:revision>
  <dcterms:created xsi:type="dcterms:W3CDTF">2020-04-27T22:09:00Z</dcterms:created>
  <dcterms:modified xsi:type="dcterms:W3CDTF">2020-04-27T22:09:00Z</dcterms:modified>
</cp:coreProperties>
</file>