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1" w:type="dxa"/>
        <w:tblInd w:w="1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5"/>
        <w:gridCol w:w="4646"/>
      </w:tblGrid>
      <w:tr w:rsidR="00491608" w:rsidTr="0094705A">
        <w:trPr>
          <w:cantSplit/>
        </w:trPr>
        <w:tc>
          <w:tcPr>
            <w:tcW w:w="4645" w:type="dxa"/>
            <w:tcBorders>
              <w:top w:val="single" w:sz="6" w:space="0" w:color="auto"/>
              <w:left w:val="single" w:sz="6" w:space="0" w:color="auto"/>
              <w:bottom w:val="single" w:sz="6" w:space="0" w:color="auto"/>
              <w:right w:val="single" w:sz="6" w:space="0" w:color="auto"/>
            </w:tcBorders>
            <w:shd w:val="clear" w:color="auto" w:fill="C0C0C0"/>
          </w:tcPr>
          <w:p w:rsidR="00491608" w:rsidRDefault="00491608" w:rsidP="0080523B">
            <w:pPr>
              <w:pStyle w:val="TableHeaderText"/>
              <w:rPr>
                <w:i/>
                <w:iCs/>
              </w:rPr>
            </w:pPr>
            <w:r>
              <w:rPr>
                <w:i/>
                <w:iCs/>
              </w:rPr>
              <w:t xml:space="preserve">Sutter Health </w:t>
            </w:r>
            <w:r w:rsidR="00E66CC3">
              <w:rPr>
                <w:i/>
                <w:iCs/>
              </w:rPr>
              <w:t>Valley Area</w:t>
            </w:r>
            <w:r>
              <w:rPr>
                <w:i/>
                <w:iCs/>
              </w:rPr>
              <w:t xml:space="preserve"> </w:t>
            </w:r>
          </w:p>
          <w:p w:rsidR="00491608" w:rsidRDefault="00491608" w:rsidP="0080523B">
            <w:pPr>
              <w:pStyle w:val="TableHeaderText"/>
            </w:pPr>
            <w:r>
              <w:t>Clinical Laboratory Services</w:t>
            </w:r>
          </w:p>
        </w:tc>
        <w:tc>
          <w:tcPr>
            <w:tcW w:w="4646" w:type="dxa"/>
            <w:tcBorders>
              <w:top w:val="single" w:sz="6" w:space="0" w:color="auto"/>
              <w:left w:val="single" w:sz="6" w:space="0" w:color="auto"/>
              <w:bottom w:val="single" w:sz="6" w:space="0" w:color="auto"/>
              <w:right w:val="single" w:sz="6" w:space="0" w:color="auto"/>
            </w:tcBorders>
            <w:shd w:val="clear" w:color="auto" w:fill="C0C0C0"/>
            <w:vAlign w:val="center"/>
          </w:tcPr>
          <w:p w:rsidR="00491608" w:rsidRDefault="00491608" w:rsidP="0080523B">
            <w:pPr>
              <w:pStyle w:val="TableHeaderText"/>
            </w:pPr>
            <w:r>
              <w:t>TRAINING DOCUMENT</w:t>
            </w:r>
          </w:p>
        </w:tc>
      </w:tr>
      <w:tr w:rsidR="00491608" w:rsidTr="0094705A">
        <w:trPr>
          <w:cantSplit/>
        </w:trPr>
        <w:tc>
          <w:tcPr>
            <w:tcW w:w="4645" w:type="dxa"/>
            <w:tcBorders>
              <w:top w:val="single" w:sz="6" w:space="0" w:color="auto"/>
              <w:left w:val="single" w:sz="6" w:space="0" w:color="auto"/>
              <w:bottom w:val="single" w:sz="6" w:space="0" w:color="auto"/>
              <w:right w:val="single" w:sz="6" w:space="0" w:color="auto"/>
            </w:tcBorders>
            <w:vAlign w:val="center"/>
          </w:tcPr>
          <w:p w:rsidR="002A3C07" w:rsidRDefault="0094705A" w:rsidP="0094705A">
            <w:pPr>
              <w:pStyle w:val="TableText"/>
              <w:rPr>
                <w:b/>
                <w:bCs/>
                <w:sz w:val="28"/>
              </w:rPr>
            </w:pPr>
            <w:r>
              <w:rPr>
                <w:sz w:val="20"/>
              </w:rPr>
              <w:t>Initiation Date: 5/20/10</w:t>
            </w:r>
          </w:p>
          <w:p w:rsidR="0094705A" w:rsidRDefault="0094705A" w:rsidP="0094705A">
            <w:pPr>
              <w:pStyle w:val="TableText"/>
              <w:rPr>
                <w:sz w:val="20"/>
              </w:rPr>
            </w:pPr>
            <w:r>
              <w:rPr>
                <w:sz w:val="20"/>
              </w:rPr>
              <w:t>Revision Date: 10/16/13, 8/30/17, 9/2</w:t>
            </w:r>
            <w:r w:rsidR="00EE1030">
              <w:rPr>
                <w:sz w:val="20"/>
              </w:rPr>
              <w:t>8</w:t>
            </w:r>
            <w:r>
              <w:rPr>
                <w:sz w:val="20"/>
              </w:rPr>
              <w:t>/21</w:t>
            </w:r>
          </w:p>
          <w:p w:rsidR="0094705A" w:rsidRDefault="0094705A" w:rsidP="0094705A">
            <w:pPr>
              <w:pStyle w:val="TableText"/>
              <w:rPr>
                <w:sz w:val="20"/>
              </w:rPr>
            </w:pPr>
            <w:r>
              <w:rPr>
                <w:sz w:val="20"/>
              </w:rPr>
              <w:t>Written by: Nancy Anderson, CLS</w:t>
            </w:r>
          </w:p>
          <w:p w:rsidR="0094705A" w:rsidRDefault="0094705A" w:rsidP="0094705A">
            <w:pPr>
              <w:pStyle w:val="TableText"/>
              <w:ind w:left="720" w:hanging="720"/>
              <w:rPr>
                <w:sz w:val="20"/>
              </w:rPr>
            </w:pPr>
            <w:r>
              <w:rPr>
                <w:sz w:val="20"/>
              </w:rPr>
              <w:t>Christine Flaherty, CLS</w:t>
            </w:r>
          </w:p>
          <w:p w:rsidR="00491608" w:rsidRDefault="0094705A" w:rsidP="0094705A">
            <w:pPr>
              <w:pStyle w:val="TableText"/>
              <w:rPr>
                <w:b/>
                <w:bCs/>
                <w:sz w:val="28"/>
              </w:rPr>
            </w:pPr>
            <w:r>
              <w:rPr>
                <w:sz w:val="20"/>
              </w:rPr>
              <w:t xml:space="preserve">Revised by: </w:t>
            </w:r>
            <w:proofErr w:type="spellStart"/>
            <w:r>
              <w:rPr>
                <w:sz w:val="20"/>
              </w:rPr>
              <w:t>H.Rabinovitz</w:t>
            </w:r>
            <w:proofErr w:type="spellEnd"/>
            <w:r>
              <w:rPr>
                <w:sz w:val="20"/>
              </w:rPr>
              <w:t xml:space="preserve">, </w:t>
            </w:r>
            <w:proofErr w:type="spellStart"/>
            <w:r>
              <w:rPr>
                <w:sz w:val="20"/>
              </w:rPr>
              <w:t>E.Padilla</w:t>
            </w:r>
            <w:proofErr w:type="spellEnd"/>
          </w:p>
        </w:tc>
        <w:tc>
          <w:tcPr>
            <w:tcW w:w="4646" w:type="dxa"/>
            <w:tcBorders>
              <w:top w:val="single" w:sz="6" w:space="0" w:color="auto"/>
              <w:left w:val="single" w:sz="6" w:space="0" w:color="auto"/>
              <w:bottom w:val="single" w:sz="6" w:space="0" w:color="auto"/>
              <w:right w:val="single" w:sz="6" w:space="0" w:color="auto"/>
            </w:tcBorders>
            <w:vAlign w:val="center"/>
          </w:tcPr>
          <w:p w:rsidR="00565B81" w:rsidRPr="0094705A" w:rsidRDefault="0094705A" w:rsidP="0094705A">
            <w:pPr>
              <w:pStyle w:val="TableText"/>
              <w:jc w:val="center"/>
              <w:rPr>
                <w:b/>
                <w:bCs/>
                <w:sz w:val="28"/>
              </w:rPr>
            </w:pPr>
            <w:r>
              <w:rPr>
                <w:b/>
                <w:bCs/>
                <w:sz w:val="28"/>
              </w:rPr>
              <w:t>Quality Management Program</w:t>
            </w:r>
          </w:p>
        </w:tc>
      </w:tr>
    </w:tbl>
    <w:p w:rsidR="00491608" w:rsidRPr="0094705A" w:rsidRDefault="00424A49" w:rsidP="0094705A">
      <w:pPr>
        <w:pStyle w:val="Heading4"/>
        <w:spacing w:after="0"/>
        <w:rPr>
          <w:sz w:val="16"/>
        </w:rPr>
      </w:pPr>
      <w:r>
        <w:t xml:space="preserve"> </w:t>
      </w:r>
    </w:p>
    <w:tbl>
      <w:tblPr>
        <w:tblW w:w="0" w:type="auto"/>
        <w:tblLayout w:type="fixed"/>
        <w:tblLook w:val="0000" w:firstRow="0" w:lastRow="0" w:firstColumn="0" w:lastColumn="0" w:noHBand="0" w:noVBand="0"/>
      </w:tblPr>
      <w:tblGrid>
        <w:gridCol w:w="1728"/>
        <w:gridCol w:w="7740"/>
      </w:tblGrid>
      <w:tr w:rsidR="00491608" w:rsidRPr="00491608">
        <w:tc>
          <w:tcPr>
            <w:tcW w:w="1728" w:type="dxa"/>
            <w:shd w:val="clear" w:color="auto" w:fill="auto"/>
          </w:tcPr>
          <w:p w:rsidR="00491608" w:rsidRPr="00491608" w:rsidRDefault="00491608" w:rsidP="00491608">
            <w:pPr>
              <w:pStyle w:val="Heading5"/>
            </w:pPr>
            <w:r>
              <w:t>Overview</w:t>
            </w:r>
          </w:p>
        </w:tc>
        <w:tc>
          <w:tcPr>
            <w:tcW w:w="7740" w:type="dxa"/>
            <w:shd w:val="clear" w:color="auto" w:fill="auto"/>
          </w:tcPr>
          <w:p w:rsidR="005C2C08" w:rsidRDefault="00E84FFC" w:rsidP="00491608">
            <w:pPr>
              <w:pStyle w:val="BlockText"/>
            </w:pPr>
            <w:r>
              <w:t xml:space="preserve">The employees of the </w:t>
            </w:r>
            <w:r w:rsidR="00F77FBD">
              <w:t xml:space="preserve">Sutter Health </w:t>
            </w:r>
            <w:r>
              <w:t xml:space="preserve">Clinical Laboratory Services </w:t>
            </w:r>
            <w:r w:rsidR="005115D5">
              <w:t>require</w:t>
            </w:r>
            <w:r>
              <w:t xml:space="preserve"> knowledge of</w:t>
            </w:r>
            <w:r w:rsidR="00B03E8B">
              <w:t xml:space="preserve"> essential quality and compliance processes and policies. </w:t>
            </w:r>
          </w:p>
          <w:p w:rsidR="00A10556" w:rsidRPr="00491608" w:rsidRDefault="00133661" w:rsidP="00491608">
            <w:pPr>
              <w:pStyle w:val="BlockText"/>
            </w:pPr>
            <w:r>
              <w:t>Th</w:t>
            </w:r>
            <w:r w:rsidR="00A01F4C">
              <w:t xml:space="preserve">is document describes key quality essentials in </w:t>
            </w:r>
            <w:r>
              <w:t>pre-analytic, analytic and post-analytic processes for</w:t>
            </w:r>
            <w:r w:rsidR="00F5425A">
              <w:t xml:space="preserve"> both acute care and ambulatory laboratory services</w:t>
            </w:r>
            <w:r>
              <w:t xml:space="preserve">. </w:t>
            </w:r>
          </w:p>
        </w:tc>
      </w:tr>
    </w:tbl>
    <w:p w:rsidR="00B0516C" w:rsidRPr="00B0516C" w:rsidRDefault="00B0516C" w:rsidP="00B0516C">
      <w:pPr>
        <w:pStyle w:val="BlockLine"/>
      </w:pPr>
    </w:p>
    <w:tbl>
      <w:tblPr>
        <w:tblW w:w="9468" w:type="dxa"/>
        <w:tblLayout w:type="fixed"/>
        <w:tblLook w:val="0000" w:firstRow="0" w:lastRow="0" w:firstColumn="0" w:lastColumn="0" w:noHBand="0" w:noVBand="0"/>
      </w:tblPr>
      <w:tblGrid>
        <w:gridCol w:w="1728"/>
        <w:gridCol w:w="7740"/>
      </w:tblGrid>
      <w:tr w:rsidR="00B0516C" w:rsidRPr="00B0516C" w:rsidTr="0094705A">
        <w:tc>
          <w:tcPr>
            <w:tcW w:w="1728" w:type="dxa"/>
            <w:shd w:val="clear" w:color="auto" w:fill="auto"/>
          </w:tcPr>
          <w:p w:rsidR="00B0516C" w:rsidRPr="00B0516C" w:rsidRDefault="00B0516C" w:rsidP="00B0516C">
            <w:pPr>
              <w:pStyle w:val="Heading5"/>
            </w:pPr>
            <w:r>
              <w:t>Policy</w:t>
            </w:r>
          </w:p>
        </w:tc>
        <w:tc>
          <w:tcPr>
            <w:tcW w:w="7740" w:type="dxa"/>
            <w:shd w:val="clear" w:color="auto" w:fill="auto"/>
          </w:tcPr>
          <w:p w:rsidR="002127DE" w:rsidRDefault="002127DE" w:rsidP="002127DE">
            <w:pPr>
              <w:numPr>
                <w:ilvl w:val="0"/>
                <w:numId w:val="15"/>
              </w:numPr>
            </w:pPr>
            <w:r>
              <w:t>The Laboratory maintains an over-arching Quality Policy - referred to as “</w:t>
            </w:r>
            <w:r w:rsidRPr="0012214F">
              <w:rPr>
                <w:i/>
              </w:rPr>
              <w:t>Our Commitment</w:t>
            </w:r>
            <w:r>
              <w:t>” - that states our intent for providing a high quality service that is customer-focused.</w:t>
            </w:r>
          </w:p>
          <w:p w:rsidR="002127DE" w:rsidRDefault="002127DE" w:rsidP="002127DE">
            <w:pPr>
              <w:numPr>
                <w:ilvl w:val="0"/>
                <w:numId w:val="15"/>
              </w:numPr>
            </w:pPr>
            <w:r>
              <w:t>Decisions, agreements and behaviors of Laboratory management and staff are aligned and consistent with the Quality Policy.</w:t>
            </w:r>
          </w:p>
          <w:p w:rsidR="002127DE" w:rsidRDefault="002127DE" w:rsidP="002127DE">
            <w:pPr>
              <w:numPr>
                <w:ilvl w:val="0"/>
                <w:numId w:val="15"/>
              </w:numPr>
            </w:pPr>
            <w:r>
              <w:t>The Quality Policy acts as the guiding principle for Laboratory management and staff, enabling the laboratory to sustain customer confidence in:</w:t>
            </w:r>
          </w:p>
          <w:p w:rsidR="002127DE" w:rsidRDefault="002127DE" w:rsidP="002127DE">
            <w:pPr>
              <w:numPr>
                <w:ilvl w:val="1"/>
                <w:numId w:val="15"/>
              </w:numPr>
            </w:pPr>
            <w:r>
              <w:t>Operational integrity</w:t>
            </w:r>
          </w:p>
          <w:p w:rsidR="002127DE" w:rsidRDefault="002127DE" w:rsidP="002127DE">
            <w:pPr>
              <w:numPr>
                <w:ilvl w:val="1"/>
                <w:numId w:val="15"/>
              </w:numPr>
            </w:pPr>
            <w:r>
              <w:t>Professional competence</w:t>
            </w:r>
          </w:p>
          <w:p w:rsidR="00A10556" w:rsidRPr="00B0516C" w:rsidRDefault="002127DE" w:rsidP="0094705A">
            <w:pPr>
              <w:numPr>
                <w:ilvl w:val="1"/>
                <w:numId w:val="15"/>
              </w:numPr>
            </w:pPr>
            <w:r>
              <w:t>Clinical and business judgment</w:t>
            </w:r>
          </w:p>
        </w:tc>
      </w:tr>
    </w:tbl>
    <w:p w:rsidR="0094705A" w:rsidRPr="0094705A" w:rsidRDefault="0094705A" w:rsidP="0094705A">
      <w:pPr>
        <w:pStyle w:val="BlockLine"/>
        <w:rPr>
          <w:sz w:val="6"/>
        </w:rPr>
      </w:pPr>
    </w:p>
    <w:tbl>
      <w:tblPr>
        <w:tblW w:w="9832" w:type="dxa"/>
        <w:tblLayout w:type="fixed"/>
        <w:tblLook w:val="0000" w:firstRow="0" w:lastRow="0" w:firstColumn="0" w:lastColumn="0" w:noHBand="0" w:noVBand="0"/>
      </w:tblPr>
      <w:tblGrid>
        <w:gridCol w:w="1728"/>
        <w:gridCol w:w="8104"/>
      </w:tblGrid>
      <w:tr w:rsidR="00684F0D" w:rsidRPr="00B0516C">
        <w:tc>
          <w:tcPr>
            <w:tcW w:w="1728" w:type="dxa"/>
            <w:shd w:val="clear" w:color="auto" w:fill="auto"/>
          </w:tcPr>
          <w:p w:rsidR="00684F0D" w:rsidRPr="00B0516C" w:rsidRDefault="00684F0D" w:rsidP="00446798">
            <w:pPr>
              <w:pStyle w:val="Heading5"/>
            </w:pPr>
            <w:r>
              <w:t>Our Commitment</w:t>
            </w:r>
          </w:p>
        </w:tc>
        <w:tc>
          <w:tcPr>
            <w:tcW w:w="8104" w:type="dxa"/>
            <w:shd w:val="clear" w:color="auto" w:fill="auto"/>
          </w:tcPr>
          <w:p w:rsidR="00A10556" w:rsidRDefault="00A10556" w:rsidP="00684F0D">
            <w:pPr>
              <w:jc w:val="center"/>
              <w:rPr>
                <w:i/>
                <w:u w:val="single"/>
              </w:rPr>
            </w:pPr>
          </w:p>
          <w:p w:rsidR="00684F0D" w:rsidRPr="00DF07CF" w:rsidRDefault="00684F0D" w:rsidP="00684F0D">
            <w:pPr>
              <w:jc w:val="center"/>
              <w:rPr>
                <w:i/>
                <w:u w:val="single"/>
              </w:rPr>
            </w:pPr>
            <w:r w:rsidRPr="00DF07CF">
              <w:rPr>
                <w:i/>
                <w:u w:val="single"/>
              </w:rPr>
              <w:t>Our Commitment</w:t>
            </w:r>
          </w:p>
          <w:p w:rsidR="00684F0D" w:rsidRPr="00DF07CF" w:rsidRDefault="00684F0D" w:rsidP="00684F0D">
            <w:pPr>
              <w:jc w:val="center"/>
              <w:rPr>
                <w:i/>
              </w:rPr>
            </w:pPr>
          </w:p>
          <w:p w:rsidR="00684F0D" w:rsidRPr="00DF07CF" w:rsidRDefault="00684F0D" w:rsidP="00684F0D">
            <w:pPr>
              <w:jc w:val="center"/>
              <w:rPr>
                <w:i/>
              </w:rPr>
            </w:pPr>
            <w:r w:rsidRPr="00DF07CF">
              <w:rPr>
                <w:i/>
              </w:rPr>
              <w:t xml:space="preserve">The management and staff of the </w:t>
            </w:r>
            <w:r w:rsidR="00A01F4C">
              <w:rPr>
                <w:i/>
              </w:rPr>
              <w:t>Sutter Health</w:t>
            </w:r>
            <w:r w:rsidRPr="00DF07CF">
              <w:rPr>
                <w:i/>
              </w:rPr>
              <w:t xml:space="preserve"> laboratories are committed to good professional practice and the provision of a high quality service that contributes to the health and well-being of our patients.</w:t>
            </w:r>
          </w:p>
          <w:p w:rsidR="00684F0D" w:rsidRPr="0094705A" w:rsidRDefault="00684F0D" w:rsidP="00684F0D">
            <w:pPr>
              <w:jc w:val="center"/>
              <w:rPr>
                <w:i/>
                <w:sz w:val="10"/>
              </w:rPr>
            </w:pPr>
          </w:p>
          <w:p w:rsidR="00684F0D" w:rsidRPr="00DF07CF" w:rsidRDefault="00684F0D" w:rsidP="00684F0D">
            <w:pPr>
              <w:jc w:val="center"/>
              <w:rPr>
                <w:i/>
              </w:rPr>
            </w:pPr>
            <w:r w:rsidRPr="00DF07CF">
              <w:rPr>
                <w:i/>
              </w:rPr>
              <w:t xml:space="preserve">We work together to foster a culture of quality by placing the needs of our patients “at the center” of our work processes and all decisions </w:t>
            </w:r>
            <w:r>
              <w:rPr>
                <w:i/>
              </w:rPr>
              <w:t xml:space="preserve">that </w:t>
            </w:r>
            <w:r w:rsidRPr="00DF07CF">
              <w:rPr>
                <w:i/>
              </w:rPr>
              <w:t>we make.</w:t>
            </w:r>
          </w:p>
          <w:p w:rsidR="00684F0D" w:rsidRPr="0094705A" w:rsidRDefault="00684F0D" w:rsidP="00684F0D">
            <w:pPr>
              <w:jc w:val="center"/>
              <w:rPr>
                <w:i/>
                <w:sz w:val="10"/>
              </w:rPr>
            </w:pPr>
          </w:p>
          <w:p w:rsidR="00684F0D" w:rsidRPr="00DF07CF" w:rsidRDefault="00684F0D" w:rsidP="000C23E1">
            <w:pPr>
              <w:jc w:val="center"/>
              <w:rPr>
                <w:i/>
              </w:rPr>
            </w:pPr>
            <w:r w:rsidRPr="00DF07CF">
              <w:rPr>
                <w:i/>
              </w:rPr>
              <w:t>We actualize our commitment through the Laboratory Quality Management Program (QMP).  The QMP provides the essential framework for managing the quality of all laboratory work processes, optimizing outcomes and ensuring:</w:t>
            </w:r>
          </w:p>
          <w:p w:rsidR="00684F0D" w:rsidRPr="0094705A" w:rsidRDefault="00684F0D" w:rsidP="000C23E1">
            <w:pPr>
              <w:jc w:val="center"/>
              <w:rPr>
                <w:i/>
                <w:sz w:val="10"/>
              </w:rPr>
            </w:pPr>
          </w:p>
          <w:p w:rsidR="00684F0D" w:rsidRPr="00DF07CF" w:rsidRDefault="00684F0D" w:rsidP="000C23E1">
            <w:pPr>
              <w:jc w:val="center"/>
              <w:rPr>
                <w:i/>
              </w:rPr>
            </w:pPr>
            <w:r>
              <w:rPr>
                <w:i/>
              </w:rPr>
              <w:t xml:space="preserve">▫  </w:t>
            </w:r>
            <w:r w:rsidRPr="00DF07CF">
              <w:rPr>
                <w:i/>
              </w:rPr>
              <w:t>Ethical business and professional conduct</w:t>
            </w:r>
          </w:p>
          <w:p w:rsidR="00684F0D" w:rsidRPr="00DF07CF" w:rsidRDefault="00684F0D" w:rsidP="000C23E1">
            <w:pPr>
              <w:jc w:val="center"/>
              <w:rPr>
                <w:i/>
              </w:rPr>
            </w:pPr>
            <w:r>
              <w:rPr>
                <w:i/>
              </w:rPr>
              <w:t xml:space="preserve">▫ </w:t>
            </w:r>
            <w:r w:rsidRPr="00DF07CF">
              <w:rPr>
                <w:i/>
              </w:rPr>
              <w:t>Compliance with regulatory and accreditation requirements</w:t>
            </w:r>
          </w:p>
          <w:p w:rsidR="00684F0D" w:rsidRDefault="00684F0D" w:rsidP="000C23E1">
            <w:pPr>
              <w:jc w:val="center"/>
              <w:rPr>
                <w:i/>
              </w:rPr>
            </w:pPr>
            <w:r>
              <w:rPr>
                <w:i/>
              </w:rPr>
              <w:t xml:space="preserve">▫ </w:t>
            </w:r>
            <w:r w:rsidRPr="00DF07CF">
              <w:rPr>
                <w:i/>
              </w:rPr>
              <w:t xml:space="preserve">An organization structure and </w:t>
            </w:r>
            <w:r>
              <w:rPr>
                <w:i/>
              </w:rPr>
              <w:t xml:space="preserve"> scope of services that meet</w:t>
            </w:r>
            <w:r w:rsidRPr="00DF07CF">
              <w:rPr>
                <w:i/>
              </w:rPr>
              <w:t xml:space="preserve"> the needs of our patients</w:t>
            </w:r>
          </w:p>
          <w:p w:rsidR="00684F0D" w:rsidRDefault="00684F0D" w:rsidP="000C23E1">
            <w:pPr>
              <w:jc w:val="center"/>
              <w:rPr>
                <w:i/>
              </w:rPr>
            </w:pPr>
            <w:r>
              <w:rPr>
                <w:i/>
              </w:rPr>
              <w:t xml:space="preserve">▫ </w:t>
            </w:r>
            <w:r w:rsidRPr="00DF07CF">
              <w:rPr>
                <w:i/>
              </w:rPr>
              <w:t>Continual improvement of our processes and outcomes</w:t>
            </w:r>
          </w:p>
          <w:p w:rsidR="00A10556" w:rsidRPr="00684F0D" w:rsidRDefault="00A10556" w:rsidP="000C23E1">
            <w:pPr>
              <w:jc w:val="center"/>
              <w:rPr>
                <w:i/>
              </w:rPr>
            </w:pPr>
          </w:p>
        </w:tc>
      </w:tr>
    </w:tbl>
    <w:p w:rsidR="0094705A" w:rsidRDefault="0094705A" w:rsidP="0094705A">
      <w:pPr>
        <w:pStyle w:val="ContinuedOnNextPa"/>
      </w:pPr>
      <w:r>
        <w:t>Continued on next page</w:t>
      </w:r>
    </w:p>
    <w:p w:rsidR="0094705A" w:rsidRDefault="0094705A" w:rsidP="0094705A">
      <w:pPr>
        <w:pStyle w:val="MapTitleContinued"/>
        <w:rPr>
          <w:b w:val="0"/>
          <w:sz w:val="24"/>
        </w:rPr>
      </w:pPr>
      <w:r w:rsidRPr="00F14610">
        <w:rPr>
          <w:sz w:val="28"/>
        </w:rPr>
        <w:lastRenderedPageBreak/>
        <w:t>Quality Management Program</w:t>
      </w:r>
      <w:r w:rsidRPr="0063469F">
        <w:fldChar w:fldCharType="begin"/>
      </w:r>
      <w:r w:rsidRPr="0063469F">
        <w:instrText xml:space="preserve"> STYLEREF "Map Title" </w:instrText>
      </w:r>
      <w:r w:rsidRPr="0063469F">
        <w:fldChar w:fldCharType="end"/>
      </w:r>
      <w:r w:rsidRPr="0063469F">
        <w:t xml:space="preserve">, </w:t>
      </w:r>
      <w:r w:rsidRPr="0063469F">
        <w:rPr>
          <w:b w:val="0"/>
          <w:sz w:val="24"/>
        </w:rPr>
        <w:t>Continued</w:t>
      </w:r>
    </w:p>
    <w:p w:rsidR="00F14378" w:rsidRPr="009676B9" w:rsidRDefault="00F14378" w:rsidP="00F14378">
      <w:pPr>
        <w:pStyle w:val="BlockLine"/>
      </w:pPr>
    </w:p>
    <w:tbl>
      <w:tblPr>
        <w:tblW w:w="9468" w:type="dxa"/>
        <w:tblLayout w:type="fixed"/>
        <w:tblLook w:val="0000" w:firstRow="0" w:lastRow="0" w:firstColumn="0" w:lastColumn="0" w:noHBand="0" w:noVBand="0"/>
      </w:tblPr>
      <w:tblGrid>
        <w:gridCol w:w="1728"/>
        <w:gridCol w:w="7740"/>
      </w:tblGrid>
      <w:tr w:rsidR="004E0ECA" w:rsidRPr="009676B9" w:rsidTr="0094705A">
        <w:tc>
          <w:tcPr>
            <w:tcW w:w="1728" w:type="dxa"/>
            <w:shd w:val="clear" w:color="auto" w:fill="auto"/>
          </w:tcPr>
          <w:p w:rsidR="004E0ECA" w:rsidRPr="00491608" w:rsidRDefault="005F7A68" w:rsidP="005F7A68">
            <w:pPr>
              <w:pStyle w:val="Heading5"/>
            </w:pPr>
            <w:r>
              <w:t>O</w:t>
            </w:r>
            <w:r w:rsidR="004E0ECA">
              <w:t xml:space="preserve">verview </w:t>
            </w:r>
          </w:p>
        </w:tc>
        <w:tc>
          <w:tcPr>
            <w:tcW w:w="7740" w:type="dxa"/>
            <w:shd w:val="clear" w:color="auto" w:fill="auto"/>
          </w:tcPr>
          <w:p w:rsidR="00BE71F9" w:rsidRDefault="00BE71F9" w:rsidP="005C2C08">
            <w:pPr>
              <w:numPr>
                <w:ilvl w:val="0"/>
                <w:numId w:val="15"/>
              </w:numPr>
            </w:pPr>
            <w:r>
              <w:t>In many ways, the Quality Manual can be thought of as the “Procedure Manual” for Managers and Supervisors because it provides the guidance and instructions for Managers and Supervisors to do their job (which is to provide employees with what they need to produce quality results)</w:t>
            </w:r>
          </w:p>
          <w:p w:rsidR="00BE71F9" w:rsidRDefault="00BE71F9" w:rsidP="005C2C08">
            <w:pPr>
              <w:numPr>
                <w:ilvl w:val="0"/>
                <w:numId w:val="15"/>
              </w:numPr>
            </w:pPr>
            <w:r>
              <w:t>But, there are programs and procedures in the Quality Manual that apply to and are carried out by laboratory staff such as:</w:t>
            </w:r>
          </w:p>
          <w:p w:rsidR="00BE71F9" w:rsidRDefault="00BE71F9" w:rsidP="00BE71F9">
            <w:pPr>
              <w:ind w:left="720"/>
            </w:pPr>
            <w:r>
              <w:t xml:space="preserve">        ▪  Proficiency Testing Program</w:t>
            </w:r>
          </w:p>
          <w:p w:rsidR="00BE71F9" w:rsidRDefault="00BE71F9" w:rsidP="00BE71F9">
            <w:pPr>
              <w:ind w:left="720"/>
            </w:pPr>
            <w:r>
              <w:t xml:space="preserve">        ▪  Hand-off Communication</w:t>
            </w:r>
          </w:p>
          <w:p w:rsidR="00BE71F9" w:rsidRDefault="00BE71F9" w:rsidP="00BE71F9">
            <w:pPr>
              <w:ind w:left="720"/>
            </w:pPr>
            <w:r>
              <w:t xml:space="preserve">        ▪  Laboratory Safety Program</w:t>
            </w:r>
          </w:p>
          <w:p w:rsidR="00346680" w:rsidRDefault="00BE71F9" w:rsidP="00346680">
            <w:pPr>
              <w:ind w:left="720"/>
            </w:pPr>
            <w:r>
              <w:t xml:space="preserve">        ▪  Proficiency Testing</w:t>
            </w:r>
          </w:p>
          <w:p w:rsidR="00DC76C4" w:rsidRDefault="00346680" w:rsidP="00DC76C4">
            <w:pPr>
              <w:ind w:left="720"/>
            </w:pPr>
            <w:r>
              <w:t xml:space="preserve">        ▪  Continuing Education Program</w:t>
            </w:r>
          </w:p>
          <w:p w:rsidR="00DC76C4" w:rsidRDefault="00DC76C4" w:rsidP="00DC76C4">
            <w:pPr>
              <w:ind w:left="720"/>
            </w:pPr>
            <w:r>
              <w:t xml:space="preserve">        ▪  Laboratory Compliance Program</w:t>
            </w:r>
          </w:p>
          <w:p w:rsidR="004E0ECA" w:rsidRDefault="004E0ECA" w:rsidP="00446798">
            <w:pPr>
              <w:numPr>
                <w:ilvl w:val="0"/>
                <w:numId w:val="17"/>
              </w:numPr>
            </w:pPr>
            <w:r>
              <w:t xml:space="preserve">Laboratory management ensures the effective application of the </w:t>
            </w:r>
            <w:r w:rsidR="005C2C08">
              <w:t>quality procedures</w:t>
            </w:r>
            <w:r>
              <w:t xml:space="preserve"> to all activities related to laboratory operations.</w:t>
            </w:r>
          </w:p>
          <w:p w:rsidR="00A10556" w:rsidRPr="000B5401" w:rsidRDefault="004E0ECA" w:rsidP="005C2C08">
            <w:pPr>
              <w:numPr>
                <w:ilvl w:val="0"/>
                <w:numId w:val="17"/>
              </w:numPr>
            </w:pPr>
            <w:r>
              <w:t>Laboratory management also ensures optimal integration of the</w:t>
            </w:r>
            <w:r w:rsidR="005C2C08">
              <w:t xml:space="preserve"> procedures in the lab to affiliate and</w:t>
            </w:r>
            <w:r>
              <w:t xml:space="preserve"> organizational quality and risk management programs.</w:t>
            </w:r>
          </w:p>
        </w:tc>
      </w:tr>
    </w:tbl>
    <w:p w:rsidR="00481BB7" w:rsidRPr="009676B9" w:rsidRDefault="00481BB7" w:rsidP="00481BB7">
      <w:pPr>
        <w:pStyle w:val="BlockLine"/>
      </w:pPr>
    </w:p>
    <w:tbl>
      <w:tblPr>
        <w:tblW w:w="9468" w:type="dxa"/>
        <w:tblLayout w:type="fixed"/>
        <w:tblLook w:val="0000" w:firstRow="0" w:lastRow="0" w:firstColumn="0" w:lastColumn="0" w:noHBand="0" w:noVBand="0"/>
      </w:tblPr>
      <w:tblGrid>
        <w:gridCol w:w="1728"/>
        <w:gridCol w:w="7740"/>
      </w:tblGrid>
      <w:tr w:rsidR="008D156E" w:rsidRPr="005271DE" w:rsidTr="008D156E">
        <w:tc>
          <w:tcPr>
            <w:tcW w:w="1728" w:type="dxa"/>
            <w:shd w:val="clear" w:color="auto" w:fill="auto"/>
          </w:tcPr>
          <w:p w:rsidR="005F7A68" w:rsidRDefault="005F7A68" w:rsidP="005C2C08">
            <w:pPr>
              <w:pStyle w:val="Heading5"/>
            </w:pPr>
          </w:p>
          <w:p w:rsidR="008D156E" w:rsidRPr="005271DE" w:rsidRDefault="008D156E" w:rsidP="005C2C08">
            <w:pPr>
              <w:pStyle w:val="Heading5"/>
            </w:pPr>
            <w:r>
              <w:t>What is QA?</w:t>
            </w:r>
          </w:p>
        </w:tc>
        <w:tc>
          <w:tcPr>
            <w:tcW w:w="7740" w:type="dxa"/>
            <w:shd w:val="clear" w:color="auto" w:fill="auto"/>
          </w:tcPr>
          <w:p w:rsidR="005F7A68" w:rsidRDefault="005F7A68" w:rsidP="005F7A68">
            <w:pPr>
              <w:pStyle w:val="BulletText1"/>
              <w:numPr>
                <w:ilvl w:val="0"/>
                <w:numId w:val="0"/>
              </w:numPr>
              <w:ind w:left="173"/>
            </w:pPr>
          </w:p>
          <w:p w:rsidR="005F7A68" w:rsidRDefault="008D156E" w:rsidP="005F7A68">
            <w:pPr>
              <w:pStyle w:val="BulletText1"/>
              <w:numPr>
                <w:ilvl w:val="0"/>
                <w:numId w:val="23"/>
              </w:numPr>
            </w:pPr>
            <w:r>
              <w:t xml:space="preserve">Quality Assurance is a program that consists of guidelines designed to ensure accurate testing and reporting of results. </w:t>
            </w:r>
          </w:p>
          <w:p w:rsidR="008D156E" w:rsidRDefault="008D156E" w:rsidP="005F7A68">
            <w:pPr>
              <w:pStyle w:val="BulletText1"/>
              <w:numPr>
                <w:ilvl w:val="0"/>
                <w:numId w:val="23"/>
              </w:numPr>
            </w:pPr>
            <w:r>
              <w:t>Laboratories must have an established QA program mandated by the Clinical Laboratory Improvement Amendments of 1988.</w:t>
            </w:r>
          </w:p>
          <w:p w:rsidR="008D156E" w:rsidRDefault="008D156E" w:rsidP="008D156E">
            <w:pPr>
              <w:pStyle w:val="BulletText2"/>
              <w:numPr>
                <w:ilvl w:val="0"/>
                <w:numId w:val="23"/>
              </w:numPr>
            </w:pPr>
            <w:r>
              <w:t xml:space="preserve">Accrediting agencies such as the CAP and </w:t>
            </w:r>
            <w:r w:rsidR="006C5586">
              <w:t xml:space="preserve">TJC </w:t>
            </w:r>
            <w:r w:rsidR="005F7A68">
              <w:t>inspect to see if the quality program is effective</w:t>
            </w:r>
          </w:p>
          <w:p w:rsidR="00481BB7" w:rsidRDefault="00481BB7" w:rsidP="00481BB7">
            <w:pPr>
              <w:pStyle w:val="BulletText2"/>
              <w:numPr>
                <w:ilvl w:val="0"/>
                <w:numId w:val="0"/>
              </w:numPr>
              <w:ind w:left="360" w:hanging="187"/>
            </w:pPr>
          </w:p>
          <w:p w:rsidR="008D156E" w:rsidRDefault="008D156E" w:rsidP="008D156E">
            <w:pPr>
              <w:pStyle w:val="BulletText1"/>
              <w:numPr>
                <w:ilvl w:val="0"/>
                <w:numId w:val="22"/>
              </w:numPr>
            </w:pPr>
            <w:r>
              <w:t xml:space="preserve">The QA program </w:t>
            </w:r>
            <w:r w:rsidR="005F7A68">
              <w:t>i</w:t>
            </w:r>
            <w:r>
              <w:t>nclude</w:t>
            </w:r>
            <w:r w:rsidR="005F7A68">
              <w:t>s:</w:t>
            </w:r>
          </w:p>
          <w:p w:rsidR="008D156E" w:rsidRDefault="008D156E" w:rsidP="008D156E">
            <w:pPr>
              <w:pStyle w:val="BulletText2"/>
              <w:numPr>
                <w:ilvl w:val="0"/>
                <w:numId w:val="23"/>
              </w:numPr>
            </w:pPr>
            <w:proofErr w:type="spellStart"/>
            <w:r w:rsidRPr="00374D52">
              <w:rPr>
                <w:b/>
              </w:rPr>
              <w:t>Preanalytic</w:t>
            </w:r>
            <w:proofErr w:type="spellEnd"/>
            <w:r w:rsidR="00481BB7">
              <w:rPr>
                <w:b/>
              </w:rPr>
              <w:t xml:space="preserve"> phase</w:t>
            </w:r>
            <w:r>
              <w:t>: covers all aspects affecting the test outcome prior to the testing procedure itself</w:t>
            </w:r>
          </w:p>
          <w:p w:rsidR="008D156E" w:rsidRDefault="008D156E" w:rsidP="008D156E">
            <w:pPr>
              <w:pStyle w:val="BulletText3"/>
              <w:numPr>
                <w:ilvl w:val="0"/>
                <w:numId w:val="24"/>
              </w:numPr>
            </w:pPr>
            <w:r>
              <w:t>Patient requisitions</w:t>
            </w:r>
          </w:p>
          <w:p w:rsidR="008D156E" w:rsidRDefault="008D156E" w:rsidP="008D156E">
            <w:pPr>
              <w:pStyle w:val="BulletText3"/>
              <w:numPr>
                <w:ilvl w:val="0"/>
                <w:numId w:val="24"/>
              </w:numPr>
            </w:pPr>
            <w:r>
              <w:t>Patient preparation</w:t>
            </w:r>
          </w:p>
          <w:p w:rsidR="008D156E" w:rsidRDefault="008D156E" w:rsidP="008D156E">
            <w:pPr>
              <w:pStyle w:val="BulletText3"/>
              <w:numPr>
                <w:ilvl w:val="0"/>
                <w:numId w:val="24"/>
              </w:numPr>
            </w:pPr>
            <w:r>
              <w:t>Specimen collection</w:t>
            </w:r>
          </w:p>
          <w:p w:rsidR="008D156E" w:rsidRDefault="008D156E" w:rsidP="008D156E">
            <w:pPr>
              <w:pStyle w:val="BulletText3"/>
              <w:numPr>
                <w:ilvl w:val="0"/>
                <w:numId w:val="24"/>
              </w:numPr>
            </w:pPr>
            <w:r>
              <w:t>Specimen transport</w:t>
            </w:r>
          </w:p>
          <w:p w:rsidR="008D156E" w:rsidRDefault="008D156E" w:rsidP="008D156E">
            <w:pPr>
              <w:pStyle w:val="BulletText3"/>
              <w:numPr>
                <w:ilvl w:val="0"/>
                <w:numId w:val="24"/>
              </w:numPr>
            </w:pPr>
            <w:r>
              <w:t>Specimen processing</w:t>
            </w:r>
          </w:p>
          <w:p w:rsidR="008D156E" w:rsidRDefault="008D156E" w:rsidP="008D156E">
            <w:pPr>
              <w:pStyle w:val="BulletText3"/>
              <w:numPr>
                <w:ilvl w:val="0"/>
                <w:numId w:val="24"/>
              </w:numPr>
            </w:pPr>
            <w:r>
              <w:t>Specimen storage</w:t>
            </w:r>
          </w:p>
          <w:p w:rsidR="008D156E" w:rsidRDefault="008D156E" w:rsidP="008D156E">
            <w:pPr>
              <w:pStyle w:val="BulletText3"/>
              <w:numPr>
                <w:ilvl w:val="0"/>
                <w:numId w:val="24"/>
              </w:numPr>
            </w:pPr>
            <w:r>
              <w:t>Staff training</w:t>
            </w:r>
          </w:p>
          <w:p w:rsidR="008D156E" w:rsidRDefault="008D156E" w:rsidP="008D156E">
            <w:pPr>
              <w:pStyle w:val="BulletText3"/>
              <w:numPr>
                <w:ilvl w:val="0"/>
                <w:numId w:val="24"/>
              </w:numPr>
            </w:pPr>
            <w:r>
              <w:t>Competency assessments</w:t>
            </w:r>
          </w:p>
          <w:p w:rsidR="0094705A" w:rsidRDefault="0094705A" w:rsidP="0094705A">
            <w:pPr>
              <w:pStyle w:val="ContinuedOnNextPa"/>
            </w:pPr>
            <w:r>
              <w:t>Continued on next page</w:t>
            </w:r>
          </w:p>
          <w:p w:rsidR="0094705A" w:rsidRDefault="0094705A" w:rsidP="0094705A">
            <w:pPr>
              <w:pStyle w:val="BulletText3"/>
              <w:numPr>
                <w:ilvl w:val="0"/>
                <w:numId w:val="0"/>
              </w:numPr>
            </w:pPr>
          </w:p>
          <w:p w:rsidR="0094705A" w:rsidRDefault="0094705A" w:rsidP="0094705A">
            <w:pPr>
              <w:pStyle w:val="BulletText3"/>
              <w:numPr>
                <w:ilvl w:val="0"/>
                <w:numId w:val="0"/>
              </w:numPr>
            </w:pPr>
          </w:p>
          <w:p w:rsidR="0094705A" w:rsidRDefault="0094705A" w:rsidP="0094705A">
            <w:pPr>
              <w:pStyle w:val="MapTitleContinued"/>
              <w:rPr>
                <w:rFonts w:ascii="Times New Roman" w:hAnsi="Times New Roman" w:cs="Times New Roman"/>
                <w:b w:val="0"/>
                <w:sz w:val="24"/>
              </w:rPr>
            </w:pPr>
          </w:p>
          <w:p w:rsidR="0094705A" w:rsidRDefault="0094705A" w:rsidP="0094705A">
            <w:pPr>
              <w:pStyle w:val="MapTitleContinued"/>
              <w:rPr>
                <w:b w:val="0"/>
                <w:sz w:val="24"/>
              </w:rPr>
            </w:pPr>
            <w:r w:rsidRPr="00F14610">
              <w:rPr>
                <w:sz w:val="28"/>
              </w:rPr>
              <w:t>Quality Management Program</w:t>
            </w:r>
            <w:r w:rsidRPr="0063469F">
              <w:fldChar w:fldCharType="begin"/>
            </w:r>
            <w:r w:rsidRPr="0063469F">
              <w:instrText xml:space="preserve"> STYLEREF "Map Title" </w:instrText>
            </w:r>
            <w:r w:rsidRPr="0063469F">
              <w:fldChar w:fldCharType="end"/>
            </w:r>
            <w:r w:rsidRPr="0063469F">
              <w:t xml:space="preserve">, </w:t>
            </w:r>
            <w:r w:rsidRPr="0063469F">
              <w:rPr>
                <w:b w:val="0"/>
                <w:sz w:val="24"/>
              </w:rPr>
              <w:t>Continued</w:t>
            </w:r>
          </w:p>
          <w:p w:rsidR="00481BB7" w:rsidRPr="009676B9" w:rsidRDefault="00481BB7" w:rsidP="00481BB7">
            <w:pPr>
              <w:pStyle w:val="BlockLine"/>
            </w:pPr>
          </w:p>
          <w:p w:rsidR="008D156E" w:rsidRDefault="008D156E" w:rsidP="008D156E">
            <w:pPr>
              <w:pStyle w:val="BulletText2"/>
              <w:numPr>
                <w:ilvl w:val="0"/>
                <w:numId w:val="23"/>
              </w:numPr>
            </w:pPr>
            <w:r w:rsidRPr="00374D52">
              <w:rPr>
                <w:b/>
              </w:rPr>
              <w:t>Analytic</w:t>
            </w:r>
            <w:r w:rsidR="00481BB7">
              <w:rPr>
                <w:b/>
              </w:rPr>
              <w:t xml:space="preserve"> phase</w:t>
            </w:r>
            <w:r>
              <w:t>: incorporates all aspects of the testing procedure itself</w:t>
            </w:r>
          </w:p>
          <w:p w:rsidR="008D156E" w:rsidRDefault="008D156E" w:rsidP="008D156E">
            <w:pPr>
              <w:pStyle w:val="BulletText3"/>
              <w:numPr>
                <w:ilvl w:val="0"/>
                <w:numId w:val="24"/>
              </w:numPr>
            </w:pPr>
            <w:r>
              <w:t>Test methods/procedures</w:t>
            </w:r>
          </w:p>
          <w:p w:rsidR="008D156E" w:rsidRDefault="008D156E" w:rsidP="008D156E">
            <w:pPr>
              <w:pStyle w:val="BulletText3"/>
              <w:numPr>
                <w:ilvl w:val="0"/>
                <w:numId w:val="24"/>
              </w:numPr>
            </w:pPr>
            <w:r>
              <w:t>Reagents</w:t>
            </w:r>
          </w:p>
          <w:p w:rsidR="008D156E" w:rsidRDefault="008D156E" w:rsidP="008D156E">
            <w:pPr>
              <w:pStyle w:val="BulletText3"/>
              <w:numPr>
                <w:ilvl w:val="0"/>
                <w:numId w:val="24"/>
              </w:numPr>
            </w:pPr>
            <w:r>
              <w:t>Internal quality control</w:t>
            </w:r>
          </w:p>
          <w:p w:rsidR="008D156E" w:rsidRDefault="008D156E" w:rsidP="008D156E">
            <w:pPr>
              <w:pStyle w:val="BulletText3"/>
              <w:numPr>
                <w:ilvl w:val="0"/>
                <w:numId w:val="24"/>
              </w:numPr>
            </w:pPr>
            <w:r>
              <w:t>External quality control/proficiency testing</w:t>
            </w:r>
          </w:p>
          <w:p w:rsidR="008D156E" w:rsidRDefault="008D156E" w:rsidP="008D156E">
            <w:pPr>
              <w:pStyle w:val="BulletText3"/>
              <w:numPr>
                <w:ilvl w:val="0"/>
                <w:numId w:val="24"/>
              </w:numPr>
            </w:pPr>
            <w:r>
              <w:t>Instrument maintenance</w:t>
            </w:r>
          </w:p>
          <w:p w:rsidR="008D156E" w:rsidRDefault="008D156E" w:rsidP="008D156E">
            <w:pPr>
              <w:pStyle w:val="BulletText3"/>
              <w:numPr>
                <w:ilvl w:val="0"/>
                <w:numId w:val="24"/>
              </w:numPr>
            </w:pPr>
            <w:r>
              <w:t>Linearity/reportable range determination</w:t>
            </w:r>
          </w:p>
          <w:p w:rsidR="008D156E" w:rsidRDefault="008D156E" w:rsidP="008D156E">
            <w:pPr>
              <w:pStyle w:val="BulletText3"/>
              <w:numPr>
                <w:ilvl w:val="0"/>
                <w:numId w:val="24"/>
              </w:numPr>
            </w:pPr>
            <w:r>
              <w:t>Method evaluation/instrument comparison</w:t>
            </w:r>
          </w:p>
          <w:p w:rsidR="008D156E" w:rsidRDefault="008D156E" w:rsidP="008D156E">
            <w:pPr>
              <w:pStyle w:val="BulletText3"/>
              <w:numPr>
                <w:ilvl w:val="0"/>
                <w:numId w:val="24"/>
              </w:numPr>
            </w:pPr>
            <w:r>
              <w:t>Reference range determination</w:t>
            </w:r>
          </w:p>
          <w:p w:rsidR="008D156E" w:rsidRDefault="008D156E" w:rsidP="008D156E">
            <w:pPr>
              <w:pStyle w:val="BulletText3"/>
              <w:numPr>
                <w:ilvl w:val="0"/>
                <w:numId w:val="24"/>
              </w:numPr>
            </w:pPr>
            <w:r>
              <w:t>Personnel requirements</w:t>
            </w:r>
          </w:p>
          <w:p w:rsidR="008D156E" w:rsidRDefault="008D156E" w:rsidP="008D156E">
            <w:pPr>
              <w:pStyle w:val="BulletText3"/>
              <w:numPr>
                <w:ilvl w:val="0"/>
                <w:numId w:val="24"/>
              </w:numPr>
            </w:pPr>
            <w:r>
              <w:t>Staff training</w:t>
            </w:r>
          </w:p>
          <w:p w:rsidR="008D156E" w:rsidRDefault="008D156E" w:rsidP="008D156E">
            <w:pPr>
              <w:pStyle w:val="BulletText3"/>
              <w:numPr>
                <w:ilvl w:val="0"/>
                <w:numId w:val="24"/>
              </w:numPr>
            </w:pPr>
            <w:r>
              <w:t>Competency assessments</w:t>
            </w:r>
          </w:p>
          <w:p w:rsidR="008D156E" w:rsidRPr="005271DE" w:rsidRDefault="008D156E" w:rsidP="008D156E">
            <w:pPr>
              <w:pStyle w:val="BulletText3"/>
              <w:numPr>
                <w:ilvl w:val="0"/>
                <w:numId w:val="24"/>
              </w:numPr>
            </w:pPr>
            <w:r>
              <w:t>Continuing education</w:t>
            </w:r>
          </w:p>
        </w:tc>
      </w:tr>
      <w:tr w:rsidR="008D156E" w:rsidRPr="003254FD" w:rsidTr="008D156E">
        <w:tc>
          <w:tcPr>
            <w:tcW w:w="1728" w:type="dxa"/>
            <w:shd w:val="clear" w:color="auto" w:fill="auto"/>
          </w:tcPr>
          <w:p w:rsidR="008D156E" w:rsidRPr="003254FD" w:rsidRDefault="008D156E" w:rsidP="005C2C08">
            <w:pPr>
              <w:pStyle w:val="ContinuedBlockLabel"/>
            </w:pPr>
          </w:p>
        </w:tc>
        <w:tc>
          <w:tcPr>
            <w:tcW w:w="7740" w:type="dxa"/>
            <w:shd w:val="clear" w:color="auto" w:fill="auto"/>
          </w:tcPr>
          <w:p w:rsidR="008D156E" w:rsidRDefault="008D156E" w:rsidP="008D156E">
            <w:pPr>
              <w:pStyle w:val="BulletText2"/>
              <w:numPr>
                <w:ilvl w:val="0"/>
                <w:numId w:val="23"/>
              </w:numPr>
            </w:pPr>
            <w:r w:rsidRPr="00374D52">
              <w:rPr>
                <w:b/>
              </w:rPr>
              <w:t>Post-analytic</w:t>
            </w:r>
            <w:r w:rsidR="00481BB7">
              <w:rPr>
                <w:b/>
              </w:rPr>
              <w:t xml:space="preserve"> phase</w:t>
            </w:r>
            <w:r>
              <w:t>: covers all aspects affecting the test outcome occurring after the testing procedure</w:t>
            </w:r>
          </w:p>
          <w:p w:rsidR="008D156E" w:rsidRDefault="008D156E" w:rsidP="008D156E">
            <w:pPr>
              <w:pStyle w:val="BulletText3"/>
              <w:numPr>
                <w:ilvl w:val="0"/>
                <w:numId w:val="24"/>
              </w:numPr>
            </w:pPr>
            <w:r>
              <w:t>Review of patient results</w:t>
            </w:r>
          </w:p>
          <w:p w:rsidR="008D156E" w:rsidRDefault="008D156E" w:rsidP="008D156E">
            <w:pPr>
              <w:pStyle w:val="BulletText3"/>
              <w:numPr>
                <w:ilvl w:val="0"/>
                <w:numId w:val="24"/>
              </w:numPr>
            </w:pPr>
            <w:r>
              <w:t>Reporting patient results</w:t>
            </w:r>
          </w:p>
          <w:p w:rsidR="008D156E" w:rsidRDefault="008D156E" w:rsidP="008D156E">
            <w:pPr>
              <w:pStyle w:val="BulletText3"/>
              <w:numPr>
                <w:ilvl w:val="0"/>
                <w:numId w:val="24"/>
              </w:numPr>
            </w:pPr>
            <w:r>
              <w:t>Maintenance of patient records</w:t>
            </w:r>
          </w:p>
          <w:p w:rsidR="008D156E" w:rsidRDefault="008D156E" w:rsidP="008D156E">
            <w:pPr>
              <w:pStyle w:val="BulletText3"/>
              <w:numPr>
                <w:ilvl w:val="0"/>
                <w:numId w:val="24"/>
              </w:numPr>
            </w:pPr>
            <w:r>
              <w:t>Monitoring of turn-around time</w:t>
            </w:r>
          </w:p>
          <w:p w:rsidR="008D156E" w:rsidRDefault="008D156E" w:rsidP="008D156E">
            <w:pPr>
              <w:pStyle w:val="BulletText3"/>
              <w:numPr>
                <w:ilvl w:val="0"/>
                <w:numId w:val="24"/>
              </w:numPr>
            </w:pPr>
            <w:r>
              <w:t>Surveying of customer satisfaction</w:t>
            </w:r>
          </w:p>
          <w:p w:rsidR="008D156E" w:rsidRDefault="008D156E" w:rsidP="008D156E">
            <w:pPr>
              <w:pStyle w:val="BulletText3"/>
              <w:numPr>
                <w:ilvl w:val="0"/>
                <w:numId w:val="24"/>
              </w:numPr>
            </w:pPr>
            <w:r>
              <w:t>Maintaining all documentation</w:t>
            </w:r>
          </w:p>
          <w:p w:rsidR="008D156E" w:rsidRPr="003254FD" w:rsidRDefault="008D156E" w:rsidP="0094705A">
            <w:pPr>
              <w:pStyle w:val="ContinuedOnNextPa"/>
            </w:pPr>
          </w:p>
        </w:tc>
      </w:tr>
      <w:tr w:rsidR="004C3278" w:rsidRPr="004C3278" w:rsidTr="008D156E">
        <w:tc>
          <w:tcPr>
            <w:tcW w:w="1728" w:type="dxa"/>
            <w:shd w:val="clear" w:color="auto" w:fill="auto"/>
          </w:tcPr>
          <w:p w:rsidR="004C3278" w:rsidRPr="004C3278" w:rsidRDefault="00A5052F" w:rsidP="004C3278">
            <w:pPr>
              <w:pStyle w:val="Heading5"/>
            </w:pPr>
            <w:r>
              <w:t xml:space="preserve"> </w:t>
            </w:r>
            <w:r w:rsidR="00F5425A">
              <w:t>QMP Goals</w:t>
            </w:r>
          </w:p>
        </w:tc>
        <w:tc>
          <w:tcPr>
            <w:tcW w:w="7740" w:type="dxa"/>
            <w:shd w:val="clear" w:color="auto" w:fill="auto"/>
          </w:tcPr>
          <w:p w:rsidR="00C26343" w:rsidRDefault="00C26343" w:rsidP="00F5425A">
            <w:pPr>
              <w:pStyle w:val="BulletText1"/>
              <w:numPr>
                <w:ilvl w:val="0"/>
                <w:numId w:val="0"/>
              </w:numPr>
            </w:pPr>
            <w:r>
              <w:t>The goals of the QMP are to:</w:t>
            </w:r>
          </w:p>
          <w:p w:rsidR="00F77FBD" w:rsidRDefault="00C26343" w:rsidP="00C26343">
            <w:pPr>
              <w:pStyle w:val="BulletText1"/>
            </w:pPr>
            <w:r>
              <w:t xml:space="preserve">Optimize </w:t>
            </w:r>
            <w:r w:rsidR="00CD4D10">
              <w:t xml:space="preserve">internal and external </w:t>
            </w:r>
            <w:r>
              <w:t>customer satisfaction</w:t>
            </w:r>
            <w:r w:rsidR="00CD4D10">
              <w:t xml:space="preserve"> (physicians, patients and laboratory staff)</w:t>
            </w:r>
          </w:p>
          <w:p w:rsidR="00C26343" w:rsidRDefault="00C26343" w:rsidP="00C26343">
            <w:pPr>
              <w:pStyle w:val="BulletText1"/>
            </w:pPr>
            <w:r>
              <w:t>Optimize patient safety</w:t>
            </w:r>
            <w:r w:rsidR="00872715">
              <w:t xml:space="preserve"> as defined by the CAP Patient Safety Goals</w:t>
            </w:r>
          </w:p>
          <w:p w:rsidR="00C26343" w:rsidRDefault="00C26343" w:rsidP="00C26343">
            <w:pPr>
              <w:pStyle w:val="BulletText1"/>
            </w:pPr>
            <w:r>
              <w:t>Ensure accreditation readiness at all times</w:t>
            </w:r>
            <w:r w:rsidR="00CD4D10">
              <w:t xml:space="preserve"> (CAP, </w:t>
            </w:r>
            <w:r w:rsidR="00565B81">
              <w:t>TJC</w:t>
            </w:r>
            <w:r w:rsidR="00CD4D10">
              <w:t xml:space="preserve"> and IMQ)</w:t>
            </w:r>
          </w:p>
          <w:p w:rsidR="00A10556" w:rsidRPr="004C3278" w:rsidRDefault="00A10556" w:rsidP="00A10556">
            <w:pPr>
              <w:pStyle w:val="BulletText1"/>
              <w:numPr>
                <w:ilvl w:val="0"/>
                <w:numId w:val="0"/>
              </w:numPr>
            </w:pPr>
          </w:p>
        </w:tc>
      </w:tr>
    </w:tbl>
    <w:p w:rsidR="008D156E" w:rsidRPr="009676B9" w:rsidRDefault="008D156E" w:rsidP="008D156E">
      <w:pPr>
        <w:pStyle w:val="BlockLine"/>
      </w:pPr>
    </w:p>
    <w:tbl>
      <w:tblPr>
        <w:tblW w:w="0" w:type="auto"/>
        <w:tblLayout w:type="fixed"/>
        <w:tblLook w:val="0000" w:firstRow="0" w:lastRow="0" w:firstColumn="0" w:lastColumn="0" w:noHBand="0" w:noVBand="0"/>
      </w:tblPr>
      <w:tblGrid>
        <w:gridCol w:w="1728"/>
        <w:gridCol w:w="7740"/>
      </w:tblGrid>
      <w:tr w:rsidR="008D156E" w:rsidRPr="00C26343" w:rsidTr="005C2C08">
        <w:tc>
          <w:tcPr>
            <w:tcW w:w="1728" w:type="dxa"/>
            <w:shd w:val="clear" w:color="auto" w:fill="auto"/>
          </w:tcPr>
          <w:p w:rsidR="008D156E" w:rsidRPr="00C26343" w:rsidRDefault="008D156E" w:rsidP="005C2C08">
            <w:pPr>
              <w:pStyle w:val="Heading5"/>
            </w:pPr>
            <w:r>
              <w:t>Where can you find the QME’s?</w:t>
            </w:r>
          </w:p>
        </w:tc>
        <w:tc>
          <w:tcPr>
            <w:tcW w:w="7740" w:type="dxa"/>
            <w:shd w:val="clear" w:color="auto" w:fill="auto"/>
          </w:tcPr>
          <w:p w:rsidR="008D156E" w:rsidRPr="00C26343" w:rsidRDefault="005F7A68" w:rsidP="004C0138">
            <w:pPr>
              <w:pStyle w:val="BulletText1"/>
              <w:numPr>
                <w:ilvl w:val="0"/>
                <w:numId w:val="0"/>
              </w:numPr>
              <w:ind w:left="173" w:hanging="173"/>
            </w:pPr>
            <w:r>
              <w:t>The quality</w:t>
            </w:r>
            <w:r w:rsidR="008D156E">
              <w:t xml:space="preserve"> policies are found in </w:t>
            </w:r>
            <w:proofErr w:type="spellStart"/>
            <w:r w:rsidR="008D156E">
              <w:t>PolicyStat</w:t>
            </w:r>
            <w:proofErr w:type="spellEnd"/>
            <w:r w:rsidR="008D156E">
              <w:t xml:space="preserve">. Go to the Sutter Intranet and log on to </w:t>
            </w:r>
            <w:proofErr w:type="spellStart"/>
            <w:r w:rsidR="008D156E">
              <w:t>PolicyStat</w:t>
            </w:r>
            <w:proofErr w:type="spellEnd"/>
            <w:r w:rsidR="008D156E">
              <w:t>. You can then search by topic among all policies</w:t>
            </w:r>
            <w:r>
              <w:t xml:space="preserve">. For the North Valley labs, the quality policies are organized as one set of </w:t>
            </w:r>
            <w:r w:rsidR="004C0138">
              <w:t>documents</w:t>
            </w:r>
            <w:r>
              <w:t xml:space="preserve"> called the Quality Management Plan (QMP) and can be found in</w:t>
            </w:r>
            <w:r w:rsidR="008D156E">
              <w:t xml:space="preserve"> the Policy Area “Lab – Quality Management”</w:t>
            </w:r>
            <w:r>
              <w:t>.</w:t>
            </w:r>
          </w:p>
        </w:tc>
      </w:tr>
    </w:tbl>
    <w:p w:rsidR="00F14378" w:rsidRDefault="00F14378" w:rsidP="00F14378">
      <w:pPr>
        <w:pStyle w:val="ContinuedOnNextPa"/>
      </w:pPr>
      <w:r>
        <w:t>Continued on next page</w:t>
      </w:r>
    </w:p>
    <w:p w:rsidR="008D156E" w:rsidRPr="008D156E" w:rsidRDefault="008D156E" w:rsidP="008D156E"/>
    <w:p w:rsidR="00F14378" w:rsidRDefault="00F14378" w:rsidP="00F14378">
      <w:pPr>
        <w:pStyle w:val="MapTitleContinued"/>
        <w:rPr>
          <w:b w:val="0"/>
          <w:sz w:val="24"/>
        </w:rPr>
      </w:pPr>
      <w:r w:rsidRPr="0063469F">
        <w:br w:type="page"/>
      </w:r>
      <w:r w:rsidR="00F14610" w:rsidRPr="00F14610">
        <w:rPr>
          <w:sz w:val="28"/>
        </w:rPr>
        <w:lastRenderedPageBreak/>
        <w:t>Quality Management Program</w:t>
      </w:r>
      <w:r w:rsidRPr="0063469F">
        <w:fldChar w:fldCharType="begin"/>
      </w:r>
      <w:r w:rsidRPr="0063469F">
        <w:instrText xml:space="preserve"> STYLEREF "Map Title" </w:instrText>
      </w:r>
      <w:r w:rsidRPr="0063469F">
        <w:fldChar w:fldCharType="end"/>
      </w:r>
      <w:r w:rsidRPr="0063469F">
        <w:t xml:space="preserve">, </w:t>
      </w:r>
      <w:r w:rsidRPr="0063469F">
        <w:rPr>
          <w:b w:val="0"/>
          <w:sz w:val="24"/>
        </w:rPr>
        <w:t>Continued</w:t>
      </w:r>
    </w:p>
    <w:p w:rsidR="008D156E" w:rsidRPr="003C4390" w:rsidRDefault="008D156E" w:rsidP="008D156E">
      <w:pPr>
        <w:pStyle w:val="BlockLine"/>
      </w:pPr>
    </w:p>
    <w:tbl>
      <w:tblPr>
        <w:tblStyle w:val="TableGrid"/>
        <w:tblW w:w="9468" w:type="dxa"/>
        <w:tblLayout w:type="fixed"/>
        <w:tblLook w:val="04A0" w:firstRow="1" w:lastRow="0" w:firstColumn="1" w:lastColumn="0" w:noHBand="0" w:noVBand="1"/>
      </w:tblPr>
      <w:tblGrid>
        <w:gridCol w:w="1728"/>
        <w:gridCol w:w="7740"/>
      </w:tblGrid>
      <w:tr w:rsidR="008D156E" w:rsidRPr="00491608" w:rsidTr="008D156E">
        <w:tc>
          <w:tcPr>
            <w:tcW w:w="1728" w:type="dxa"/>
          </w:tcPr>
          <w:p w:rsidR="008D156E" w:rsidRPr="00491608" w:rsidRDefault="008D156E" w:rsidP="005C2C08">
            <w:pPr>
              <w:pStyle w:val="Heading5"/>
            </w:pPr>
            <w:r>
              <w:t>Elements of the QMP</w:t>
            </w:r>
          </w:p>
        </w:tc>
        <w:tc>
          <w:tcPr>
            <w:tcW w:w="7740" w:type="dxa"/>
          </w:tcPr>
          <w:p w:rsidR="008D156E" w:rsidRPr="00491608" w:rsidRDefault="008D156E" w:rsidP="005C2C08">
            <w:pPr>
              <w:pStyle w:val="BulletText1"/>
              <w:numPr>
                <w:ilvl w:val="0"/>
                <w:numId w:val="0"/>
              </w:numPr>
            </w:pPr>
            <w:r>
              <w:t>The QMP is organized into 12 quality management essentials. These are listed below along with an example of a policy or standard within each.</w:t>
            </w:r>
          </w:p>
        </w:tc>
      </w:tr>
    </w:tbl>
    <w:p w:rsidR="00D74080" w:rsidRDefault="00D74080"/>
    <w:tbl>
      <w:tblPr>
        <w:tblStyle w:val="TableGrid"/>
        <w:tblW w:w="9715" w:type="dxa"/>
        <w:tblLayout w:type="fixed"/>
        <w:tblLook w:val="04A0" w:firstRow="1" w:lastRow="0" w:firstColumn="1" w:lastColumn="0" w:noHBand="0" w:noVBand="1"/>
      </w:tblPr>
      <w:tblGrid>
        <w:gridCol w:w="2515"/>
        <w:gridCol w:w="7200"/>
      </w:tblGrid>
      <w:tr w:rsidR="008D156E" w:rsidTr="009E1614">
        <w:tc>
          <w:tcPr>
            <w:tcW w:w="2515" w:type="dxa"/>
            <w:shd w:val="clear" w:color="auto" w:fill="D9D9D9" w:themeFill="background1" w:themeFillShade="D9"/>
            <w:vAlign w:val="center"/>
          </w:tcPr>
          <w:p w:rsidR="008D156E" w:rsidRPr="009E1614" w:rsidRDefault="00D74080" w:rsidP="00077515">
            <w:pPr>
              <w:jc w:val="center"/>
            </w:pPr>
            <w:r w:rsidRPr="009E1614">
              <w:t>Quality Management Essential</w:t>
            </w:r>
          </w:p>
        </w:tc>
        <w:tc>
          <w:tcPr>
            <w:tcW w:w="7200" w:type="dxa"/>
            <w:shd w:val="clear" w:color="auto" w:fill="D9D9D9" w:themeFill="background1" w:themeFillShade="D9"/>
            <w:vAlign w:val="center"/>
          </w:tcPr>
          <w:p w:rsidR="008D156E" w:rsidRPr="009E1614" w:rsidRDefault="00D74080" w:rsidP="00077515">
            <w:pPr>
              <w:jc w:val="center"/>
            </w:pPr>
            <w:r w:rsidRPr="009E1614">
              <w:t>Example</w:t>
            </w:r>
          </w:p>
        </w:tc>
      </w:tr>
      <w:tr w:rsidR="008D156E" w:rsidTr="009E1614">
        <w:trPr>
          <w:trHeight w:val="629"/>
        </w:trPr>
        <w:tc>
          <w:tcPr>
            <w:tcW w:w="2515" w:type="dxa"/>
            <w:vAlign w:val="center"/>
          </w:tcPr>
          <w:p w:rsidR="008D156E" w:rsidRPr="009E1614" w:rsidRDefault="00D74080" w:rsidP="00077515">
            <w:pPr>
              <w:jc w:val="center"/>
            </w:pPr>
            <w:r w:rsidRPr="009E1614">
              <w:t>Documents and Records</w:t>
            </w:r>
          </w:p>
        </w:tc>
        <w:tc>
          <w:tcPr>
            <w:tcW w:w="7200" w:type="dxa"/>
            <w:vAlign w:val="center"/>
          </w:tcPr>
          <w:p w:rsidR="008D156E" w:rsidRPr="009E1614" w:rsidRDefault="00D74080" w:rsidP="00481BB7">
            <w:r w:rsidRPr="009E1614">
              <w:t>Laboratory records must be kept</w:t>
            </w:r>
            <w:r w:rsidR="00077515" w:rsidRPr="009E1614">
              <w:t xml:space="preserve"> for a defined period of time, </w:t>
            </w:r>
            <w:r w:rsidR="00AD2136" w:rsidRPr="009E1614">
              <w:t>the timing</w:t>
            </w:r>
            <w:r w:rsidRPr="009E1614">
              <w:t xml:space="preserve"> can be found in the Records Retention Policy</w:t>
            </w:r>
          </w:p>
        </w:tc>
      </w:tr>
      <w:tr w:rsidR="008D156E" w:rsidTr="009E1614">
        <w:trPr>
          <w:trHeight w:val="962"/>
        </w:trPr>
        <w:tc>
          <w:tcPr>
            <w:tcW w:w="2515" w:type="dxa"/>
            <w:vAlign w:val="center"/>
          </w:tcPr>
          <w:p w:rsidR="008D156E" w:rsidRPr="009E1614" w:rsidRDefault="00D74080" w:rsidP="00077515">
            <w:pPr>
              <w:jc w:val="center"/>
            </w:pPr>
            <w:r w:rsidRPr="009E1614">
              <w:t>Organization</w:t>
            </w:r>
          </w:p>
        </w:tc>
        <w:tc>
          <w:tcPr>
            <w:tcW w:w="7200" w:type="dxa"/>
            <w:vAlign w:val="center"/>
          </w:tcPr>
          <w:p w:rsidR="008D156E" w:rsidRPr="009E1614" w:rsidRDefault="00AD2136" w:rsidP="009E1614">
            <w:r w:rsidRPr="009E1614">
              <w:t>Def</w:t>
            </w:r>
            <w:r w:rsidR="00B6791E" w:rsidRPr="009E1614">
              <w:t>ines various supervisory positions in the lab, including the Lab Medical Director who is ultimately responsible for the quality of lab services, but can delegate many functions to qualified staff</w:t>
            </w:r>
          </w:p>
        </w:tc>
      </w:tr>
      <w:tr w:rsidR="008D156E" w:rsidTr="009E1614">
        <w:trPr>
          <w:trHeight w:val="899"/>
        </w:trPr>
        <w:tc>
          <w:tcPr>
            <w:tcW w:w="2515" w:type="dxa"/>
            <w:vAlign w:val="center"/>
          </w:tcPr>
          <w:p w:rsidR="008D156E" w:rsidRPr="009E1614" w:rsidRDefault="00D74080" w:rsidP="00077515">
            <w:pPr>
              <w:jc w:val="center"/>
            </w:pPr>
            <w:r w:rsidRPr="009E1614">
              <w:t>Personnel</w:t>
            </w:r>
          </w:p>
        </w:tc>
        <w:tc>
          <w:tcPr>
            <w:tcW w:w="7200" w:type="dxa"/>
            <w:vAlign w:val="center"/>
          </w:tcPr>
          <w:p w:rsidR="008D156E" w:rsidRPr="009E1614" w:rsidRDefault="00D74080" w:rsidP="009E1614">
            <w:r w:rsidRPr="009E1614">
              <w:t xml:space="preserve">There are federal (CLIA) and State (CDPH) rules defining when a </w:t>
            </w:r>
            <w:r w:rsidR="00077515" w:rsidRPr="009E1614">
              <w:t>license (</w:t>
            </w:r>
            <w:proofErr w:type="spellStart"/>
            <w:r w:rsidR="00077515" w:rsidRPr="009E1614">
              <w:t>ie</w:t>
            </w:r>
            <w:proofErr w:type="spellEnd"/>
            <w:r w:rsidR="00077515" w:rsidRPr="009E1614">
              <w:t xml:space="preserve"> CLS or MLT)</w:t>
            </w:r>
            <w:r w:rsidRPr="009E1614">
              <w:t xml:space="preserve"> is required to perform tasks in the laboratory</w:t>
            </w:r>
            <w:r w:rsidR="00077515" w:rsidRPr="009E1614">
              <w:t>, depending on test specialty and complexity.</w:t>
            </w:r>
          </w:p>
        </w:tc>
      </w:tr>
      <w:tr w:rsidR="008D156E" w:rsidTr="009E1614">
        <w:trPr>
          <w:trHeight w:val="20"/>
        </w:trPr>
        <w:tc>
          <w:tcPr>
            <w:tcW w:w="2515" w:type="dxa"/>
            <w:vAlign w:val="center"/>
          </w:tcPr>
          <w:p w:rsidR="008D156E" w:rsidRPr="009E1614" w:rsidRDefault="00D74080" w:rsidP="00077515">
            <w:pPr>
              <w:jc w:val="center"/>
            </w:pPr>
            <w:r w:rsidRPr="009E1614">
              <w:t>Equipment</w:t>
            </w:r>
          </w:p>
        </w:tc>
        <w:tc>
          <w:tcPr>
            <w:tcW w:w="7200" w:type="dxa"/>
            <w:vAlign w:val="center"/>
          </w:tcPr>
          <w:p w:rsidR="008D156E" w:rsidRPr="009E1614" w:rsidRDefault="00B6791E" w:rsidP="009E1614">
            <w:r w:rsidRPr="009E1614">
              <w:t>If equipment is malfunctioning, it must be tagged so that it is not accidentally used</w:t>
            </w:r>
          </w:p>
        </w:tc>
      </w:tr>
      <w:tr w:rsidR="008D156E" w:rsidTr="009E1614">
        <w:trPr>
          <w:trHeight w:val="1241"/>
        </w:trPr>
        <w:tc>
          <w:tcPr>
            <w:tcW w:w="2515" w:type="dxa"/>
            <w:vAlign w:val="center"/>
          </w:tcPr>
          <w:p w:rsidR="008D156E" w:rsidRPr="009E1614" w:rsidRDefault="00D74080" w:rsidP="00077515">
            <w:pPr>
              <w:jc w:val="center"/>
            </w:pPr>
            <w:r w:rsidRPr="009E1614">
              <w:t>Purchasing and Inventory</w:t>
            </w:r>
          </w:p>
        </w:tc>
        <w:tc>
          <w:tcPr>
            <w:tcW w:w="7200" w:type="dxa"/>
            <w:vAlign w:val="center"/>
          </w:tcPr>
          <w:p w:rsidR="008D156E" w:rsidRPr="009E1614" w:rsidRDefault="00481BB7" w:rsidP="009E1614">
            <w:pPr>
              <w:shd w:val="clear" w:color="auto" w:fill="FFFFFF"/>
              <w:tabs>
                <w:tab w:val="num" w:pos="720"/>
              </w:tabs>
              <w:rPr>
                <w:color w:val="333333"/>
              </w:rPr>
            </w:pPr>
            <w:r w:rsidRPr="006C5586">
              <w:rPr>
                <w:color w:val="auto"/>
              </w:rPr>
              <w:t>All Laboratory staff are</w:t>
            </w:r>
            <w:r w:rsidR="00B6791E" w:rsidRPr="006C5586">
              <w:rPr>
                <w:color w:val="auto"/>
              </w:rPr>
              <w:t xml:space="preserve"> responsible for</w:t>
            </w:r>
            <w:r w:rsidR="00CF1AD1" w:rsidRPr="006C5586">
              <w:rPr>
                <w:color w:val="auto"/>
              </w:rPr>
              <w:t xml:space="preserve"> proper inventory management, including v</w:t>
            </w:r>
            <w:r w:rsidR="00B6791E" w:rsidRPr="006C5586">
              <w:rPr>
                <w:color w:val="auto"/>
              </w:rPr>
              <w:t>isually checking contents of vials and containers to verify suitability before use</w:t>
            </w:r>
            <w:r w:rsidR="00CF1AD1" w:rsidRPr="006C5586">
              <w:rPr>
                <w:color w:val="auto"/>
              </w:rPr>
              <w:t>, and r</w:t>
            </w:r>
            <w:r w:rsidR="00B6791E" w:rsidRPr="006C5586">
              <w:rPr>
                <w:color w:val="auto"/>
              </w:rPr>
              <w:t>emoving expired, suspicious or questionable supplies from service and notifying Manager/Supervisor</w:t>
            </w:r>
            <w:r w:rsidR="00CF1AD1" w:rsidRPr="006C5586">
              <w:rPr>
                <w:color w:val="auto"/>
              </w:rPr>
              <w:t>.</w:t>
            </w:r>
          </w:p>
        </w:tc>
      </w:tr>
      <w:tr w:rsidR="008D156E" w:rsidTr="009E1614">
        <w:trPr>
          <w:trHeight w:val="1169"/>
        </w:trPr>
        <w:tc>
          <w:tcPr>
            <w:tcW w:w="2515" w:type="dxa"/>
            <w:vAlign w:val="center"/>
          </w:tcPr>
          <w:p w:rsidR="008D156E" w:rsidRPr="009E1614" w:rsidRDefault="00D74080" w:rsidP="00077515">
            <w:pPr>
              <w:jc w:val="center"/>
            </w:pPr>
            <w:r w:rsidRPr="009E1614">
              <w:t>Process Control</w:t>
            </w:r>
          </w:p>
        </w:tc>
        <w:tc>
          <w:tcPr>
            <w:tcW w:w="7200" w:type="dxa"/>
            <w:vAlign w:val="center"/>
          </w:tcPr>
          <w:p w:rsidR="008D156E" w:rsidRPr="009E1614" w:rsidRDefault="00D74080" w:rsidP="009E1614">
            <w:pPr>
              <w:pStyle w:val="BulletText1"/>
              <w:numPr>
                <w:ilvl w:val="0"/>
                <w:numId w:val="0"/>
              </w:numPr>
              <w:rPr>
                <w:szCs w:val="24"/>
              </w:rPr>
            </w:pPr>
            <w:r w:rsidRPr="009E1614">
              <w:rPr>
                <w:szCs w:val="24"/>
              </w:rPr>
              <w:t>Computer documentation of QC: all QC values (both in-control and out-of- control values), a</w:t>
            </w:r>
            <w:bookmarkStart w:id="0" w:name="_GoBack"/>
            <w:bookmarkEnd w:id="0"/>
            <w:r w:rsidRPr="009E1614">
              <w:rPr>
                <w:szCs w:val="24"/>
              </w:rPr>
              <w:t xml:space="preserve">re to be entered into the lab LIS with appropriate documentation. See </w:t>
            </w:r>
            <w:proofErr w:type="spellStart"/>
            <w:r w:rsidRPr="009E1614">
              <w:rPr>
                <w:szCs w:val="24"/>
              </w:rPr>
              <w:t>Sunquest</w:t>
            </w:r>
            <w:proofErr w:type="spellEnd"/>
            <w:r w:rsidRPr="009E1614">
              <w:rPr>
                <w:szCs w:val="24"/>
              </w:rPr>
              <w:t xml:space="preserve"> (Misys) QC procedure under Quality Control Entry and QC Modifier Code Summary.</w:t>
            </w:r>
          </w:p>
        </w:tc>
      </w:tr>
      <w:tr w:rsidR="008D156E" w:rsidTr="009E1614">
        <w:trPr>
          <w:trHeight w:val="791"/>
        </w:trPr>
        <w:tc>
          <w:tcPr>
            <w:tcW w:w="2515" w:type="dxa"/>
            <w:vAlign w:val="center"/>
          </w:tcPr>
          <w:p w:rsidR="008D156E" w:rsidRPr="009E1614" w:rsidRDefault="00D74080" w:rsidP="00077515">
            <w:pPr>
              <w:jc w:val="center"/>
            </w:pPr>
            <w:r w:rsidRPr="009E1614">
              <w:t>Information Management</w:t>
            </w:r>
          </w:p>
        </w:tc>
        <w:tc>
          <w:tcPr>
            <w:tcW w:w="7200" w:type="dxa"/>
            <w:vAlign w:val="center"/>
          </w:tcPr>
          <w:p w:rsidR="008D156E" w:rsidRPr="009E1614" w:rsidRDefault="00CF1AD1" w:rsidP="009E1614">
            <w:r w:rsidRPr="009E1614">
              <w:t>The laboratory maintains a process for assigning staff access to the lab information system (LIS) based on the tasks the employee is legally allowed to perform.</w:t>
            </w:r>
          </w:p>
        </w:tc>
      </w:tr>
      <w:tr w:rsidR="008D156E" w:rsidTr="009E1614">
        <w:trPr>
          <w:trHeight w:val="791"/>
        </w:trPr>
        <w:tc>
          <w:tcPr>
            <w:tcW w:w="2515" w:type="dxa"/>
            <w:vAlign w:val="center"/>
          </w:tcPr>
          <w:p w:rsidR="008D156E" w:rsidRPr="009E1614" w:rsidRDefault="00D74080" w:rsidP="00077515">
            <w:pPr>
              <w:jc w:val="center"/>
            </w:pPr>
            <w:r w:rsidRPr="009E1614">
              <w:t>Occurrence Management</w:t>
            </w:r>
          </w:p>
        </w:tc>
        <w:tc>
          <w:tcPr>
            <w:tcW w:w="7200" w:type="dxa"/>
            <w:vAlign w:val="center"/>
          </w:tcPr>
          <w:p w:rsidR="008D156E" w:rsidRPr="009E1614" w:rsidRDefault="00CF1AD1" w:rsidP="009E1614">
            <w:r w:rsidRPr="009E1614">
              <w:t xml:space="preserve">The lab has a policy to document non-conforming events and a program for continual improvement which includes review of these events to prevent </w:t>
            </w:r>
            <w:r w:rsidR="009E1614" w:rsidRPr="009E1614">
              <w:t>recurrence</w:t>
            </w:r>
          </w:p>
        </w:tc>
      </w:tr>
      <w:tr w:rsidR="008D156E" w:rsidTr="009E1614">
        <w:trPr>
          <w:trHeight w:val="611"/>
        </w:trPr>
        <w:tc>
          <w:tcPr>
            <w:tcW w:w="2515" w:type="dxa"/>
            <w:vAlign w:val="center"/>
          </w:tcPr>
          <w:p w:rsidR="008D156E" w:rsidRPr="009E1614" w:rsidRDefault="00481BB7" w:rsidP="00077515">
            <w:pPr>
              <w:jc w:val="center"/>
            </w:pPr>
            <w:r w:rsidRPr="009E1614">
              <w:t>Assessments</w:t>
            </w:r>
            <w:r w:rsidR="00D74080" w:rsidRPr="009E1614">
              <w:t xml:space="preserve"> – Internal/External</w:t>
            </w:r>
          </w:p>
        </w:tc>
        <w:tc>
          <w:tcPr>
            <w:tcW w:w="7200" w:type="dxa"/>
            <w:vAlign w:val="center"/>
          </w:tcPr>
          <w:p w:rsidR="008D156E" w:rsidRPr="009E1614" w:rsidRDefault="00481891" w:rsidP="009E1614">
            <w:r w:rsidRPr="009E1614">
              <w:t>External assessments</w:t>
            </w:r>
            <w:r w:rsidR="00F74ADC" w:rsidRPr="009E1614">
              <w:t xml:space="preserve"> can be by accrediting agencies such as CAP or TJC, or by CMS, California state, FDA, OSHA or others</w:t>
            </w:r>
          </w:p>
        </w:tc>
      </w:tr>
      <w:tr w:rsidR="008D156E" w:rsidTr="009E1614">
        <w:trPr>
          <w:trHeight w:val="566"/>
        </w:trPr>
        <w:tc>
          <w:tcPr>
            <w:tcW w:w="2515" w:type="dxa"/>
            <w:vAlign w:val="center"/>
          </w:tcPr>
          <w:p w:rsidR="008D156E" w:rsidRPr="009E1614" w:rsidRDefault="00D74080" w:rsidP="00077515">
            <w:pPr>
              <w:jc w:val="center"/>
            </w:pPr>
            <w:r w:rsidRPr="009E1614">
              <w:t>Process Improvement</w:t>
            </w:r>
          </w:p>
        </w:tc>
        <w:tc>
          <w:tcPr>
            <w:tcW w:w="7200" w:type="dxa"/>
            <w:vAlign w:val="center"/>
          </w:tcPr>
          <w:p w:rsidR="008D156E" w:rsidRPr="009E1614" w:rsidRDefault="00F74ADC" w:rsidP="009E1614">
            <w:r w:rsidRPr="009E1614">
              <w:t>Standardized forms and templates are used when possible to improve communication and provide better quality content</w:t>
            </w:r>
          </w:p>
        </w:tc>
      </w:tr>
      <w:tr w:rsidR="008D156E" w:rsidTr="009E1614">
        <w:trPr>
          <w:trHeight w:val="584"/>
        </w:trPr>
        <w:tc>
          <w:tcPr>
            <w:tcW w:w="2515" w:type="dxa"/>
            <w:vAlign w:val="center"/>
          </w:tcPr>
          <w:p w:rsidR="008D156E" w:rsidRPr="009E1614" w:rsidRDefault="00D74080" w:rsidP="00077515">
            <w:pPr>
              <w:jc w:val="center"/>
            </w:pPr>
            <w:r w:rsidRPr="009E1614">
              <w:t>Customer Service</w:t>
            </w:r>
          </w:p>
        </w:tc>
        <w:tc>
          <w:tcPr>
            <w:tcW w:w="7200" w:type="dxa"/>
            <w:vAlign w:val="center"/>
          </w:tcPr>
          <w:p w:rsidR="008D156E" w:rsidRPr="009E1614" w:rsidRDefault="00F74ADC" w:rsidP="009E1614">
            <w:r w:rsidRPr="009E1614">
              <w:t>Clinicians and patients are surveyed on a regular basis to assess satisfaction and look for areas needing improvement</w:t>
            </w:r>
          </w:p>
        </w:tc>
      </w:tr>
      <w:tr w:rsidR="008D156E" w:rsidTr="009E1614">
        <w:trPr>
          <w:trHeight w:val="647"/>
        </w:trPr>
        <w:tc>
          <w:tcPr>
            <w:tcW w:w="2515" w:type="dxa"/>
            <w:vAlign w:val="center"/>
          </w:tcPr>
          <w:p w:rsidR="008D156E" w:rsidRPr="009E1614" w:rsidRDefault="00D74080" w:rsidP="00077515">
            <w:pPr>
              <w:jc w:val="center"/>
            </w:pPr>
            <w:r w:rsidRPr="009E1614">
              <w:t>Facilities and Safety</w:t>
            </w:r>
          </w:p>
        </w:tc>
        <w:tc>
          <w:tcPr>
            <w:tcW w:w="7200" w:type="dxa"/>
            <w:vAlign w:val="center"/>
          </w:tcPr>
          <w:p w:rsidR="008D156E" w:rsidRPr="009E1614" w:rsidRDefault="009E1614" w:rsidP="009E1614">
            <w:r w:rsidRPr="009E1614">
              <w:t>The laboratory has specific policies for safety when applicable, but also follows affiliate and system safety policies</w:t>
            </w:r>
          </w:p>
        </w:tc>
      </w:tr>
    </w:tbl>
    <w:p w:rsidR="008D156E" w:rsidRPr="008D156E" w:rsidRDefault="008D156E" w:rsidP="008D156E"/>
    <w:p w:rsidR="009E1614" w:rsidRDefault="009E1614" w:rsidP="009E1614">
      <w:pPr>
        <w:pStyle w:val="ContinuedOnNextPa"/>
      </w:pPr>
      <w:r>
        <w:t>Continued on next page</w:t>
      </w:r>
    </w:p>
    <w:p w:rsidR="003C4390" w:rsidRPr="003C4390" w:rsidRDefault="003C4390" w:rsidP="003C4390">
      <w:pPr>
        <w:pStyle w:val="BlockLine"/>
      </w:pPr>
    </w:p>
    <w:tbl>
      <w:tblPr>
        <w:tblW w:w="0" w:type="auto"/>
        <w:tblLayout w:type="fixed"/>
        <w:tblLook w:val="0000" w:firstRow="0" w:lastRow="0" w:firstColumn="0" w:lastColumn="0" w:noHBand="0" w:noVBand="0"/>
      </w:tblPr>
      <w:tblGrid>
        <w:gridCol w:w="1728"/>
        <w:gridCol w:w="7740"/>
      </w:tblGrid>
      <w:tr w:rsidR="003C4390" w:rsidRPr="003C4390">
        <w:tc>
          <w:tcPr>
            <w:tcW w:w="1728" w:type="dxa"/>
            <w:shd w:val="clear" w:color="auto" w:fill="auto"/>
          </w:tcPr>
          <w:p w:rsidR="003C4390" w:rsidRPr="003C4390" w:rsidRDefault="003C4390" w:rsidP="003C4390">
            <w:pPr>
              <w:pStyle w:val="Heading5"/>
            </w:pPr>
            <w:r>
              <w:t>Training requirements</w:t>
            </w:r>
          </w:p>
        </w:tc>
        <w:tc>
          <w:tcPr>
            <w:tcW w:w="7740" w:type="dxa"/>
            <w:shd w:val="clear" w:color="auto" w:fill="auto"/>
          </w:tcPr>
          <w:p w:rsidR="003C4390" w:rsidRDefault="003C4390" w:rsidP="003C4390">
            <w:pPr>
              <w:pStyle w:val="BulletText1"/>
            </w:pPr>
            <w:r>
              <w:t xml:space="preserve">Each staff member should access the </w:t>
            </w:r>
            <w:r w:rsidR="00D74080">
              <w:t>quality</w:t>
            </w:r>
            <w:r>
              <w:t xml:space="preserve"> documents </w:t>
            </w:r>
            <w:r w:rsidR="00481BB7">
              <w:t>for their location</w:t>
            </w:r>
            <w:r>
              <w:t xml:space="preserve"> and review the</w:t>
            </w:r>
            <w:r w:rsidR="00481BB7">
              <w:t xml:space="preserve"> quality policies applicable to their position</w:t>
            </w:r>
            <w:r>
              <w:t>.</w:t>
            </w:r>
          </w:p>
          <w:p w:rsidR="003C4390" w:rsidRDefault="003C4390" w:rsidP="003C4390">
            <w:pPr>
              <w:pStyle w:val="BulletText1"/>
            </w:pPr>
            <w:r>
              <w:t xml:space="preserve">Each staff member must </w:t>
            </w:r>
            <w:r w:rsidR="000D7C83">
              <w:t xml:space="preserve">successfully </w:t>
            </w:r>
            <w:r>
              <w:t>complete</w:t>
            </w:r>
            <w:r w:rsidR="000D7C83">
              <w:t xml:space="preserve"> (</w:t>
            </w:r>
            <w:r w:rsidR="000D7C83" w:rsidRPr="000D7C83">
              <w:rPr>
                <w:u w:val="single"/>
              </w:rPr>
              <w:t>&gt;</w:t>
            </w:r>
            <w:r w:rsidR="000D7C83">
              <w:t>80%)</w:t>
            </w:r>
            <w:r>
              <w:t xml:space="preserve"> the </w:t>
            </w:r>
            <w:r w:rsidR="0094705A">
              <w:t>“</w:t>
            </w:r>
            <w:r w:rsidR="000D7C83">
              <w:t>QMP quiz</w:t>
            </w:r>
            <w:r w:rsidR="0094705A">
              <w:t>”</w:t>
            </w:r>
            <w:r w:rsidR="000D7C83">
              <w:t xml:space="preserve"> which is a part of this module</w:t>
            </w:r>
            <w:r>
              <w:t>.</w:t>
            </w:r>
          </w:p>
          <w:p w:rsidR="00A10556" w:rsidRPr="003C4390" w:rsidRDefault="003C4390" w:rsidP="00D74080">
            <w:pPr>
              <w:pStyle w:val="BulletText1"/>
            </w:pPr>
            <w:r>
              <w:t xml:space="preserve">Any questions about </w:t>
            </w:r>
            <w:r w:rsidR="00D74080">
              <w:t>quality practices or policies</w:t>
            </w:r>
            <w:r>
              <w:t xml:space="preserve"> should be referred to the supervisor or manager</w:t>
            </w:r>
            <w:r w:rsidR="00A10556">
              <w:t>.</w:t>
            </w:r>
          </w:p>
        </w:tc>
      </w:tr>
    </w:tbl>
    <w:p w:rsidR="00491608" w:rsidRPr="00F14378" w:rsidRDefault="00F14378" w:rsidP="00F14378">
      <w:pPr>
        <w:pStyle w:val="BlockLine"/>
        <w:jc w:val="right"/>
        <w:rPr>
          <w:i/>
          <w:sz w:val="20"/>
        </w:rPr>
      </w:pPr>
      <w:r>
        <w:rPr>
          <w:i/>
          <w:sz w:val="20"/>
        </w:rPr>
        <w:t>End</w:t>
      </w:r>
    </w:p>
    <w:sectPr w:rsidR="00491608" w:rsidRPr="00F14378" w:rsidSect="00F14378">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BB7" w:rsidRDefault="00481BB7">
      <w:r>
        <w:separator/>
      </w:r>
    </w:p>
  </w:endnote>
  <w:endnote w:type="continuationSeparator" w:id="0">
    <w:p w:rsidR="00481BB7" w:rsidRDefault="0048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BB7" w:rsidRPr="00F14378" w:rsidRDefault="00481BB7">
    <w:pPr>
      <w:pStyle w:val="Footer"/>
      <w:rPr>
        <w:sz w:val="20"/>
        <w:szCs w:val="20"/>
      </w:rPr>
    </w:pPr>
    <w:r w:rsidRPr="00F14378">
      <w:rPr>
        <w:sz w:val="20"/>
        <w:szCs w:val="20"/>
      </w:rPr>
      <w:t>QMP train doc</w:t>
    </w:r>
    <w:r w:rsidRPr="00F14378">
      <w:rPr>
        <w:sz w:val="20"/>
        <w:szCs w:val="20"/>
      </w:rPr>
      <w:tab/>
    </w:r>
    <w:r w:rsidRPr="00F14378">
      <w:rPr>
        <w:sz w:val="20"/>
        <w:szCs w:val="20"/>
      </w:rPr>
      <w:tab/>
      <w:t xml:space="preserve">Page </w:t>
    </w:r>
    <w:r w:rsidRPr="00F14378">
      <w:rPr>
        <w:sz w:val="20"/>
        <w:szCs w:val="20"/>
      </w:rPr>
      <w:fldChar w:fldCharType="begin"/>
    </w:r>
    <w:r w:rsidRPr="00F14378">
      <w:rPr>
        <w:sz w:val="20"/>
        <w:szCs w:val="20"/>
      </w:rPr>
      <w:instrText xml:space="preserve"> PAGE </w:instrText>
    </w:r>
    <w:r w:rsidRPr="00F14378">
      <w:rPr>
        <w:sz w:val="20"/>
        <w:szCs w:val="20"/>
      </w:rPr>
      <w:fldChar w:fldCharType="separate"/>
    </w:r>
    <w:r w:rsidR="006C5586">
      <w:rPr>
        <w:noProof/>
        <w:sz w:val="20"/>
        <w:szCs w:val="20"/>
      </w:rPr>
      <w:t>1</w:t>
    </w:r>
    <w:r w:rsidRPr="00F14378">
      <w:rPr>
        <w:sz w:val="20"/>
        <w:szCs w:val="20"/>
      </w:rPr>
      <w:fldChar w:fldCharType="end"/>
    </w:r>
    <w:r w:rsidRPr="00F14378">
      <w:rPr>
        <w:sz w:val="20"/>
        <w:szCs w:val="20"/>
      </w:rPr>
      <w:t xml:space="preserve"> of </w:t>
    </w:r>
    <w:r w:rsidRPr="00F14378">
      <w:rPr>
        <w:sz w:val="20"/>
        <w:szCs w:val="20"/>
      </w:rPr>
      <w:fldChar w:fldCharType="begin"/>
    </w:r>
    <w:r w:rsidRPr="00F14378">
      <w:rPr>
        <w:sz w:val="20"/>
        <w:szCs w:val="20"/>
      </w:rPr>
      <w:instrText xml:space="preserve"> NUMPAGES </w:instrText>
    </w:r>
    <w:r w:rsidRPr="00F14378">
      <w:rPr>
        <w:sz w:val="20"/>
        <w:szCs w:val="20"/>
      </w:rPr>
      <w:fldChar w:fldCharType="separate"/>
    </w:r>
    <w:r w:rsidR="006C5586">
      <w:rPr>
        <w:noProof/>
        <w:sz w:val="20"/>
        <w:szCs w:val="20"/>
      </w:rPr>
      <w:t>5</w:t>
    </w:r>
    <w:r w:rsidRPr="00F1437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BB7" w:rsidRDefault="00481BB7">
      <w:r>
        <w:separator/>
      </w:r>
    </w:p>
  </w:footnote>
  <w:footnote w:type="continuationSeparator" w:id="0">
    <w:p w:rsidR="00481BB7" w:rsidRDefault="00481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BB7" w:rsidRPr="00F14378" w:rsidRDefault="00481BB7">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fspro_2columns"/>
      </v:shape>
    </w:pict>
  </w:numPicBullet>
  <w:numPicBullet w:numPicBulletId="1">
    <w:pict>
      <v:shape id="_x0000_i1027" type="#_x0000_t75" style="width:12pt;height:12pt" o:bullet="t">
        <v:imagedata r:id="rId2" o:title="advanced"/>
      </v:shape>
    </w:pict>
  </w:numPicBullet>
  <w:numPicBullet w:numPicBulletId="2">
    <w:pict>
      <v:shape id="_x0000_i1028" type="#_x0000_t75" style="width:12pt;height:12pt" o:bullet="t">
        <v:imagedata r:id="rId3" o:title="continue"/>
      </v:shape>
    </w:pict>
  </w:numPicBullet>
  <w:numPicBullet w:numPicBulletId="3">
    <w:pict>
      <v:shape id="_x0000_i1029" type="#_x0000_t75" style="width:12pt;height:12pt" o:bullet="t">
        <v:imagedata r:id="rId4" o:title="webpage"/>
      </v:shape>
    </w:pict>
  </w:numPicBullet>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C2D10"/>
    <w:multiLevelType w:val="hybridMultilevel"/>
    <w:tmpl w:val="2904E6FE"/>
    <w:lvl w:ilvl="0" w:tplc="04090001">
      <w:start w:val="1"/>
      <w:numFmt w:val="bullet"/>
      <w:lvlText w:val=""/>
      <w:lvlJc w:val="left"/>
      <w:pPr>
        <w:tabs>
          <w:tab w:val="num" w:pos="360"/>
        </w:tabs>
        <w:ind w:left="360" w:hanging="360"/>
      </w:pPr>
      <w:rPr>
        <w:rFonts w:ascii="Symbol" w:hAnsi="Symbol" w:hint="default"/>
      </w:rPr>
    </w:lvl>
    <w:lvl w:ilvl="1" w:tplc="A6269A5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6B7A2E"/>
    <w:multiLevelType w:val="hybridMultilevel"/>
    <w:tmpl w:val="22D22A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6507A4"/>
    <w:multiLevelType w:val="hybridMultilevel"/>
    <w:tmpl w:val="7B445D82"/>
    <w:lvl w:ilvl="0" w:tplc="A6269A5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8267DBA"/>
    <w:multiLevelType w:val="hybridMultilevel"/>
    <w:tmpl w:val="EF5C3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8108BE"/>
    <w:multiLevelType w:val="hybridMultilevel"/>
    <w:tmpl w:val="A7A87DD0"/>
    <w:lvl w:ilvl="0" w:tplc="F8BA871C">
      <w:start w:val="1"/>
      <w:numFmt w:val="bullet"/>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801508B"/>
    <w:multiLevelType w:val="hybridMultilevel"/>
    <w:tmpl w:val="5FE670F6"/>
    <w:lvl w:ilvl="0" w:tplc="835CF4F8">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593CAE"/>
    <w:multiLevelType w:val="hybridMultilevel"/>
    <w:tmpl w:val="3CE20F4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516228B"/>
    <w:multiLevelType w:val="hybridMultilevel"/>
    <w:tmpl w:val="D6F2A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E76714"/>
    <w:multiLevelType w:val="hybridMultilevel"/>
    <w:tmpl w:val="6EB0F520"/>
    <w:lvl w:ilvl="0" w:tplc="835CF4F8">
      <w:start w:val="1"/>
      <w:numFmt w:val="bullet"/>
      <w:lvlText w:val=""/>
      <w:lvlPicBulletId w:val="3"/>
      <w:lvlJc w:val="left"/>
      <w:pPr>
        <w:tabs>
          <w:tab w:val="num" w:pos="720"/>
        </w:tabs>
        <w:ind w:left="720" w:hanging="360"/>
      </w:pPr>
      <w:rPr>
        <w:rFonts w:ascii="Symbol" w:hAnsi="Symbol" w:hint="default"/>
      </w:rPr>
    </w:lvl>
    <w:lvl w:ilvl="1" w:tplc="4F0AAB9C" w:tentative="1">
      <w:start w:val="1"/>
      <w:numFmt w:val="bullet"/>
      <w:lvlText w:val=""/>
      <w:lvlJc w:val="left"/>
      <w:pPr>
        <w:tabs>
          <w:tab w:val="num" w:pos="1440"/>
        </w:tabs>
        <w:ind w:left="1440" w:hanging="360"/>
      </w:pPr>
      <w:rPr>
        <w:rFonts w:ascii="Symbol" w:hAnsi="Symbol" w:hint="default"/>
      </w:rPr>
    </w:lvl>
    <w:lvl w:ilvl="2" w:tplc="11BE2AAE" w:tentative="1">
      <w:start w:val="1"/>
      <w:numFmt w:val="bullet"/>
      <w:lvlText w:val=""/>
      <w:lvlJc w:val="left"/>
      <w:pPr>
        <w:tabs>
          <w:tab w:val="num" w:pos="2160"/>
        </w:tabs>
        <w:ind w:left="2160" w:hanging="360"/>
      </w:pPr>
      <w:rPr>
        <w:rFonts w:ascii="Symbol" w:hAnsi="Symbol" w:hint="default"/>
      </w:rPr>
    </w:lvl>
    <w:lvl w:ilvl="3" w:tplc="DC26535C" w:tentative="1">
      <w:start w:val="1"/>
      <w:numFmt w:val="bullet"/>
      <w:lvlText w:val=""/>
      <w:lvlJc w:val="left"/>
      <w:pPr>
        <w:tabs>
          <w:tab w:val="num" w:pos="2880"/>
        </w:tabs>
        <w:ind w:left="2880" w:hanging="360"/>
      </w:pPr>
      <w:rPr>
        <w:rFonts w:ascii="Symbol" w:hAnsi="Symbol" w:hint="default"/>
      </w:rPr>
    </w:lvl>
    <w:lvl w:ilvl="4" w:tplc="8632B49A" w:tentative="1">
      <w:start w:val="1"/>
      <w:numFmt w:val="bullet"/>
      <w:lvlText w:val=""/>
      <w:lvlJc w:val="left"/>
      <w:pPr>
        <w:tabs>
          <w:tab w:val="num" w:pos="3600"/>
        </w:tabs>
        <w:ind w:left="3600" w:hanging="360"/>
      </w:pPr>
      <w:rPr>
        <w:rFonts w:ascii="Symbol" w:hAnsi="Symbol" w:hint="default"/>
      </w:rPr>
    </w:lvl>
    <w:lvl w:ilvl="5" w:tplc="0BCABCCA" w:tentative="1">
      <w:start w:val="1"/>
      <w:numFmt w:val="bullet"/>
      <w:lvlText w:val=""/>
      <w:lvlJc w:val="left"/>
      <w:pPr>
        <w:tabs>
          <w:tab w:val="num" w:pos="4320"/>
        </w:tabs>
        <w:ind w:left="4320" w:hanging="360"/>
      </w:pPr>
      <w:rPr>
        <w:rFonts w:ascii="Symbol" w:hAnsi="Symbol" w:hint="default"/>
      </w:rPr>
    </w:lvl>
    <w:lvl w:ilvl="6" w:tplc="46546994" w:tentative="1">
      <w:start w:val="1"/>
      <w:numFmt w:val="bullet"/>
      <w:lvlText w:val=""/>
      <w:lvlJc w:val="left"/>
      <w:pPr>
        <w:tabs>
          <w:tab w:val="num" w:pos="5040"/>
        </w:tabs>
        <w:ind w:left="5040" w:hanging="360"/>
      </w:pPr>
      <w:rPr>
        <w:rFonts w:ascii="Symbol" w:hAnsi="Symbol" w:hint="default"/>
      </w:rPr>
    </w:lvl>
    <w:lvl w:ilvl="7" w:tplc="C5F6104E" w:tentative="1">
      <w:start w:val="1"/>
      <w:numFmt w:val="bullet"/>
      <w:lvlText w:val=""/>
      <w:lvlJc w:val="left"/>
      <w:pPr>
        <w:tabs>
          <w:tab w:val="num" w:pos="5760"/>
        </w:tabs>
        <w:ind w:left="5760" w:hanging="360"/>
      </w:pPr>
      <w:rPr>
        <w:rFonts w:ascii="Symbol" w:hAnsi="Symbol" w:hint="default"/>
      </w:rPr>
    </w:lvl>
    <w:lvl w:ilvl="8" w:tplc="C23878E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B007DC9"/>
    <w:multiLevelType w:val="hybridMultilevel"/>
    <w:tmpl w:val="B8E60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4B348F"/>
    <w:multiLevelType w:val="hybridMultilevel"/>
    <w:tmpl w:val="FBAC7DA4"/>
    <w:lvl w:ilvl="0" w:tplc="740C876A">
      <w:start w:val="1"/>
      <w:numFmt w:val="bullet"/>
      <w:lvlText w:val=""/>
      <w:lvlPicBulletId w:val="1"/>
      <w:lvlJc w:val="left"/>
      <w:pPr>
        <w:tabs>
          <w:tab w:val="num" w:pos="720"/>
        </w:tabs>
        <w:ind w:left="720" w:hanging="360"/>
      </w:pPr>
      <w:rPr>
        <w:rFonts w:ascii="Symbol" w:hAnsi="Symbol" w:hint="default"/>
      </w:rPr>
    </w:lvl>
    <w:lvl w:ilvl="1" w:tplc="5F5E1F2A" w:tentative="1">
      <w:start w:val="1"/>
      <w:numFmt w:val="bullet"/>
      <w:lvlText w:val=""/>
      <w:lvlJc w:val="left"/>
      <w:pPr>
        <w:tabs>
          <w:tab w:val="num" w:pos="1440"/>
        </w:tabs>
        <w:ind w:left="1440" w:hanging="360"/>
      </w:pPr>
      <w:rPr>
        <w:rFonts w:ascii="Symbol" w:hAnsi="Symbol" w:hint="default"/>
      </w:rPr>
    </w:lvl>
    <w:lvl w:ilvl="2" w:tplc="D1EE2BA6" w:tentative="1">
      <w:start w:val="1"/>
      <w:numFmt w:val="bullet"/>
      <w:lvlText w:val=""/>
      <w:lvlJc w:val="left"/>
      <w:pPr>
        <w:tabs>
          <w:tab w:val="num" w:pos="2160"/>
        </w:tabs>
        <w:ind w:left="2160" w:hanging="360"/>
      </w:pPr>
      <w:rPr>
        <w:rFonts w:ascii="Symbol" w:hAnsi="Symbol" w:hint="default"/>
      </w:rPr>
    </w:lvl>
    <w:lvl w:ilvl="3" w:tplc="EA86A390" w:tentative="1">
      <w:start w:val="1"/>
      <w:numFmt w:val="bullet"/>
      <w:lvlText w:val=""/>
      <w:lvlJc w:val="left"/>
      <w:pPr>
        <w:tabs>
          <w:tab w:val="num" w:pos="2880"/>
        </w:tabs>
        <w:ind w:left="2880" w:hanging="360"/>
      </w:pPr>
      <w:rPr>
        <w:rFonts w:ascii="Symbol" w:hAnsi="Symbol" w:hint="default"/>
      </w:rPr>
    </w:lvl>
    <w:lvl w:ilvl="4" w:tplc="7D92D3B6" w:tentative="1">
      <w:start w:val="1"/>
      <w:numFmt w:val="bullet"/>
      <w:lvlText w:val=""/>
      <w:lvlJc w:val="left"/>
      <w:pPr>
        <w:tabs>
          <w:tab w:val="num" w:pos="3600"/>
        </w:tabs>
        <w:ind w:left="3600" w:hanging="360"/>
      </w:pPr>
      <w:rPr>
        <w:rFonts w:ascii="Symbol" w:hAnsi="Symbol" w:hint="default"/>
      </w:rPr>
    </w:lvl>
    <w:lvl w:ilvl="5" w:tplc="A6CEA0C0" w:tentative="1">
      <w:start w:val="1"/>
      <w:numFmt w:val="bullet"/>
      <w:lvlText w:val=""/>
      <w:lvlJc w:val="left"/>
      <w:pPr>
        <w:tabs>
          <w:tab w:val="num" w:pos="4320"/>
        </w:tabs>
        <w:ind w:left="4320" w:hanging="360"/>
      </w:pPr>
      <w:rPr>
        <w:rFonts w:ascii="Symbol" w:hAnsi="Symbol" w:hint="default"/>
      </w:rPr>
    </w:lvl>
    <w:lvl w:ilvl="6" w:tplc="9178198A" w:tentative="1">
      <w:start w:val="1"/>
      <w:numFmt w:val="bullet"/>
      <w:lvlText w:val=""/>
      <w:lvlJc w:val="left"/>
      <w:pPr>
        <w:tabs>
          <w:tab w:val="num" w:pos="5040"/>
        </w:tabs>
        <w:ind w:left="5040" w:hanging="360"/>
      </w:pPr>
      <w:rPr>
        <w:rFonts w:ascii="Symbol" w:hAnsi="Symbol" w:hint="default"/>
      </w:rPr>
    </w:lvl>
    <w:lvl w:ilvl="7" w:tplc="1A323D40" w:tentative="1">
      <w:start w:val="1"/>
      <w:numFmt w:val="bullet"/>
      <w:lvlText w:val=""/>
      <w:lvlJc w:val="left"/>
      <w:pPr>
        <w:tabs>
          <w:tab w:val="num" w:pos="5760"/>
        </w:tabs>
        <w:ind w:left="5760" w:hanging="360"/>
      </w:pPr>
      <w:rPr>
        <w:rFonts w:ascii="Symbol" w:hAnsi="Symbol" w:hint="default"/>
      </w:rPr>
    </w:lvl>
    <w:lvl w:ilvl="8" w:tplc="3936312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2840C5"/>
    <w:multiLevelType w:val="hybridMultilevel"/>
    <w:tmpl w:val="F290421C"/>
    <w:lvl w:ilvl="0" w:tplc="C17672B2">
      <w:start w:val="1"/>
      <w:numFmt w:val="bullet"/>
      <w:lvlText w:val=""/>
      <w:lvlPicBulletId w:val="0"/>
      <w:lvlJc w:val="left"/>
      <w:pPr>
        <w:tabs>
          <w:tab w:val="num" w:pos="720"/>
        </w:tabs>
        <w:ind w:left="720" w:hanging="360"/>
      </w:pPr>
      <w:rPr>
        <w:rFonts w:ascii="Symbol" w:hAnsi="Symbol" w:hint="default"/>
      </w:rPr>
    </w:lvl>
    <w:lvl w:ilvl="1" w:tplc="9D50B242" w:tentative="1">
      <w:start w:val="1"/>
      <w:numFmt w:val="bullet"/>
      <w:lvlText w:val=""/>
      <w:lvlJc w:val="left"/>
      <w:pPr>
        <w:tabs>
          <w:tab w:val="num" w:pos="1440"/>
        </w:tabs>
        <w:ind w:left="1440" w:hanging="360"/>
      </w:pPr>
      <w:rPr>
        <w:rFonts w:ascii="Symbol" w:hAnsi="Symbol" w:hint="default"/>
      </w:rPr>
    </w:lvl>
    <w:lvl w:ilvl="2" w:tplc="1FB82184" w:tentative="1">
      <w:start w:val="1"/>
      <w:numFmt w:val="bullet"/>
      <w:lvlText w:val=""/>
      <w:lvlJc w:val="left"/>
      <w:pPr>
        <w:tabs>
          <w:tab w:val="num" w:pos="2160"/>
        </w:tabs>
        <w:ind w:left="2160" w:hanging="360"/>
      </w:pPr>
      <w:rPr>
        <w:rFonts w:ascii="Symbol" w:hAnsi="Symbol" w:hint="default"/>
      </w:rPr>
    </w:lvl>
    <w:lvl w:ilvl="3" w:tplc="0A98BF2A" w:tentative="1">
      <w:start w:val="1"/>
      <w:numFmt w:val="bullet"/>
      <w:lvlText w:val=""/>
      <w:lvlJc w:val="left"/>
      <w:pPr>
        <w:tabs>
          <w:tab w:val="num" w:pos="2880"/>
        </w:tabs>
        <w:ind w:left="2880" w:hanging="360"/>
      </w:pPr>
      <w:rPr>
        <w:rFonts w:ascii="Symbol" w:hAnsi="Symbol" w:hint="default"/>
      </w:rPr>
    </w:lvl>
    <w:lvl w:ilvl="4" w:tplc="624ECCF8" w:tentative="1">
      <w:start w:val="1"/>
      <w:numFmt w:val="bullet"/>
      <w:lvlText w:val=""/>
      <w:lvlJc w:val="left"/>
      <w:pPr>
        <w:tabs>
          <w:tab w:val="num" w:pos="3600"/>
        </w:tabs>
        <w:ind w:left="3600" w:hanging="360"/>
      </w:pPr>
      <w:rPr>
        <w:rFonts w:ascii="Symbol" w:hAnsi="Symbol" w:hint="default"/>
      </w:rPr>
    </w:lvl>
    <w:lvl w:ilvl="5" w:tplc="F886B676" w:tentative="1">
      <w:start w:val="1"/>
      <w:numFmt w:val="bullet"/>
      <w:lvlText w:val=""/>
      <w:lvlJc w:val="left"/>
      <w:pPr>
        <w:tabs>
          <w:tab w:val="num" w:pos="4320"/>
        </w:tabs>
        <w:ind w:left="4320" w:hanging="360"/>
      </w:pPr>
      <w:rPr>
        <w:rFonts w:ascii="Symbol" w:hAnsi="Symbol" w:hint="default"/>
      </w:rPr>
    </w:lvl>
    <w:lvl w:ilvl="6" w:tplc="755822D6" w:tentative="1">
      <w:start w:val="1"/>
      <w:numFmt w:val="bullet"/>
      <w:lvlText w:val=""/>
      <w:lvlJc w:val="left"/>
      <w:pPr>
        <w:tabs>
          <w:tab w:val="num" w:pos="5040"/>
        </w:tabs>
        <w:ind w:left="5040" w:hanging="360"/>
      </w:pPr>
      <w:rPr>
        <w:rFonts w:ascii="Symbol" w:hAnsi="Symbol" w:hint="default"/>
      </w:rPr>
    </w:lvl>
    <w:lvl w:ilvl="7" w:tplc="D74E5B44" w:tentative="1">
      <w:start w:val="1"/>
      <w:numFmt w:val="bullet"/>
      <w:lvlText w:val=""/>
      <w:lvlJc w:val="left"/>
      <w:pPr>
        <w:tabs>
          <w:tab w:val="num" w:pos="5760"/>
        </w:tabs>
        <w:ind w:left="5760" w:hanging="360"/>
      </w:pPr>
      <w:rPr>
        <w:rFonts w:ascii="Symbol" w:hAnsi="Symbol" w:hint="default"/>
      </w:rPr>
    </w:lvl>
    <w:lvl w:ilvl="8" w:tplc="DDD6E9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D0841F2"/>
    <w:multiLevelType w:val="hybridMultilevel"/>
    <w:tmpl w:val="3D1019A0"/>
    <w:lvl w:ilvl="0" w:tplc="A6269A5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F463BE7"/>
    <w:multiLevelType w:val="hybridMultilevel"/>
    <w:tmpl w:val="2DA2E7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DB3D68"/>
    <w:multiLevelType w:val="hybridMultilevel"/>
    <w:tmpl w:val="E99A4B9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B02AF"/>
    <w:multiLevelType w:val="singleLevel"/>
    <w:tmpl w:val="07EC2F36"/>
    <w:lvl w:ilvl="0">
      <w:start w:val="1"/>
      <w:numFmt w:val="bullet"/>
      <w:lvlText w:val="-"/>
      <w:lvlJc w:val="left"/>
      <w:pPr>
        <w:tabs>
          <w:tab w:val="num" w:pos="360"/>
        </w:tabs>
        <w:ind w:left="360" w:hanging="187"/>
      </w:pPr>
      <w:rPr>
        <w:rFonts w:ascii="Symbol" w:hAnsi="Symbol" w:cs="Times New Roman" w:hint="default"/>
      </w:rPr>
    </w:lvl>
  </w:abstractNum>
  <w:abstractNum w:abstractNumId="1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E562F7"/>
    <w:multiLevelType w:val="hybridMultilevel"/>
    <w:tmpl w:val="B61E4312"/>
    <w:lvl w:ilvl="0" w:tplc="64AEEA28">
      <w:start w:val="1"/>
      <w:numFmt w:val="bullet"/>
      <w:lvlText w:val=""/>
      <w:lvlPicBulletId w:val="2"/>
      <w:lvlJc w:val="left"/>
      <w:pPr>
        <w:tabs>
          <w:tab w:val="num" w:pos="720"/>
        </w:tabs>
        <w:ind w:left="720" w:hanging="360"/>
      </w:pPr>
      <w:rPr>
        <w:rFonts w:ascii="Symbol" w:hAnsi="Symbol" w:hint="default"/>
      </w:rPr>
    </w:lvl>
    <w:lvl w:ilvl="1" w:tplc="B84E1906" w:tentative="1">
      <w:start w:val="1"/>
      <w:numFmt w:val="bullet"/>
      <w:lvlText w:val=""/>
      <w:lvlJc w:val="left"/>
      <w:pPr>
        <w:tabs>
          <w:tab w:val="num" w:pos="1440"/>
        </w:tabs>
        <w:ind w:left="1440" w:hanging="360"/>
      </w:pPr>
      <w:rPr>
        <w:rFonts w:ascii="Symbol" w:hAnsi="Symbol" w:hint="default"/>
      </w:rPr>
    </w:lvl>
    <w:lvl w:ilvl="2" w:tplc="7E62F58C" w:tentative="1">
      <w:start w:val="1"/>
      <w:numFmt w:val="bullet"/>
      <w:lvlText w:val=""/>
      <w:lvlJc w:val="left"/>
      <w:pPr>
        <w:tabs>
          <w:tab w:val="num" w:pos="2160"/>
        </w:tabs>
        <w:ind w:left="2160" w:hanging="360"/>
      </w:pPr>
      <w:rPr>
        <w:rFonts w:ascii="Symbol" w:hAnsi="Symbol" w:hint="default"/>
      </w:rPr>
    </w:lvl>
    <w:lvl w:ilvl="3" w:tplc="B6963026" w:tentative="1">
      <w:start w:val="1"/>
      <w:numFmt w:val="bullet"/>
      <w:lvlText w:val=""/>
      <w:lvlJc w:val="left"/>
      <w:pPr>
        <w:tabs>
          <w:tab w:val="num" w:pos="2880"/>
        </w:tabs>
        <w:ind w:left="2880" w:hanging="360"/>
      </w:pPr>
      <w:rPr>
        <w:rFonts w:ascii="Symbol" w:hAnsi="Symbol" w:hint="default"/>
      </w:rPr>
    </w:lvl>
    <w:lvl w:ilvl="4" w:tplc="6EAC46C2" w:tentative="1">
      <w:start w:val="1"/>
      <w:numFmt w:val="bullet"/>
      <w:lvlText w:val=""/>
      <w:lvlJc w:val="left"/>
      <w:pPr>
        <w:tabs>
          <w:tab w:val="num" w:pos="3600"/>
        </w:tabs>
        <w:ind w:left="3600" w:hanging="360"/>
      </w:pPr>
      <w:rPr>
        <w:rFonts w:ascii="Symbol" w:hAnsi="Symbol" w:hint="default"/>
      </w:rPr>
    </w:lvl>
    <w:lvl w:ilvl="5" w:tplc="CD20EC6A" w:tentative="1">
      <w:start w:val="1"/>
      <w:numFmt w:val="bullet"/>
      <w:lvlText w:val=""/>
      <w:lvlJc w:val="left"/>
      <w:pPr>
        <w:tabs>
          <w:tab w:val="num" w:pos="4320"/>
        </w:tabs>
        <w:ind w:left="4320" w:hanging="360"/>
      </w:pPr>
      <w:rPr>
        <w:rFonts w:ascii="Symbol" w:hAnsi="Symbol" w:hint="default"/>
      </w:rPr>
    </w:lvl>
    <w:lvl w:ilvl="6" w:tplc="57A0168A" w:tentative="1">
      <w:start w:val="1"/>
      <w:numFmt w:val="bullet"/>
      <w:lvlText w:val=""/>
      <w:lvlJc w:val="left"/>
      <w:pPr>
        <w:tabs>
          <w:tab w:val="num" w:pos="5040"/>
        </w:tabs>
        <w:ind w:left="5040" w:hanging="360"/>
      </w:pPr>
      <w:rPr>
        <w:rFonts w:ascii="Symbol" w:hAnsi="Symbol" w:hint="default"/>
      </w:rPr>
    </w:lvl>
    <w:lvl w:ilvl="7" w:tplc="107A7312" w:tentative="1">
      <w:start w:val="1"/>
      <w:numFmt w:val="bullet"/>
      <w:lvlText w:val=""/>
      <w:lvlJc w:val="left"/>
      <w:pPr>
        <w:tabs>
          <w:tab w:val="num" w:pos="5760"/>
        </w:tabs>
        <w:ind w:left="5760" w:hanging="360"/>
      </w:pPr>
      <w:rPr>
        <w:rFonts w:ascii="Symbol" w:hAnsi="Symbol" w:hint="default"/>
      </w:rPr>
    </w:lvl>
    <w:lvl w:ilvl="8" w:tplc="E8F4560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6137629"/>
    <w:multiLevelType w:val="hybridMultilevel"/>
    <w:tmpl w:val="85C44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F36DB3"/>
    <w:multiLevelType w:val="hybridMultilevel"/>
    <w:tmpl w:val="6204C2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407290"/>
    <w:multiLevelType w:val="singleLevel"/>
    <w:tmpl w:val="5BE4CC3E"/>
    <w:lvl w:ilvl="0">
      <w:start w:val="1"/>
      <w:numFmt w:val="bullet"/>
      <w:lvlText w:val=""/>
      <w:lvlJc w:val="left"/>
      <w:pPr>
        <w:tabs>
          <w:tab w:val="num" w:pos="173"/>
        </w:tabs>
        <w:ind w:left="173" w:hanging="173"/>
      </w:pPr>
      <w:rPr>
        <w:rFonts w:ascii="Symbol" w:hAnsi="Symbol" w:hint="default"/>
      </w:rPr>
    </w:lvl>
  </w:abstractNum>
  <w:abstractNum w:abstractNumId="22" w15:restartNumberingAfterBreak="0">
    <w:nsid w:val="78E84122"/>
    <w:multiLevelType w:val="multilevel"/>
    <w:tmpl w:val="E7A8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11255E"/>
    <w:multiLevelType w:val="multilevel"/>
    <w:tmpl w:val="3F4EFFAC"/>
    <w:lvl w:ilvl="0">
      <w:start w:val="1"/>
      <w:numFmt w:val="bullet"/>
      <w:lvlText w:val=""/>
      <w:lvlJc w:val="left"/>
      <w:pPr>
        <w:tabs>
          <w:tab w:val="num" w:pos="173"/>
        </w:tabs>
        <w:ind w:left="36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A0BA5"/>
    <w:multiLevelType w:val="hybridMultilevel"/>
    <w:tmpl w:val="C1847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0"/>
  </w:num>
  <w:num w:numId="3">
    <w:abstractNumId w:val="17"/>
  </w:num>
  <w:num w:numId="4">
    <w:abstractNumId w:val="14"/>
  </w:num>
  <w:num w:numId="5">
    <w:abstractNumId w:val="19"/>
  </w:num>
  <w:num w:numId="6">
    <w:abstractNumId w:val="10"/>
  </w:num>
  <w:num w:numId="7">
    <w:abstractNumId w:val="2"/>
  </w:num>
  <w:num w:numId="8">
    <w:abstractNumId w:val="23"/>
  </w:num>
  <w:num w:numId="9">
    <w:abstractNumId w:val="7"/>
  </w:num>
  <w:num w:numId="10">
    <w:abstractNumId w:val="12"/>
  </w:num>
  <w:num w:numId="11">
    <w:abstractNumId w:val="11"/>
  </w:num>
  <w:num w:numId="12">
    <w:abstractNumId w:val="18"/>
  </w:num>
  <w:num w:numId="13">
    <w:abstractNumId w:val="9"/>
  </w:num>
  <w:num w:numId="14">
    <w:abstractNumId w:val="6"/>
  </w:num>
  <w:num w:numId="15">
    <w:abstractNumId w:val="1"/>
  </w:num>
  <w:num w:numId="16">
    <w:abstractNumId w:val="8"/>
  </w:num>
  <w:num w:numId="17">
    <w:abstractNumId w:val="4"/>
  </w:num>
  <w:num w:numId="18">
    <w:abstractNumId w:val="13"/>
  </w:num>
  <w:num w:numId="19">
    <w:abstractNumId w:val="3"/>
  </w:num>
  <w:num w:numId="20">
    <w:abstractNumId w:val="20"/>
  </w:num>
  <w:num w:numId="21">
    <w:abstractNumId w:val="24"/>
  </w:num>
  <w:num w:numId="22">
    <w:abstractNumId w:val="21"/>
  </w:num>
  <w:num w:numId="23">
    <w:abstractNumId w:val="16"/>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imistyles.xml"/>
  </w:docVars>
  <w:rsids>
    <w:rsidRoot w:val="00491608"/>
    <w:rsid w:val="00030DF3"/>
    <w:rsid w:val="0003388B"/>
    <w:rsid w:val="00077515"/>
    <w:rsid w:val="000C23E1"/>
    <w:rsid w:val="000C6B8B"/>
    <w:rsid w:val="000D7C83"/>
    <w:rsid w:val="000E0796"/>
    <w:rsid w:val="001036B4"/>
    <w:rsid w:val="0012214F"/>
    <w:rsid w:val="00122E49"/>
    <w:rsid w:val="001311A0"/>
    <w:rsid w:val="00133661"/>
    <w:rsid w:val="001460A2"/>
    <w:rsid w:val="00166784"/>
    <w:rsid w:val="00185FAC"/>
    <w:rsid w:val="001C33A2"/>
    <w:rsid w:val="00202796"/>
    <w:rsid w:val="002127DE"/>
    <w:rsid w:val="00266249"/>
    <w:rsid w:val="002772EB"/>
    <w:rsid w:val="002838DA"/>
    <w:rsid w:val="00284E4F"/>
    <w:rsid w:val="002A3C07"/>
    <w:rsid w:val="002A7FE9"/>
    <w:rsid w:val="002B4644"/>
    <w:rsid w:val="002E27D2"/>
    <w:rsid w:val="00321EA4"/>
    <w:rsid w:val="00324549"/>
    <w:rsid w:val="00327183"/>
    <w:rsid w:val="00346680"/>
    <w:rsid w:val="00381DC7"/>
    <w:rsid w:val="00385C36"/>
    <w:rsid w:val="003A2E7B"/>
    <w:rsid w:val="003B47D9"/>
    <w:rsid w:val="003C4390"/>
    <w:rsid w:val="00424A49"/>
    <w:rsid w:val="00446798"/>
    <w:rsid w:val="00476793"/>
    <w:rsid w:val="00481891"/>
    <w:rsid w:val="00481BB7"/>
    <w:rsid w:val="00491608"/>
    <w:rsid w:val="004A4B0B"/>
    <w:rsid w:val="004B0F28"/>
    <w:rsid w:val="004C0138"/>
    <w:rsid w:val="004C3278"/>
    <w:rsid w:val="004E0ECA"/>
    <w:rsid w:val="00505FE8"/>
    <w:rsid w:val="00510184"/>
    <w:rsid w:val="005115D5"/>
    <w:rsid w:val="0051245A"/>
    <w:rsid w:val="0051621B"/>
    <w:rsid w:val="00565B81"/>
    <w:rsid w:val="005942EE"/>
    <w:rsid w:val="005C2C08"/>
    <w:rsid w:val="005C3330"/>
    <w:rsid w:val="005F7A68"/>
    <w:rsid w:val="0063469F"/>
    <w:rsid w:val="00655348"/>
    <w:rsid w:val="00684F0D"/>
    <w:rsid w:val="006C5586"/>
    <w:rsid w:val="006D1540"/>
    <w:rsid w:val="006E6D41"/>
    <w:rsid w:val="006E730C"/>
    <w:rsid w:val="00703A3D"/>
    <w:rsid w:val="007421CE"/>
    <w:rsid w:val="00774264"/>
    <w:rsid w:val="007C26BD"/>
    <w:rsid w:val="0080523B"/>
    <w:rsid w:val="0082669D"/>
    <w:rsid w:val="0084431B"/>
    <w:rsid w:val="008710E9"/>
    <w:rsid w:val="00872715"/>
    <w:rsid w:val="00875A11"/>
    <w:rsid w:val="00875CEA"/>
    <w:rsid w:val="008854B4"/>
    <w:rsid w:val="008B22F3"/>
    <w:rsid w:val="008D156E"/>
    <w:rsid w:val="008E4917"/>
    <w:rsid w:val="008F17D5"/>
    <w:rsid w:val="008F2565"/>
    <w:rsid w:val="00902C13"/>
    <w:rsid w:val="0094705A"/>
    <w:rsid w:val="009623EE"/>
    <w:rsid w:val="009676B9"/>
    <w:rsid w:val="009C2021"/>
    <w:rsid w:val="009E1614"/>
    <w:rsid w:val="00A01F4C"/>
    <w:rsid w:val="00A10556"/>
    <w:rsid w:val="00A3171A"/>
    <w:rsid w:val="00A5052F"/>
    <w:rsid w:val="00A66CC9"/>
    <w:rsid w:val="00A92744"/>
    <w:rsid w:val="00A96FF6"/>
    <w:rsid w:val="00AC100B"/>
    <w:rsid w:val="00AC6766"/>
    <w:rsid w:val="00AD2136"/>
    <w:rsid w:val="00AF6998"/>
    <w:rsid w:val="00B03E8B"/>
    <w:rsid w:val="00B0516C"/>
    <w:rsid w:val="00B244A8"/>
    <w:rsid w:val="00B41EA7"/>
    <w:rsid w:val="00B5228D"/>
    <w:rsid w:val="00B537DA"/>
    <w:rsid w:val="00B6791E"/>
    <w:rsid w:val="00BE71F9"/>
    <w:rsid w:val="00BF0CFC"/>
    <w:rsid w:val="00C1772E"/>
    <w:rsid w:val="00C26343"/>
    <w:rsid w:val="00C6039B"/>
    <w:rsid w:val="00C639FB"/>
    <w:rsid w:val="00C837CF"/>
    <w:rsid w:val="00CA47E8"/>
    <w:rsid w:val="00CC4976"/>
    <w:rsid w:val="00CC6C7D"/>
    <w:rsid w:val="00CD4D10"/>
    <w:rsid w:val="00CE29D3"/>
    <w:rsid w:val="00CF1AD1"/>
    <w:rsid w:val="00D31570"/>
    <w:rsid w:val="00D63671"/>
    <w:rsid w:val="00D74080"/>
    <w:rsid w:val="00DC52BE"/>
    <w:rsid w:val="00DC76C4"/>
    <w:rsid w:val="00DF2353"/>
    <w:rsid w:val="00E17347"/>
    <w:rsid w:val="00E66CC3"/>
    <w:rsid w:val="00E84FFC"/>
    <w:rsid w:val="00EA5FC1"/>
    <w:rsid w:val="00EE1030"/>
    <w:rsid w:val="00F14378"/>
    <w:rsid w:val="00F14610"/>
    <w:rsid w:val="00F27B6D"/>
    <w:rsid w:val="00F4087F"/>
    <w:rsid w:val="00F5425A"/>
    <w:rsid w:val="00F7101E"/>
    <w:rsid w:val="00F74ADC"/>
    <w:rsid w:val="00F7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5EC2DD-4254-4A0B-B3BD-A0C98EB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570"/>
    <w:rPr>
      <w:color w:val="000000"/>
      <w:sz w:val="24"/>
      <w:szCs w:val="24"/>
    </w:rPr>
  </w:style>
  <w:style w:type="paragraph" w:styleId="Heading1">
    <w:name w:val="heading 1"/>
    <w:aliases w:val="Part Title"/>
    <w:basedOn w:val="Normal"/>
    <w:next w:val="Heading4"/>
    <w:qFormat/>
    <w:rsid w:val="00D31570"/>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D31570"/>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D31570"/>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D31570"/>
    <w:pPr>
      <w:spacing w:after="240"/>
      <w:outlineLvl w:val="3"/>
    </w:pPr>
    <w:rPr>
      <w:rFonts w:ascii="Arial" w:hAnsi="Arial" w:cs="Arial"/>
      <w:b/>
      <w:sz w:val="32"/>
      <w:szCs w:val="20"/>
    </w:rPr>
  </w:style>
  <w:style w:type="paragraph" w:styleId="Heading5">
    <w:name w:val="heading 5"/>
    <w:aliases w:val="Block Label"/>
    <w:basedOn w:val="Normal"/>
    <w:qFormat/>
    <w:rsid w:val="00D31570"/>
    <w:pPr>
      <w:outlineLvl w:val="4"/>
    </w:pPr>
    <w:rPr>
      <w:b/>
      <w:sz w:val="22"/>
      <w:szCs w:val="20"/>
    </w:rPr>
  </w:style>
  <w:style w:type="paragraph" w:styleId="Heading6">
    <w:name w:val="heading 6"/>
    <w:aliases w:val="Sub Label"/>
    <w:basedOn w:val="Heading5"/>
    <w:next w:val="BlockText"/>
    <w:qFormat/>
    <w:rsid w:val="00D31570"/>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rsid w:val="00D31570"/>
    <w:pPr>
      <w:pBdr>
        <w:top w:val="single" w:sz="6" w:space="1" w:color="000000"/>
        <w:between w:val="single" w:sz="6" w:space="1" w:color="auto"/>
      </w:pBdr>
      <w:spacing w:before="240"/>
      <w:ind w:left="1728"/>
    </w:pPr>
    <w:rPr>
      <w:szCs w:val="20"/>
    </w:rPr>
  </w:style>
  <w:style w:type="paragraph" w:styleId="BlockText">
    <w:name w:val="Block Text"/>
    <w:basedOn w:val="Normal"/>
    <w:rsid w:val="00D31570"/>
  </w:style>
  <w:style w:type="paragraph" w:customStyle="1" w:styleId="BulletText1">
    <w:name w:val="Bullet Text 1"/>
    <w:basedOn w:val="Normal"/>
    <w:rsid w:val="00D31570"/>
    <w:pPr>
      <w:numPr>
        <w:numId w:val="1"/>
      </w:numPr>
    </w:pPr>
    <w:rPr>
      <w:szCs w:val="20"/>
    </w:rPr>
  </w:style>
  <w:style w:type="paragraph" w:customStyle="1" w:styleId="BulletText2">
    <w:name w:val="Bullet Text 2"/>
    <w:basedOn w:val="Normal"/>
    <w:rsid w:val="00D31570"/>
    <w:pPr>
      <w:numPr>
        <w:numId w:val="2"/>
      </w:numPr>
    </w:pPr>
    <w:rPr>
      <w:szCs w:val="20"/>
    </w:rPr>
  </w:style>
  <w:style w:type="paragraph" w:customStyle="1" w:styleId="BulletText3">
    <w:name w:val="Bullet Text 3"/>
    <w:basedOn w:val="Normal"/>
    <w:rsid w:val="00D31570"/>
    <w:pPr>
      <w:numPr>
        <w:numId w:val="3"/>
      </w:numPr>
      <w:tabs>
        <w:tab w:val="clear" w:pos="173"/>
      </w:tabs>
      <w:ind w:left="533" w:hanging="173"/>
    </w:pPr>
    <w:rPr>
      <w:szCs w:val="20"/>
    </w:rPr>
  </w:style>
  <w:style w:type="paragraph" w:customStyle="1" w:styleId="ContinuedBlockLabel">
    <w:name w:val="Continued Block Label"/>
    <w:basedOn w:val="Normal"/>
    <w:next w:val="Normal"/>
    <w:rsid w:val="00D31570"/>
    <w:pPr>
      <w:spacing w:after="240"/>
    </w:pPr>
    <w:rPr>
      <w:b/>
      <w:sz w:val="22"/>
      <w:szCs w:val="20"/>
    </w:rPr>
  </w:style>
  <w:style w:type="paragraph" w:customStyle="1" w:styleId="ContinuedOnNextPa">
    <w:name w:val="Continued On Next Pa"/>
    <w:basedOn w:val="Normal"/>
    <w:next w:val="Normal"/>
    <w:rsid w:val="00D31570"/>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D31570"/>
    <w:pPr>
      <w:spacing w:after="240"/>
    </w:pPr>
    <w:rPr>
      <w:b/>
      <w:sz w:val="22"/>
      <w:szCs w:val="20"/>
    </w:rPr>
  </w:style>
  <w:style w:type="paragraph" w:customStyle="1" w:styleId="EmbeddedText">
    <w:name w:val="Embedded Text"/>
    <w:basedOn w:val="Normal"/>
    <w:rsid w:val="00D31570"/>
    <w:rPr>
      <w:szCs w:val="20"/>
    </w:rPr>
  </w:style>
  <w:style w:type="character" w:styleId="HTMLAcronym">
    <w:name w:val="HTML Acronym"/>
    <w:basedOn w:val="DefaultParagraphFont"/>
    <w:rsid w:val="00D31570"/>
  </w:style>
  <w:style w:type="paragraph" w:customStyle="1" w:styleId="IMTOC">
    <w:name w:val="IMTOC"/>
    <w:rsid w:val="00D31570"/>
    <w:rPr>
      <w:sz w:val="24"/>
    </w:rPr>
  </w:style>
  <w:style w:type="paragraph" w:customStyle="1" w:styleId="MapTitleContinued">
    <w:name w:val="Map Title. Continued"/>
    <w:basedOn w:val="Normal"/>
    <w:next w:val="Normal"/>
    <w:rsid w:val="00D31570"/>
    <w:pPr>
      <w:spacing w:after="240"/>
    </w:pPr>
    <w:rPr>
      <w:rFonts w:ascii="Arial" w:hAnsi="Arial" w:cs="Arial"/>
      <w:b/>
      <w:sz w:val="32"/>
      <w:szCs w:val="20"/>
    </w:rPr>
  </w:style>
  <w:style w:type="paragraph" w:customStyle="1" w:styleId="MemoLine">
    <w:name w:val="Memo Line"/>
    <w:basedOn w:val="BlockLine"/>
    <w:next w:val="Normal"/>
    <w:rsid w:val="00D31570"/>
  </w:style>
  <w:style w:type="paragraph" w:customStyle="1" w:styleId="NoteText">
    <w:name w:val="Note Text"/>
    <w:basedOn w:val="Normal"/>
    <w:rsid w:val="00D31570"/>
    <w:rPr>
      <w:szCs w:val="20"/>
    </w:rPr>
  </w:style>
  <w:style w:type="paragraph" w:customStyle="1" w:styleId="PublicationTitle">
    <w:name w:val="Publication Title"/>
    <w:basedOn w:val="Normal"/>
    <w:next w:val="Heading4"/>
    <w:rsid w:val="00D31570"/>
    <w:pPr>
      <w:spacing w:after="240"/>
      <w:jc w:val="center"/>
    </w:pPr>
    <w:rPr>
      <w:rFonts w:ascii="Arial" w:hAnsi="Arial" w:cs="Arial"/>
      <w:b/>
      <w:sz w:val="32"/>
      <w:szCs w:val="20"/>
    </w:rPr>
  </w:style>
  <w:style w:type="paragraph" w:customStyle="1" w:styleId="TableHeaderText">
    <w:name w:val="Table Header Text"/>
    <w:basedOn w:val="Normal"/>
    <w:rsid w:val="00D31570"/>
    <w:pPr>
      <w:jc w:val="center"/>
    </w:pPr>
    <w:rPr>
      <w:b/>
      <w:szCs w:val="20"/>
    </w:rPr>
  </w:style>
  <w:style w:type="paragraph" w:customStyle="1" w:styleId="TableText">
    <w:name w:val="Table Text"/>
    <w:basedOn w:val="Normal"/>
    <w:rsid w:val="00D31570"/>
    <w:rPr>
      <w:szCs w:val="20"/>
    </w:rPr>
  </w:style>
  <w:style w:type="paragraph" w:customStyle="1" w:styleId="TOCTitle">
    <w:name w:val="TOC Title"/>
    <w:basedOn w:val="Normal"/>
    <w:rsid w:val="00D31570"/>
    <w:pPr>
      <w:widowControl w:val="0"/>
    </w:pPr>
    <w:rPr>
      <w:rFonts w:ascii="Arial" w:hAnsi="Arial" w:cs="Arial"/>
      <w:b/>
      <w:sz w:val="32"/>
      <w:szCs w:val="20"/>
    </w:rPr>
  </w:style>
  <w:style w:type="paragraph" w:customStyle="1" w:styleId="TOCItem">
    <w:name w:val="TOCItem"/>
    <w:basedOn w:val="Normal"/>
    <w:rsid w:val="00D31570"/>
    <w:pPr>
      <w:tabs>
        <w:tab w:val="left" w:leader="dot" w:pos="7061"/>
        <w:tab w:val="right" w:pos="7524"/>
      </w:tabs>
      <w:spacing w:before="60" w:after="60"/>
      <w:ind w:right="465"/>
    </w:pPr>
    <w:rPr>
      <w:szCs w:val="20"/>
    </w:rPr>
  </w:style>
  <w:style w:type="paragraph" w:customStyle="1" w:styleId="TOCStem">
    <w:name w:val="TOCStem"/>
    <w:basedOn w:val="Normal"/>
    <w:rsid w:val="00D31570"/>
    <w:rPr>
      <w:szCs w:val="20"/>
    </w:rPr>
  </w:style>
  <w:style w:type="paragraph" w:styleId="BalloonText">
    <w:name w:val="Balloon Text"/>
    <w:basedOn w:val="Normal"/>
    <w:semiHidden/>
    <w:rsid w:val="00D31570"/>
    <w:rPr>
      <w:rFonts w:ascii="Tahoma" w:hAnsi="Tahoma" w:cs="Tahoma"/>
      <w:sz w:val="16"/>
      <w:szCs w:val="16"/>
    </w:rPr>
  </w:style>
  <w:style w:type="paragraph" w:styleId="Header">
    <w:name w:val="header"/>
    <w:basedOn w:val="Normal"/>
    <w:link w:val="HeaderChar"/>
    <w:rsid w:val="00D31570"/>
    <w:pPr>
      <w:tabs>
        <w:tab w:val="center" w:pos="4680"/>
        <w:tab w:val="right" w:pos="9360"/>
      </w:tabs>
    </w:pPr>
  </w:style>
  <w:style w:type="paragraph" w:styleId="Footer">
    <w:name w:val="footer"/>
    <w:basedOn w:val="Normal"/>
    <w:link w:val="FooterChar"/>
    <w:rsid w:val="00D31570"/>
    <w:pPr>
      <w:tabs>
        <w:tab w:val="center" w:pos="4680"/>
        <w:tab w:val="right" w:pos="9360"/>
      </w:tabs>
    </w:pPr>
  </w:style>
  <w:style w:type="table" w:styleId="TableGrid">
    <w:name w:val="Table Grid"/>
    <w:basedOn w:val="TableNormal"/>
    <w:rsid w:val="00D315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31570"/>
    <w:rPr>
      <w:color w:val="0000FF"/>
      <w:u w:val="single"/>
    </w:rPr>
  </w:style>
  <w:style w:type="character" w:customStyle="1" w:styleId="HeaderChar">
    <w:name w:val="Header Char"/>
    <w:link w:val="Header"/>
    <w:rsid w:val="00D31570"/>
    <w:rPr>
      <w:color w:val="000000"/>
      <w:sz w:val="24"/>
      <w:szCs w:val="24"/>
      <w:lang w:val="en-US" w:eastAsia="en-US" w:bidi="ar-SA"/>
    </w:rPr>
  </w:style>
  <w:style w:type="character" w:customStyle="1" w:styleId="FooterChar">
    <w:name w:val="Footer Char"/>
    <w:link w:val="Footer"/>
    <w:rsid w:val="00D31570"/>
    <w:rPr>
      <w:color w:val="000000"/>
      <w:sz w:val="24"/>
      <w:szCs w:val="24"/>
      <w:lang w:val="en-US" w:eastAsia="en-US" w:bidi="ar-SA"/>
    </w:rPr>
  </w:style>
  <w:style w:type="character" w:styleId="FollowedHyperlink">
    <w:name w:val="FollowedHyperlink"/>
    <w:rsid w:val="00D31570"/>
    <w:rPr>
      <w:color w:val="800080"/>
      <w:u w:val="single"/>
    </w:rPr>
  </w:style>
  <w:style w:type="paragraph" w:styleId="TOC3">
    <w:name w:val="toc 3"/>
    <w:basedOn w:val="Normal"/>
    <w:next w:val="Normal"/>
    <w:autoRedefine/>
    <w:rsid w:val="00D31570"/>
    <w:pPr>
      <w:ind w:left="480"/>
    </w:pPr>
  </w:style>
  <w:style w:type="paragraph" w:styleId="TOC4">
    <w:name w:val="toc 4"/>
    <w:basedOn w:val="Normal"/>
    <w:next w:val="Normal"/>
    <w:autoRedefine/>
    <w:rsid w:val="00D31570"/>
    <w:pPr>
      <w:ind w:left="720"/>
    </w:pPr>
  </w:style>
  <w:style w:type="paragraph" w:customStyle="1" w:styleId="BlockText0">
    <w:name w:val="Block_Text"/>
    <w:basedOn w:val="Normal"/>
    <w:rsid w:val="008D156E"/>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16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FSPro</Template>
  <TotalTime>51</TotalTime>
  <Pages>5</Pages>
  <Words>1140</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Sutter Health Sacramento-Sierra Region</vt:lpstr>
    </vt:vector>
  </TitlesOfParts>
  <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Sutter Health Sacramento-Sierra Region</dc:title>
  <dc:subject/>
  <dc:creator>andersn1</dc:creator>
  <cp:keywords/>
  <dc:description/>
  <cp:lastModifiedBy>Padilla, Erica N.</cp:lastModifiedBy>
  <cp:revision>5</cp:revision>
  <cp:lastPrinted>2021-09-29T18:14:00Z</cp:lastPrinted>
  <dcterms:created xsi:type="dcterms:W3CDTF">2021-09-28T23:44:00Z</dcterms:created>
  <dcterms:modified xsi:type="dcterms:W3CDTF">2021-11-02T21:05:00Z</dcterms:modified>
</cp:coreProperties>
</file>