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113" w:rsidRDefault="00F74113" w:rsidP="00CB3634">
      <w:pPr>
        <w:rPr>
          <w:b/>
          <w:sz w:val="24"/>
          <w:szCs w:val="24"/>
        </w:rPr>
      </w:pPr>
    </w:p>
    <w:p w:rsidR="00CB3634" w:rsidRDefault="000D3AF7" w:rsidP="00CB3634">
      <w:pPr>
        <w:numPr>
          <w:ilvl w:val="0"/>
          <w:numId w:val="12"/>
        </w:numPr>
        <w:rPr>
          <w:b/>
          <w:sz w:val="24"/>
          <w:szCs w:val="24"/>
        </w:rPr>
      </w:pPr>
      <w:r>
        <w:rPr>
          <w:b/>
          <w:sz w:val="24"/>
          <w:szCs w:val="24"/>
        </w:rPr>
        <w:t>PURPOSE AND SCOPE</w:t>
      </w:r>
    </w:p>
    <w:p w:rsidR="00F74113" w:rsidRDefault="000D3AF7" w:rsidP="00F74113">
      <w:pPr>
        <w:ind w:left="1080"/>
        <w:rPr>
          <w:sz w:val="24"/>
          <w:szCs w:val="24"/>
        </w:rPr>
      </w:pPr>
      <w:r>
        <w:rPr>
          <w:sz w:val="24"/>
          <w:szCs w:val="24"/>
        </w:rPr>
        <w:t xml:space="preserve">The purpose of this policy is to establish guidelines for the continuing education requirement of the hematology laboratory.  The continuing education </w:t>
      </w:r>
      <w:r w:rsidR="00FD4851">
        <w:rPr>
          <w:sz w:val="24"/>
          <w:szCs w:val="24"/>
        </w:rPr>
        <w:t>requirement</w:t>
      </w:r>
      <w:r>
        <w:rPr>
          <w:sz w:val="24"/>
          <w:szCs w:val="24"/>
        </w:rPr>
        <w:t xml:space="preserve"> is designed so that:</w:t>
      </w:r>
    </w:p>
    <w:p w:rsidR="000D3AF7" w:rsidRDefault="000D3AF7" w:rsidP="000D3AF7">
      <w:pPr>
        <w:pStyle w:val="ListParagraph"/>
        <w:numPr>
          <w:ilvl w:val="0"/>
          <w:numId w:val="13"/>
        </w:numPr>
        <w:rPr>
          <w:sz w:val="24"/>
          <w:szCs w:val="24"/>
        </w:rPr>
      </w:pPr>
      <w:r>
        <w:rPr>
          <w:sz w:val="24"/>
          <w:szCs w:val="24"/>
        </w:rPr>
        <w:t>Technologists can enhance and maintain their skill levels.</w:t>
      </w:r>
    </w:p>
    <w:p w:rsidR="000D3AF7" w:rsidRPr="006A7A7C" w:rsidRDefault="000D3AF7" w:rsidP="006A7A7C">
      <w:pPr>
        <w:pStyle w:val="ListParagraph"/>
        <w:numPr>
          <w:ilvl w:val="0"/>
          <w:numId w:val="13"/>
        </w:numPr>
        <w:rPr>
          <w:sz w:val="24"/>
          <w:szCs w:val="24"/>
        </w:rPr>
      </w:pPr>
      <w:r w:rsidRPr="006A7A7C">
        <w:rPr>
          <w:sz w:val="24"/>
          <w:szCs w:val="24"/>
        </w:rPr>
        <w:t>Technologists can keep up with changes and advances in their field.</w:t>
      </w:r>
    </w:p>
    <w:p w:rsidR="000D3AF7" w:rsidRPr="000D3AF7" w:rsidRDefault="000D3AF7" w:rsidP="000D3AF7">
      <w:pPr>
        <w:pStyle w:val="ListParagraph"/>
        <w:numPr>
          <w:ilvl w:val="0"/>
          <w:numId w:val="13"/>
        </w:numPr>
        <w:rPr>
          <w:sz w:val="24"/>
          <w:szCs w:val="24"/>
        </w:rPr>
      </w:pPr>
      <w:r>
        <w:rPr>
          <w:sz w:val="24"/>
          <w:szCs w:val="24"/>
        </w:rPr>
        <w:t>Technologists can pursue personal career growth</w:t>
      </w:r>
      <w:r w:rsidR="00FD4851">
        <w:rPr>
          <w:sz w:val="24"/>
          <w:szCs w:val="24"/>
        </w:rPr>
        <w:t>.</w:t>
      </w:r>
    </w:p>
    <w:p w:rsidR="00F74113" w:rsidRPr="00F74113" w:rsidRDefault="00F74113" w:rsidP="00F74113">
      <w:pPr>
        <w:numPr>
          <w:ilvl w:val="0"/>
          <w:numId w:val="12"/>
        </w:numPr>
        <w:rPr>
          <w:b/>
          <w:sz w:val="24"/>
          <w:szCs w:val="24"/>
        </w:rPr>
      </w:pPr>
      <w:r w:rsidRPr="00F74113">
        <w:rPr>
          <w:b/>
          <w:sz w:val="24"/>
          <w:szCs w:val="24"/>
        </w:rPr>
        <w:t>P</w:t>
      </w:r>
      <w:r w:rsidR="000D3AF7">
        <w:rPr>
          <w:b/>
          <w:sz w:val="24"/>
          <w:szCs w:val="24"/>
        </w:rPr>
        <w:t>OLICY</w:t>
      </w:r>
    </w:p>
    <w:p w:rsidR="006A7A7C" w:rsidRPr="00512B8E" w:rsidRDefault="006A7A7C" w:rsidP="00B50498">
      <w:pPr>
        <w:pStyle w:val="ListParagraph"/>
        <w:numPr>
          <w:ilvl w:val="0"/>
          <w:numId w:val="14"/>
        </w:numPr>
        <w:spacing w:line="276" w:lineRule="auto"/>
        <w:ind w:left="1080" w:firstLine="0"/>
        <w:rPr>
          <w:b/>
          <w:sz w:val="24"/>
          <w:szCs w:val="24"/>
        </w:rPr>
      </w:pPr>
      <w:r w:rsidRPr="00512B8E">
        <w:rPr>
          <w:b/>
          <w:sz w:val="24"/>
          <w:szCs w:val="24"/>
        </w:rPr>
        <w:t>Continuing Education Requirement</w:t>
      </w:r>
    </w:p>
    <w:p w:rsidR="00CB3634" w:rsidRDefault="005341D7" w:rsidP="00512B8E">
      <w:pPr>
        <w:ind w:left="1440"/>
        <w:rPr>
          <w:sz w:val="24"/>
          <w:szCs w:val="24"/>
        </w:rPr>
      </w:pPr>
      <w:r>
        <w:rPr>
          <w:sz w:val="24"/>
          <w:szCs w:val="24"/>
        </w:rPr>
        <w:t>To meet expectations, a</w:t>
      </w:r>
      <w:r w:rsidR="00FD4851">
        <w:rPr>
          <w:sz w:val="24"/>
          <w:szCs w:val="24"/>
        </w:rPr>
        <w:t xml:space="preserve">ll bench technologists, as well as supervisors, are required to </w:t>
      </w:r>
      <w:r w:rsidR="00382091">
        <w:rPr>
          <w:sz w:val="24"/>
          <w:szCs w:val="24"/>
        </w:rPr>
        <w:t>complete</w:t>
      </w:r>
      <w:r w:rsidR="00FD4851">
        <w:rPr>
          <w:sz w:val="24"/>
          <w:szCs w:val="24"/>
        </w:rPr>
        <w:t xml:space="preserve"> at least two continuing education activities </w:t>
      </w:r>
      <w:r w:rsidR="00382091">
        <w:rPr>
          <w:sz w:val="24"/>
          <w:szCs w:val="24"/>
        </w:rPr>
        <w:t>each</w:t>
      </w:r>
      <w:r w:rsidR="00FD4851">
        <w:rPr>
          <w:sz w:val="24"/>
          <w:szCs w:val="24"/>
        </w:rPr>
        <w:t xml:space="preserve"> year.</w:t>
      </w:r>
      <w:r w:rsidR="00382091">
        <w:rPr>
          <w:sz w:val="24"/>
          <w:szCs w:val="24"/>
        </w:rPr>
        <w:t xml:space="preserve">  Completed continuing education activities are checked by the laboratory manager prior to each employee’s yearly review.  Employees are required to place, the original or a copy of, the continuing education certificate in the continuing education binder</w:t>
      </w:r>
      <w:r w:rsidR="00801BB2">
        <w:rPr>
          <w:sz w:val="24"/>
          <w:szCs w:val="24"/>
        </w:rPr>
        <w:t xml:space="preserve"> at least one month before their performance review</w:t>
      </w:r>
      <w:r w:rsidR="00382091">
        <w:rPr>
          <w:sz w:val="24"/>
          <w:szCs w:val="24"/>
        </w:rPr>
        <w:t xml:space="preserve">.  </w:t>
      </w:r>
      <w:r w:rsidR="002A0C60">
        <w:rPr>
          <w:sz w:val="24"/>
          <w:szCs w:val="24"/>
        </w:rPr>
        <w:t>In the binder, e</w:t>
      </w:r>
      <w:r w:rsidR="00382091">
        <w:rPr>
          <w:sz w:val="24"/>
          <w:szCs w:val="24"/>
        </w:rPr>
        <w:t xml:space="preserve">mployees are also required to fill out the continuing education </w:t>
      </w:r>
      <w:proofErr w:type="gramStart"/>
      <w:r w:rsidR="0073212E">
        <w:rPr>
          <w:sz w:val="24"/>
          <w:szCs w:val="24"/>
        </w:rPr>
        <w:t>form</w:t>
      </w:r>
      <w:r w:rsidR="00382091">
        <w:rPr>
          <w:sz w:val="24"/>
          <w:szCs w:val="24"/>
        </w:rPr>
        <w:t>(</w:t>
      </w:r>
      <w:proofErr w:type="gramEnd"/>
      <w:r w:rsidR="00382091">
        <w:rPr>
          <w:sz w:val="24"/>
          <w:szCs w:val="24"/>
        </w:rPr>
        <w:t>Appendix A).</w:t>
      </w:r>
    </w:p>
    <w:p w:rsidR="006A7A7C" w:rsidRPr="00512B8E" w:rsidRDefault="006A7A7C" w:rsidP="00B50498">
      <w:pPr>
        <w:pStyle w:val="ListParagraph"/>
        <w:numPr>
          <w:ilvl w:val="0"/>
          <w:numId w:val="14"/>
        </w:numPr>
        <w:rPr>
          <w:b/>
          <w:sz w:val="24"/>
          <w:szCs w:val="24"/>
        </w:rPr>
      </w:pPr>
      <w:r w:rsidRPr="00512B8E">
        <w:rPr>
          <w:b/>
          <w:sz w:val="24"/>
          <w:szCs w:val="24"/>
        </w:rPr>
        <w:t>Definition of Continuing Education</w:t>
      </w:r>
    </w:p>
    <w:p w:rsidR="00382091" w:rsidRPr="00801BB2" w:rsidRDefault="00382091" w:rsidP="00B50498">
      <w:pPr>
        <w:ind w:left="1080" w:firstLine="360"/>
        <w:rPr>
          <w:sz w:val="24"/>
          <w:szCs w:val="24"/>
        </w:rPr>
      </w:pPr>
      <w:r w:rsidRPr="00801BB2">
        <w:rPr>
          <w:sz w:val="24"/>
          <w:szCs w:val="24"/>
        </w:rPr>
        <w:t>Continuing education includes (but is not limited to):</w:t>
      </w:r>
    </w:p>
    <w:p w:rsidR="00382091" w:rsidRDefault="00EA23ED" w:rsidP="00801BB2">
      <w:pPr>
        <w:ind w:left="720" w:firstLine="720"/>
        <w:rPr>
          <w:sz w:val="24"/>
          <w:szCs w:val="24"/>
        </w:rPr>
      </w:pPr>
      <w:r>
        <w:rPr>
          <w:sz w:val="24"/>
          <w:szCs w:val="24"/>
        </w:rPr>
        <w:t>-</w:t>
      </w:r>
      <w:r w:rsidR="00382091">
        <w:rPr>
          <w:sz w:val="24"/>
          <w:szCs w:val="24"/>
        </w:rPr>
        <w:t>In/Out of house conferences, seminars and workshops</w:t>
      </w:r>
    </w:p>
    <w:p w:rsidR="00382091" w:rsidRDefault="00EA23ED" w:rsidP="00801BB2">
      <w:pPr>
        <w:ind w:left="720" w:firstLine="720"/>
        <w:rPr>
          <w:sz w:val="24"/>
          <w:szCs w:val="24"/>
        </w:rPr>
      </w:pPr>
      <w:r>
        <w:rPr>
          <w:sz w:val="24"/>
          <w:szCs w:val="24"/>
        </w:rPr>
        <w:t>-</w:t>
      </w:r>
      <w:r w:rsidR="00382091">
        <w:rPr>
          <w:sz w:val="24"/>
          <w:szCs w:val="24"/>
        </w:rPr>
        <w:t>CE “Lunch and learn” lectures- sponsored by the Department of Lab Medicine</w:t>
      </w:r>
    </w:p>
    <w:p w:rsidR="00382091" w:rsidRDefault="00EA23ED" w:rsidP="00801BB2">
      <w:pPr>
        <w:ind w:left="720" w:firstLine="720"/>
        <w:rPr>
          <w:sz w:val="24"/>
          <w:szCs w:val="24"/>
        </w:rPr>
      </w:pPr>
      <w:r>
        <w:rPr>
          <w:sz w:val="24"/>
          <w:szCs w:val="24"/>
        </w:rPr>
        <w:t>-</w:t>
      </w:r>
      <w:r w:rsidR="00382091">
        <w:rPr>
          <w:sz w:val="24"/>
          <w:szCs w:val="24"/>
        </w:rPr>
        <w:t>Appropriate courses at an accredited university</w:t>
      </w:r>
    </w:p>
    <w:p w:rsidR="00382091" w:rsidRDefault="00EA23ED" w:rsidP="00801BB2">
      <w:pPr>
        <w:ind w:left="720" w:firstLine="720"/>
        <w:rPr>
          <w:sz w:val="24"/>
          <w:szCs w:val="24"/>
        </w:rPr>
      </w:pPr>
      <w:r>
        <w:rPr>
          <w:sz w:val="24"/>
          <w:szCs w:val="24"/>
        </w:rPr>
        <w:t>-</w:t>
      </w:r>
      <w:r w:rsidR="00382091">
        <w:rPr>
          <w:sz w:val="24"/>
          <w:szCs w:val="24"/>
        </w:rPr>
        <w:t xml:space="preserve">Any </w:t>
      </w:r>
      <w:r w:rsidR="0073212E">
        <w:rPr>
          <w:sz w:val="24"/>
          <w:szCs w:val="24"/>
        </w:rPr>
        <w:t xml:space="preserve">online </w:t>
      </w:r>
      <w:r w:rsidR="00382091">
        <w:rPr>
          <w:sz w:val="24"/>
          <w:szCs w:val="24"/>
        </w:rPr>
        <w:t>program that is P.A.C.E certified by the ASCLS</w:t>
      </w:r>
    </w:p>
    <w:p w:rsidR="00382091" w:rsidRPr="0041355E" w:rsidRDefault="00EA23ED" w:rsidP="00801BB2">
      <w:pPr>
        <w:ind w:left="2160" w:hanging="720"/>
        <w:rPr>
          <w:sz w:val="24"/>
          <w:szCs w:val="24"/>
        </w:rPr>
      </w:pPr>
      <w:r>
        <w:rPr>
          <w:sz w:val="24"/>
          <w:szCs w:val="24"/>
        </w:rPr>
        <w:t>-</w:t>
      </w:r>
      <w:r w:rsidR="006A7A7C">
        <w:rPr>
          <w:sz w:val="24"/>
          <w:szCs w:val="24"/>
        </w:rPr>
        <w:t>Any continuing education program that is approved by the ASCP Board of Certification</w:t>
      </w:r>
    </w:p>
    <w:p w:rsidR="00801BB2" w:rsidRDefault="00EA23ED" w:rsidP="00801BB2">
      <w:pPr>
        <w:ind w:left="720" w:firstLine="720"/>
        <w:rPr>
          <w:sz w:val="24"/>
          <w:szCs w:val="24"/>
        </w:rPr>
      </w:pPr>
      <w:r>
        <w:rPr>
          <w:sz w:val="24"/>
          <w:szCs w:val="24"/>
        </w:rPr>
        <w:t>-</w:t>
      </w:r>
      <w:r w:rsidR="006A7A7C">
        <w:rPr>
          <w:sz w:val="24"/>
          <w:szCs w:val="24"/>
        </w:rPr>
        <w:t xml:space="preserve">Any program on </w:t>
      </w:r>
      <w:r w:rsidR="00D26531">
        <w:rPr>
          <w:sz w:val="24"/>
          <w:szCs w:val="24"/>
        </w:rPr>
        <w:t xml:space="preserve">the </w:t>
      </w:r>
      <w:r w:rsidR="006A7A7C">
        <w:rPr>
          <w:sz w:val="24"/>
          <w:szCs w:val="24"/>
        </w:rPr>
        <w:t>MTS (medtraining.org)</w:t>
      </w:r>
      <w:r w:rsidR="00D26531">
        <w:rPr>
          <w:sz w:val="24"/>
          <w:szCs w:val="24"/>
        </w:rPr>
        <w:t xml:space="preserve"> lab training library,</w:t>
      </w:r>
      <w:r w:rsidR="00801BB2">
        <w:rPr>
          <w:sz w:val="24"/>
          <w:szCs w:val="24"/>
        </w:rPr>
        <w:t xml:space="preserve"> that is</w:t>
      </w:r>
    </w:p>
    <w:p w:rsidR="00CB3634" w:rsidRDefault="006A7A7C" w:rsidP="00801BB2">
      <w:pPr>
        <w:ind w:left="1440" w:firstLine="720"/>
        <w:rPr>
          <w:sz w:val="24"/>
          <w:szCs w:val="24"/>
        </w:rPr>
      </w:pPr>
      <w:r>
        <w:rPr>
          <w:sz w:val="24"/>
          <w:szCs w:val="24"/>
        </w:rPr>
        <w:t>P.A.C.E certified</w:t>
      </w:r>
      <w:r w:rsidR="00D26531">
        <w:rPr>
          <w:sz w:val="24"/>
          <w:szCs w:val="24"/>
        </w:rPr>
        <w:t>,</w:t>
      </w:r>
      <w:r>
        <w:rPr>
          <w:sz w:val="24"/>
          <w:szCs w:val="24"/>
        </w:rPr>
        <w:t xml:space="preserve"> and is not expected to be used as a basis for competency</w:t>
      </w:r>
    </w:p>
    <w:p w:rsidR="00801B4A" w:rsidRPr="00512B8E" w:rsidRDefault="00801B4A" w:rsidP="00801B4A">
      <w:pPr>
        <w:pStyle w:val="ListParagraph"/>
        <w:numPr>
          <w:ilvl w:val="0"/>
          <w:numId w:val="14"/>
        </w:numPr>
        <w:rPr>
          <w:b/>
          <w:sz w:val="24"/>
          <w:szCs w:val="24"/>
        </w:rPr>
      </w:pPr>
      <w:r w:rsidRPr="00512B8E">
        <w:rPr>
          <w:b/>
          <w:sz w:val="24"/>
          <w:szCs w:val="24"/>
        </w:rPr>
        <w:t>Attendance</w:t>
      </w:r>
    </w:p>
    <w:p w:rsidR="00801B4A" w:rsidRDefault="00801B4A" w:rsidP="00801B4A">
      <w:pPr>
        <w:pStyle w:val="ListParagraph"/>
        <w:numPr>
          <w:ilvl w:val="1"/>
          <w:numId w:val="14"/>
        </w:numPr>
        <w:rPr>
          <w:sz w:val="24"/>
          <w:szCs w:val="24"/>
        </w:rPr>
      </w:pPr>
      <w:r>
        <w:rPr>
          <w:sz w:val="24"/>
          <w:szCs w:val="24"/>
        </w:rPr>
        <w:t>There must be enough coverage in each area of the laboratory in order for individuals to attend continuing education programs</w:t>
      </w:r>
      <w:r w:rsidR="00512B8E">
        <w:rPr>
          <w:sz w:val="24"/>
          <w:szCs w:val="24"/>
        </w:rPr>
        <w:t xml:space="preserve">.  </w:t>
      </w:r>
      <w:r w:rsidR="00801BB2">
        <w:rPr>
          <w:sz w:val="24"/>
          <w:szCs w:val="24"/>
        </w:rPr>
        <w:t>Adequate c</w:t>
      </w:r>
      <w:r w:rsidR="00512B8E">
        <w:rPr>
          <w:sz w:val="24"/>
          <w:szCs w:val="24"/>
        </w:rPr>
        <w:t xml:space="preserve">overage is at the discretion of the </w:t>
      </w:r>
      <w:r w:rsidR="00600FD0">
        <w:rPr>
          <w:sz w:val="24"/>
          <w:szCs w:val="24"/>
        </w:rPr>
        <w:t>Manager, Assistant Chief Technologist or S</w:t>
      </w:r>
      <w:r w:rsidR="00512B8E">
        <w:rPr>
          <w:sz w:val="24"/>
          <w:szCs w:val="24"/>
        </w:rPr>
        <w:t>upervisor.</w:t>
      </w:r>
    </w:p>
    <w:p w:rsidR="00512B8E" w:rsidRDefault="00512B8E" w:rsidP="00801B4A">
      <w:pPr>
        <w:pStyle w:val="ListParagraph"/>
        <w:numPr>
          <w:ilvl w:val="1"/>
          <w:numId w:val="14"/>
        </w:numPr>
        <w:rPr>
          <w:sz w:val="24"/>
          <w:szCs w:val="24"/>
        </w:rPr>
      </w:pPr>
      <w:r>
        <w:rPr>
          <w:sz w:val="24"/>
          <w:szCs w:val="24"/>
        </w:rPr>
        <w:t>If two individuals working in the same area request to go to a continuing education event, the person who has not attended most recently will have the first choice.</w:t>
      </w:r>
    </w:p>
    <w:p w:rsidR="00512B8E" w:rsidRDefault="00512B8E" w:rsidP="00801B4A">
      <w:pPr>
        <w:pStyle w:val="ListParagraph"/>
        <w:numPr>
          <w:ilvl w:val="1"/>
          <w:numId w:val="14"/>
        </w:numPr>
        <w:rPr>
          <w:sz w:val="24"/>
          <w:szCs w:val="24"/>
        </w:rPr>
      </w:pPr>
      <w:r>
        <w:rPr>
          <w:sz w:val="24"/>
          <w:szCs w:val="24"/>
        </w:rPr>
        <w:t>If neither person in b. has attended recently, a lottery system will be used.</w:t>
      </w:r>
    </w:p>
    <w:p w:rsidR="00512B8E" w:rsidRPr="00801B4A" w:rsidRDefault="00512B8E" w:rsidP="00801B4A">
      <w:pPr>
        <w:pStyle w:val="ListParagraph"/>
        <w:numPr>
          <w:ilvl w:val="1"/>
          <w:numId w:val="14"/>
        </w:numPr>
        <w:rPr>
          <w:sz w:val="24"/>
          <w:szCs w:val="24"/>
        </w:rPr>
      </w:pPr>
      <w:r>
        <w:rPr>
          <w:sz w:val="24"/>
          <w:szCs w:val="24"/>
        </w:rPr>
        <w:t xml:space="preserve">Technologists working in the Special Hematology or </w:t>
      </w:r>
      <w:r w:rsidR="000A533F">
        <w:rPr>
          <w:sz w:val="24"/>
          <w:szCs w:val="24"/>
        </w:rPr>
        <w:t xml:space="preserve">Special </w:t>
      </w:r>
      <w:r>
        <w:rPr>
          <w:sz w:val="24"/>
          <w:szCs w:val="24"/>
        </w:rPr>
        <w:t>Coagulation areas will negotiate with their immediate supervisors on an individual basis, as time and workload allow.</w:t>
      </w:r>
    </w:p>
    <w:p w:rsidR="000A533F" w:rsidRDefault="000A533F" w:rsidP="000A533F">
      <w:pPr>
        <w:pStyle w:val="ListParagraph"/>
        <w:ind w:left="1440"/>
        <w:rPr>
          <w:b/>
          <w:sz w:val="24"/>
          <w:szCs w:val="24"/>
        </w:rPr>
      </w:pPr>
    </w:p>
    <w:p w:rsidR="000A533F" w:rsidRDefault="000A533F" w:rsidP="000A533F">
      <w:pPr>
        <w:pStyle w:val="ListParagraph"/>
        <w:ind w:left="1440"/>
        <w:rPr>
          <w:b/>
          <w:sz w:val="24"/>
          <w:szCs w:val="24"/>
        </w:rPr>
      </w:pPr>
    </w:p>
    <w:p w:rsidR="00B50498" w:rsidRPr="00512B8E" w:rsidRDefault="00B50498" w:rsidP="00B50498">
      <w:pPr>
        <w:pStyle w:val="ListParagraph"/>
        <w:numPr>
          <w:ilvl w:val="0"/>
          <w:numId w:val="14"/>
        </w:numPr>
        <w:rPr>
          <w:b/>
          <w:sz w:val="24"/>
          <w:szCs w:val="24"/>
        </w:rPr>
      </w:pPr>
      <w:r w:rsidRPr="00512B8E">
        <w:rPr>
          <w:b/>
          <w:sz w:val="24"/>
          <w:szCs w:val="24"/>
        </w:rPr>
        <w:t>Financial Guidelines</w:t>
      </w:r>
    </w:p>
    <w:p w:rsidR="00B50498" w:rsidRDefault="00B50498" w:rsidP="00B50498">
      <w:pPr>
        <w:ind w:left="1440" w:firstLine="720"/>
        <w:rPr>
          <w:sz w:val="24"/>
          <w:szCs w:val="24"/>
        </w:rPr>
      </w:pPr>
      <w:r>
        <w:rPr>
          <w:sz w:val="24"/>
          <w:szCs w:val="24"/>
        </w:rPr>
        <w:t>The laboratory will have a set amount of funds allocated for continuing education.  It is the responsibility of the laboratory manager to see that the funds are distributed fairly.</w:t>
      </w:r>
    </w:p>
    <w:p w:rsidR="00B50498" w:rsidRDefault="00B50498" w:rsidP="00B50498">
      <w:pPr>
        <w:ind w:left="1440" w:firstLine="720"/>
        <w:rPr>
          <w:sz w:val="24"/>
          <w:szCs w:val="24"/>
        </w:rPr>
      </w:pPr>
      <w:r>
        <w:rPr>
          <w:sz w:val="24"/>
          <w:szCs w:val="24"/>
        </w:rPr>
        <w:t>Time off during scheduled work shifts will be allowed for continuing education programs sponsored by the Department of Laboratory Medicine</w:t>
      </w:r>
      <w:r w:rsidR="00801B4A">
        <w:rPr>
          <w:sz w:val="24"/>
          <w:szCs w:val="24"/>
        </w:rPr>
        <w:t xml:space="preserve"> or</w:t>
      </w:r>
      <w:r>
        <w:rPr>
          <w:sz w:val="24"/>
          <w:szCs w:val="24"/>
        </w:rPr>
        <w:t xml:space="preserve"> YNHH Medical Center</w:t>
      </w:r>
      <w:r w:rsidR="00801B4A">
        <w:rPr>
          <w:sz w:val="24"/>
          <w:szCs w:val="24"/>
        </w:rPr>
        <w:t>, if job-related</w:t>
      </w:r>
      <w:r>
        <w:rPr>
          <w:sz w:val="24"/>
          <w:szCs w:val="24"/>
        </w:rPr>
        <w:t>.</w:t>
      </w:r>
    </w:p>
    <w:p w:rsidR="00B50498" w:rsidRPr="00B50498" w:rsidRDefault="00B50498" w:rsidP="00B50498">
      <w:pPr>
        <w:ind w:left="1440" w:firstLine="720"/>
        <w:rPr>
          <w:sz w:val="24"/>
          <w:szCs w:val="24"/>
        </w:rPr>
      </w:pPr>
      <w:r>
        <w:rPr>
          <w:sz w:val="24"/>
          <w:szCs w:val="24"/>
        </w:rPr>
        <w:t>When a tech is not scheduled to work, attendance at continuing education programs will not count as time worked (unless the individual is specifically requested to attend by the department).  Techs are not paid to attend; they will just not have to use PTO if they attend during scheduled work time.  Overtime will not be paid to cover the workload.</w:t>
      </w:r>
    </w:p>
    <w:p w:rsidR="00B50498" w:rsidRPr="0041355E" w:rsidRDefault="00B50498" w:rsidP="00B50498">
      <w:pPr>
        <w:rPr>
          <w:sz w:val="24"/>
          <w:szCs w:val="24"/>
        </w:rPr>
      </w:pPr>
      <w:r>
        <w:rPr>
          <w:sz w:val="24"/>
          <w:szCs w:val="24"/>
        </w:rPr>
        <w:tab/>
      </w:r>
    </w:p>
    <w:p w:rsidR="00CB3634" w:rsidRPr="0041355E" w:rsidRDefault="00CB3634" w:rsidP="00CB3634">
      <w:pPr>
        <w:numPr>
          <w:ilvl w:val="0"/>
          <w:numId w:val="12"/>
        </w:numPr>
        <w:rPr>
          <w:b/>
          <w:sz w:val="24"/>
          <w:szCs w:val="24"/>
        </w:rPr>
      </w:pPr>
      <w:r w:rsidRPr="0041355E">
        <w:rPr>
          <w:b/>
          <w:sz w:val="24"/>
          <w:szCs w:val="24"/>
        </w:rPr>
        <w:t>HISTORY</w:t>
      </w:r>
    </w:p>
    <w:p w:rsidR="00CB3634" w:rsidRPr="0041355E" w:rsidRDefault="00CB3634" w:rsidP="00CB3634">
      <w:pPr>
        <w:ind w:left="720"/>
        <w:rPr>
          <w:sz w:val="24"/>
          <w:szCs w:val="24"/>
        </w:rPr>
      </w:pPr>
    </w:p>
    <w:p w:rsidR="000D3AF7" w:rsidRPr="0041355E" w:rsidRDefault="00600FD0" w:rsidP="000D3AF7">
      <w:pPr>
        <w:ind w:left="1080"/>
        <w:rPr>
          <w:sz w:val="24"/>
          <w:szCs w:val="24"/>
        </w:rPr>
      </w:pPr>
      <w:r>
        <w:rPr>
          <w:sz w:val="24"/>
          <w:szCs w:val="24"/>
        </w:rPr>
        <w:t xml:space="preserve">H-1 </w:t>
      </w:r>
      <w:proofErr w:type="gramStart"/>
      <w:r w:rsidR="006A7A7C">
        <w:rPr>
          <w:sz w:val="24"/>
        </w:rPr>
        <w:t>This</w:t>
      </w:r>
      <w:proofErr w:type="gramEnd"/>
      <w:r w:rsidR="006A7A7C">
        <w:rPr>
          <w:sz w:val="24"/>
        </w:rPr>
        <w:t xml:space="preserve"> proced</w:t>
      </w:r>
      <w:r w:rsidR="00BD017B">
        <w:rPr>
          <w:sz w:val="24"/>
        </w:rPr>
        <w:t>ure was written by A. Link on 6/25/2013</w:t>
      </w:r>
    </w:p>
    <w:p w:rsidR="00F74113" w:rsidRDefault="00F74113" w:rsidP="00CB3634">
      <w:pPr>
        <w:ind w:left="1080"/>
        <w:rPr>
          <w:sz w:val="24"/>
          <w:szCs w:val="24"/>
        </w:rPr>
      </w:pPr>
    </w:p>
    <w:p w:rsidR="000D3AF7" w:rsidRDefault="000D3AF7" w:rsidP="00CB3634">
      <w:pPr>
        <w:ind w:left="1080"/>
        <w:rPr>
          <w:sz w:val="24"/>
          <w:szCs w:val="24"/>
        </w:rPr>
      </w:pPr>
    </w:p>
    <w:p w:rsidR="000D3AF7" w:rsidRDefault="000D3AF7" w:rsidP="00CB3634">
      <w:pPr>
        <w:ind w:left="1080"/>
        <w:rPr>
          <w:sz w:val="24"/>
          <w:szCs w:val="24"/>
        </w:rPr>
      </w:pPr>
    </w:p>
    <w:p w:rsidR="000D3AF7" w:rsidRDefault="000D3AF7" w:rsidP="00CB3634">
      <w:pPr>
        <w:ind w:left="1080"/>
        <w:rPr>
          <w:sz w:val="24"/>
          <w:szCs w:val="24"/>
        </w:rPr>
      </w:pPr>
    </w:p>
    <w:p w:rsidR="000D3AF7" w:rsidRDefault="000D3AF7" w:rsidP="00CB3634">
      <w:pPr>
        <w:ind w:left="1080"/>
        <w:rPr>
          <w:sz w:val="24"/>
          <w:szCs w:val="24"/>
        </w:rPr>
      </w:pPr>
    </w:p>
    <w:p w:rsidR="000D3AF7" w:rsidRDefault="000D3AF7" w:rsidP="00CB3634">
      <w:pPr>
        <w:ind w:left="1080"/>
        <w:rPr>
          <w:sz w:val="24"/>
          <w:szCs w:val="24"/>
        </w:rPr>
      </w:pPr>
    </w:p>
    <w:p w:rsidR="000D3AF7" w:rsidRDefault="000D3AF7" w:rsidP="00CB3634">
      <w:pPr>
        <w:ind w:left="1080"/>
        <w:rPr>
          <w:sz w:val="24"/>
          <w:szCs w:val="24"/>
        </w:rPr>
      </w:pPr>
    </w:p>
    <w:p w:rsidR="000D3AF7" w:rsidRDefault="000D3AF7" w:rsidP="00CB3634">
      <w:pPr>
        <w:ind w:left="1080"/>
        <w:rPr>
          <w:sz w:val="24"/>
          <w:szCs w:val="24"/>
        </w:rPr>
      </w:pPr>
    </w:p>
    <w:p w:rsidR="000D3AF7" w:rsidRDefault="000D3AF7" w:rsidP="00B9223E">
      <w:pPr>
        <w:rPr>
          <w:sz w:val="24"/>
          <w:szCs w:val="24"/>
        </w:rPr>
      </w:pPr>
    </w:p>
    <w:p w:rsidR="000D3AF7" w:rsidRDefault="000D3AF7" w:rsidP="00CB3634">
      <w:pPr>
        <w:ind w:left="1080"/>
        <w:rPr>
          <w:sz w:val="24"/>
          <w:szCs w:val="24"/>
        </w:rPr>
      </w:pPr>
    </w:p>
    <w:p w:rsidR="000D3AF7" w:rsidRDefault="000D3AF7" w:rsidP="00CB3634">
      <w:pPr>
        <w:ind w:left="1080"/>
        <w:rPr>
          <w:sz w:val="24"/>
          <w:szCs w:val="24"/>
        </w:rPr>
      </w:pPr>
    </w:p>
    <w:p w:rsidR="00B553A1" w:rsidRDefault="00B553A1" w:rsidP="00CB3634">
      <w:pPr>
        <w:ind w:left="1080"/>
        <w:rPr>
          <w:sz w:val="24"/>
          <w:szCs w:val="24"/>
        </w:rPr>
      </w:pPr>
    </w:p>
    <w:p w:rsidR="00B553A1" w:rsidRDefault="00B553A1" w:rsidP="00CB3634">
      <w:pPr>
        <w:ind w:left="1080"/>
        <w:rPr>
          <w:sz w:val="24"/>
          <w:szCs w:val="24"/>
        </w:rPr>
      </w:pPr>
    </w:p>
    <w:p w:rsidR="00B553A1" w:rsidRDefault="00B553A1" w:rsidP="00CB3634">
      <w:pPr>
        <w:ind w:left="1080"/>
        <w:rPr>
          <w:sz w:val="24"/>
          <w:szCs w:val="24"/>
        </w:rPr>
      </w:pPr>
    </w:p>
    <w:p w:rsidR="00B553A1" w:rsidRDefault="00B553A1" w:rsidP="00CB3634">
      <w:pPr>
        <w:ind w:left="1080"/>
        <w:rPr>
          <w:sz w:val="24"/>
          <w:szCs w:val="24"/>
        </w:rPr>
      </w:pPr>
    </w:p>
    <w:p w:rsidR="00B553A1" w:rsidRDefault="00B553A1" w:rsidP="00CB3634">
      <w:pPr>
        <w:ind w:left="1080"/>
        <w:rPr>
          <w:sz w:val="24"/>
          <w:szCs w:val="24"/>
        </w:rPr>
      </w:pPr>
    </w:p>
    <w:p w:rsidR="00B553A1" w:rsidRDefault="00B553A1" w:rsidP="00CB3634">
      <w:pPr>
        <w:ind w:left="1080"/>
        <w:rPr>
          <w:sz w:val="24"/>
          <w:szCs w:val="24"/>
        </w:rPr>
      </w:pPr>
    </w:p>
    <w:p w:rsidR="00B553A1" w:rsidRDefault="00B553A1" w:rsidP="00CB3634">
      <w:pPr>
        <w:ind w:left="1080"/>
        <w:rPr>
          <w:sz w:val="24"/>
          <w:szCs w:val="24"/>
        </w:rPr>
      </w:pPr>
    </w:p>
    <w:p w:rsidR="00B553A1" w:rsidRDefault="00B553A1" w:rsidP="00CB3634">
      <w:pPr>
        <w:ind w:left="1080"/>
        <w:rPr>
          <w:sz w:val="24"/>
          <w:szCs w:val="24"/>
        </w:rPr>
      </w:pPr>
    </w:p>
    <w:p w:rsidR="00327AB5" w:rsidRDefault="00327AB5" w:rsidP="00327AB5">
      <w:pPr>
        <w:rPr>
          <w:sz w:val="24"/>
          <w:szCs w:val="24"/>
        </w:rPr>
        <w:sectPr w:rsidR="00327AB5" w:rsidSect="00327AB5">
          <w:headerReference w:type="default" r:id="rId8"/>
          <w:pgSz w:w="12240" w:h="15840" w:code="1"/>
          <w:pgMar w:top="1440" w:right="1440" w:bottom="1440" w:left="1440" w:header="720" w:footer="720" w:gutter="0"/>
          <w:cols w:space="720"/>
          <w:docGrid w:linePitch="360"/>
        </w:sectPr>
      </w:pPr>
    </w:p>
    <w:p w:rsidR="00B553A1" w:rsidRPr="00327AB5" w:rsidRDefault="00B553A1" w:rsidP="00327AB5">
      <w:pPr>
        <w:rPr>
          <w:sz w:val="24"/>
          <w:szCs w:val="24"/>
        </w:rPr>
      </w:pPr>
    </w:p>
    <w:tbl>
      <w:tblPr>
        <w:tblW w:w="10724" w:type="dxa"/>
        <w:tblInd w:w="93" w:type="dxa"/>
        <w:tblLook w:val="04A0"/>
      </w:tblPr>
      <w:tblGrid>
        <w:gridCol w:w="960"/>
        <w:gridCol w:w="1125"/>
        <w:gridCol w:w="960"/>
        <w:gridCol w:w="969"/>
        <w:gridCol w:w="965"/>
        <w:gridCol w:w="960"/>
        <w:gridCol w:w="820"/>
        <w:gridCol w:w="48"/>
        <w:gridCol w:w="816"/>
        <w:gridCol w:w="533"/>
        <w:gridCol w:w="820"/>
        <w:gridCol w:w="219"/>
        <w:gridCol w:w="441"/>
        <w:gridCol w:w="1088"/>
      </w:tblGrid>
      <w:tr w:rsidR="00B553A1" w:rsidRPr="00327AB5" w:rsidTr="0008199C">
        <w:trPr>
          <w:gridAfter w:val="3"/>
          <w:wAfter w:w="1748" w:type="dxa"/>
          <w:trHeight w:val="300"/>
        </w:trPr>
        <w:tc>
          <w:tcPr>
            <w:tcW w:w="3045" w:type="dxa"/>
            <w:gridSpan w:val="3"/>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Yale-New Haven Hospital</w:t>
            </w: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2217" w:type="dxa"/>
            <w:gridSpan w:val="4"/>
            <w:tcBorders>
              <w:top w:val="single" w:sz="4" w:space="0" w:color="auto"/>
              <w:left w:val="single" w:sz="4" w:space="0" w:color="auto"/>
              <w:bottom w:val="nil"/>
              <w:right w:val="single" w:sz="4" w:space="0" w:color="000000"/>
            </w:tcBorders>
            <w:shd w:val="clear" w:color="auto" w:fill="auto"/>
            <w:noWrap/>
            <w:vAlign w:val="bottom"/>
            <w:hideMark/>
          </w:tcPr>
          <w:p w:rsidR="00B553A1" w:rsidRPr="00327AB5" w:rsidRDefault="00B553A1" w:rsidP="00513846">
            <w:pPr>
              <w:rPr>
                <w:color w:val="000000"/>
                <w:sz w:val="22"/>
                <w:szCs w:val="22"/>
              </w:rPr>
            </w:pPr>
            <w:r w:rsidRPr="00327AB5">
              <w:rPr>
                <w:color w:val="000000"/>
                <w:sz w:val="22"/>
                <w:szCs w:val="22"/>
              </w:rPr>
              <w:t>H-</w:t>
            </w:r>
            <w:r w:rsidR="00513846">
              <w:rPr>
                <w:color w:val="000000"/>
                <w:sz w:val="22"/>
                <w:szCs w:val="22"/>
              </w:rPr>
              <w:t>07-022</w:t>
            </w:r>
          </w:p>
        </w:tc>
      </w:tr>
      <w:tr w:rsidR="00B553A1" w:rsidRPr="00327AB5" w:rsidTr="0008199C">
        <w:trPr>
          <w:gridAfter w:val="3"/>
          <w:wAfter w:w="1748" w:type="dxa"/>
          <w:trHeight w:val="300"/>
        </w:trPr>
        <w:tc>
          <w:tcPr>
            <w:tcW w:w="2085" w:type="dxa"/>
            <w:gridSpan w:val="2"/>
            <w:tcBorders>
              <w:top w:val="nil"/>
              <w:left w:val="nil"/>
              <w:bottom w:val="nil"/>
              <w:right w:val="nil"/>
            </w:tcBorders>
            <w:shd w:val="clear" w:color="auto" w:fill="auto"/>
            <w:noWrap/>
            <w:vAlign w:val="bottom"/>
            <w:hideMark/>
          </w:tcPr>
          <w:p w:rsidR="00B553A1" w:rsidRPr="00327AB5" w:rsidRDefault="00327AB5" w:rsidP="00A32E2C">
            <w:pPr>
              <w:ind w:right="-273"/>
              <w:rPr>
                <w:color w:val="000000"/>
                <w:sz w:val="22"/>
                <w:szCs w:val="22"/>
              </w:rPr>
            </w:pPr>
            <w:r w:rsidRPr="00327AB5">
              <w:rPr>
                <w:color w:val="000000"/>
                <w:sz w:val="22"/>
                <w:szCs w:val="22"/>
              </w:rPr>
              <w:t xml:space="preserve">Clinical </w:t>
            </w:r>
            <w:r w:rsidR="00B553A1" w:rsidRPr="00327AB5">
              <w:rPr>
                <w:color w:val="000000"/>
                <w:sz w:val="22"/>
                <w:szCs w:val="22"/>
              </w:rPr>
              <w:t>Hematology</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2217" w:type="dxa"/>
            <w:gridSpan w:val="4"/>
            <w:tcBorders>
              <w:top w:val="nil"/>
              <w:left w:val="single" w:sz="4" w:space="0" w:color="auto"/>
              <w:bottom w:val="single" w:sz="4" w:space="0" w:color="auto"/>
              <w:right w:val="single" w:sz="4" w:space="0" w:color="000000"/>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Appendix A</w:t>
            </w:r>
          </w:p>
        </w:tc>
      </w:tr>
      <w:tr w:rsidR="00B553A1" w:rsidRPr="00327AB5" w:rsidTr="0008199C">
        <w:trPr>
          <w:gridAfter w:val="3"/>
          <w:wAfter w:w="1748" w:type="dxa"/>
          <w:trHeight w:val="300"/>
        </w:trPr>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1353"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r>
      <w:tr w:rsidR="00B553A1" w:rsidRPr="00327AB5" w:rsidTr="0008199C">
        <w:trPr>
          <w:gridAfter w:val="3"/>
          <w:wAfter w:w="1748" w:type="dxa"/>
          <w:trHeight w:val="525"/>
        </w:trPr>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4674" w:type="dxa"/>
            <w:gridSpan w:val="5"/>
            <w:tcBorders>
              <w:top w:val="nil"/>
              <w:left w:val="nil"/>
              <w:bottom w:val="nil"/>
              <w:right w:val="nil"/>
            </w:tcBorders>
            <w:shd w:val="clear" w:color="auto" w:fill="auto"/>
            <w:noWrap/>
            <w:vAlign w:val="bottom"/>
            <w:hideMark/>
          </w:tcPr>
          <w:p w:rsidR="00B553A1" w:rsidRPr="00327AB5" w:rsidRDefault="00B553A1" w:rsidP="00A32E2C">
            <w:pPr>
              <w:jc w:val="center"/>
              <w:rPr>
                <w:b/>
                <w:bCs/>
                <w:color w:val="000000"/>
                <w:sz w:val="40"/>
                <w:szCs w:val="40"/>
              </w:rPr>
            </w:pPr>
            <w:r w:rsidRPr="00327AB5">
              <w:rPr>
                <w:b/>
                <w:bCs/>
                <w:color w:val="000000"/>
                <w:sz w:val="40"/>
                <w:szCs w:val="40"/>
              </w:rPr>
              <w:t>Continuing Education Log</w:t>
            </w: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1353"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r>
      <w:tr w:rsidR="00B553A1" w:rsidRPr="00327AB5" w:rsidTr="0008199C">
        <w:trPr>
          <w:gridAfter w:val="3"/>
          <w:wAfter w:w="1748" w:type="dxa"/>
          <w:trHeight w:val="375"/>
        </w:trPr>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8"/>
                <w:szCs w:val="28"/>
              </w:rPr>
            </w:pPr>
            <w:r w:rsidRPr="00327AB5">
              <w:rPr>
                <w:color w:val="000000"/>
                <w:sz w:val="28"/>
                <w:szCs w:val="28"/>
              </w:rPr>
              <w:t>Name:</w:t>
            </w:r>
          </w:p>
        </w:tc>
        <w:tc>
          <w:tcPr>
            <w:tcW w:w="96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1353"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r>
      <w:tr w:rsidR="00B553A1" w:rsidRPr="00327AB5" w:rsidTr="0008199C">
        <w:trPr>
          <w:gridAfter w:val="3"/>
          <w:wAfter w:w="1748" w:type="dxa"/>
          <w:trHeight w:val="375"/>
        </w:trPr>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8"/>
                <w:szCs w:val="28"/>
              </w:rPr>
            </w:pPr>
            <w:r w:rsidRPr="00327AB5">
              <w:rPr>
                <w:color w:val="000000"/>
                <w:sz w:val="28"/>
                <w:szCs w:val="28"/>
              </w:rPr>
              <w:t>Year:</w:t>
            </w:r>
          </w:p>
        </w:tc>
        <w:tc>
          <w:tcPr>
            <w:tcW w:w="96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1353"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r>
      <w:tr w:rsidR="00B553A1" w:rsidRPr="00327AB5" w:rsidTr="0008199C">
        <w:trPr>
          <w:gridAfter w:val="3"/>
          <w:wAfter w:w="1748" w:type="dxa"/>
          <w:trHeight w:val="300"/>
        </w:trPr>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1353"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r>
      <w:tr w:rsidR="00B553A1" w:rsidRPr="00327AB5" w:rsidTr="0008199C">
        <w:trPr>
          <w:gridAfter w:val="3"/>
          <w:wAfter w:w="1748" w:type="dxa"/>
          <w:trHeight w:val="300"/>
        </w:trPr>
        <w:tc>
          <w:tcPr>
            <w:tcW w:w="2085"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Course Name</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193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Accreditation Agency</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Date(s)</w:t>
            </w:r>
          </w:p>
        </w:tc>
        <w:tc>
          <w:tcPr>
            <w:tcW w:w="1353"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No. of Hours</w:t>
            </w:r>
          </w:p>
        </w:tc>
      </w:tr>
      <w:tr w:rsidR="00B553A1" w:rsidRPr="00327AB5" w:rsidTr="0008199C">
        <w:trPr>
          <w:gridAfter w:val="3"/>
          <w:wAfter w:w="1748" w:type="dxa"/>
          <w:trHeight w:val="300"/>
        </w:trPr>
        <w:tc>
          <w:tcPr>
            <w:tcW w:w="960" w:type="dxa"/>
            <w:tcBorders>
              <w:top w:val="single" w:sz="4" w:space="0" w:color="auto"/>
              <w:left w:val="single" w:sz="4" w:space="0" w:color="auto"/>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single" w:sz="4" w:space="0" w:color="auto"/>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single" w:sz="4" w:space="0" w:color="auto"/>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single" w:sz="4" w:space="0" w:color="auto"/>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single" w:sz="4" w:space="0" w:color="auto"/>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single" w:sz="4" w:space="0" w:color="auto"/>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single" w:sz="4" w:space="0" w:color="auto"/>
              <w:left w:val="nil"/>
              <w:bottom w:val="nil"/>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single" w:sz="4" w:space="0" w:color="auto"/>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nil"/>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single" w:sz="4" w:space="0" w:color="auto"/>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nil"/>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single" w:sz="4" w:space="0" w:color="auto"/>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nil"/>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single" w:sz="4" w:space="0" w:color="auto"/>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nil"/>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single" w:sz="4" w:space="0" w:color="auto"/>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nil"/>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single" w:sz="4" w:space="0" w:color="auto"/>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nil"/>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single" w:sz="4" w:space="0" w:color="auto"/>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nil"/>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single" w:sz="4" w:space="0" w:color="auto"/>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nil"/>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single" w:sz="4" w:space="0" w:color="auto"/>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nil"/>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single" w:sz="4" w:space="0" w:color="auto"/>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nil"/>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single" w:sz="4" w:space="0" w:color="auto"/>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nil"/>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single" w:sz="4" w:space="0" w:color="auto"/>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nil"/>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single" w:sz="4" w:space="0" w:color="auto"/>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nil"/>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single" w:sz="4" w:space="0" w:color="auto"/>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nil"/>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nil"/>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B553A1" w:rsidRPr="00327AB5" w:rsidTr="0008199C">
        <w:trPr>
          <w:gridAfter w:val="3"/>
          <w:wAfter w:w="1748"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12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9"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5"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20" w:type="dxa"/>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864" w:type="dxa"/>
            <w:gridSpan w:val="2"/>
            <w:tcBorders>
              <w:top w:val="nil"/>
              <w:left w:val="nil"/>
              <w:bottom w:val="single" w:sz="4" w:space="0" w:color="auto"/>
              <w:right w:val="nil"/>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c>
          <w:tcPr>
            <w:tcW w:w="1353" w:type="dxa"/>
            <w:gridSpan w:val="2"/>
            <w:tcBorders>
              <w:top w:val="nil"/>
              <w:left w:val="nil"/>
              <w:bottom w:val="single" w:sz="4" w:space="0" w:color="auto"/>
              <w:right w:val="single" w:sz="4" w:space="0" w:color="auto"/>
            </w:tcBorders>
            <w:shd w:val="clear" w:color="auto" w:fill="auto"/>
            <w:noWrap/>
            <w:vAlign w:val="bottom"/>
            <w:hideMark/>
          </w:tcPr>
          <w:p w:rsidR="00B553A1" w:rsidRPr="00327AB5" w:rsidRDefault="00B553A1" w:rsidP="00B553A1">
            <w:pPr>
              <w:rPr>
                <w:color w:val="000000"/>
                <w:sz w:val="22"/>
                <w:szCs w:val="22"/>
              </w:rPr>
            </w:pPr>
            <w:r w:rsidRPr="00327AB5">
              <w:rPr>
                <w:color w:val="000000"/>
                <w:sz w:val="22"/>
                <w:szCs w:val="22"/>
              </w:rPr>
              <w:t> </w:t>
            </w:r>
          </w:p>
        </w:tc>
      </w:tr>
      <w:tr w:rsidR="00327AB5" w:rsidRPr="00327AB5" w:rsidTr="0008199C">
        <w:trPr>
          <w:trHeight w:val="300"/>
        </w:trPr>
        <w:tc>
          <w:tcPr>
            <w:tcW w:w="960" w:type="dxa"/>
            <w:tcBorders>
              <w:top w:val="nil"/>
              <w:left w:val="nil"/>
              <w:bottom w:val="nil"/>
              <w:right w:val="nil"/>
            </w:tcBorders>
            <w:shd w:val="clear" w:color="auto" w:fill="auto"/>
            <w:noWrap/>
            <w:vAlign w:val="bottom"/>
            <w:hideMark/>
          </w:tcPr>
          <w:p w:rsidR="00327AB5" w:rsidRPr="00327AB5" w:rsidRDefault="00327AB5" w:rsidP="00B553A1">
            <w:pPr>
              <w:rPr>
                <w:color w:val="000000"/>
                <w:sz w:val="22"/>
                <w:szCs w:val="22"/>
              </w:rPr>
            </w:pPr>
          </w:p>
        </w:tc>
        <w:tc>
          <w:tcPr>
            <w:tcW w:w="1125" w:type="dxa"/>
            <w:tcBorders>
              <w:top w:val="nil"/>
              <w:left w:val="nil"/>
              <w:bottom w:val="nil"/>
              <w:right w:val="nil"/>
            </w:tcBorders>
            <w:shd w:val="clear" w:color="auto" w:fill="auto"/>
            <w:noWrap/>
            <w:vAlign w:val="bottom"/>
            <w:hideMark/>
          </w:tcPr>
          <w:p w:rsidR="00327AB5" w:rsidRPr="00327AB5" w:rsidRDefault="00327AB5" w:rsidP="00B553A1">
            <w:pPr>
              <w:rPr>
                <w:color w:val="000000"/>
                <w:sz w:val="22"/>
                <w:szCs w:val="22"/>
              </w:rPr>
            </w:pPr>
          </w:p>
        </w:tc>
        <w:tc>
          <w:tcPr>
            <w:tcW w:w="960" w:type="dxa"/>
            <w:tcBorders>
              <w:top w:val="nil"/>
              <w:left w:val="nil"/>
              <w:bottom w:val="nil"/>
              <w:right w:val="nil"/>
            </w:tcBorders>
            <w:shd w:val="clear" w:color="auto" w:fill="auto"/>
            <w:noWrap/>
            <w:vAlign w:val="bottom"/>
            <w:hideMark/>
          </w:tcPr>
          <w:p w:rsidR="00327AB5" w:rsidRPr="00327AB5" w:rsidRDefault="00327AB5" w:rsidP="00B553A1">
            <w:pPr>
              <w:rPr>
                <w:color w:val="000000"/>
                <w:sz w:val="22"/>
                <w:szCs w:val="22"/>
              </w:rPr>
            </w:pPr>
          </w:p>
        </w:tc>
        <w:tc>
          <w:tcPr>
            <w:tcW w:w="969" w:type="dxa"/>
            <w:tcBorders>
              <w:top w:val="nil"/>
              <w:left w:val="nil"/>
              <w:bottom w:val="nil"/>
              <w:right w:val="nil"/>
            </w:tcBorders>
            <w:shd w:val="clear" w:color="auto" w:fill="auto"/>
            <w:noWrap/>
            <w:vAlign w:val="bottom"/>
            <w:hideMark/>
          </w:tcPr>
          <w:p w:rsidR="00327AB5" w:rsidRPr="00327AB5" w:rsidRDefault="00327AB5" w:rsidP="00B553A1">
            <w:pPr>
              <w:rPr>
                <w:color w:val="000000"/>
                <w:sz w:val="22"/>
                <w:szCs w:val="22"/>
              </w:rPr>
            </w:pPr>
          </w:p>
        </w:tc>
        <w:tc>
          <w:tcPr>
            <w:tcW w:w="965" w:type="dxa"/>
            <w:tcBorders>
              <w:top w:val="nil"/>
              <w:left w:val="nil"/>
              <w:bottom w:val="nil"/>
              <w:right w:val="nil"/>
            </w:tcBorders>
            <w:shd w:val="clear" w:color="auto" w:fill="auto"/>
            <w:noWrap/>
            <w:vAlign w:val="bottom"/>
            <w:hideMark/>
          </w:tcPr>
          <w:p w:rsidR="00327AB5" w:rsidRPr="00327AB5" w:rsidRDefault="00327AB5" w:rsidP="00B553A1">
            <w:pPr>
              <w:rPr>
                <w:color w:val="000000"/>
                <w:sz w:val="22"/>
                <w:szCs w:val="22"/>
              </w:rPr>
            </w:pPr>
          </w:p>
        </w:tc>
        <w:tc>
          <w:tcPr>
            <w:tcW w:w="960" w:type="dxa"/>
            <w:tcBorders>
              <w:top w:val="nil"/>
              <w:left w:val="nil"/>
              <w:bottom w:val="nil"/>
              <w:right w:val="nil"/>
            </w:tcBorders>
            <w:shd w:val="clear" w:color="auto" w:fill="auto"/>
            <w:noWrap/>
            <w:vAlign w:val="bottom"/>
            <w:hideMark/>
          </w:tcPr>
          <w:p w:rsidR="00327AB5" w:rsidRPr="00327AB5" w:rsidRDefault="00327AB5" w:rsidP="00B553A1">
            <w:pPr>
              <w:rPr>
                <w:color w:val="000000"/>
                <w:sz w:val="22"/>
                <w:szCs w:val="22"/>
              </w:rPr>
            </w:pPr>
          </w:p>
        </w:tc>
        <w:tc>
          <w:tcPr>
            <w:tcW w:w="868" w:type="dxa"/>
            <w:gridSpan w:val="2"/>
            <w:tcBorders>
              <w:top w:val="nil"/>
              <w:left w:val="nil"/>
              <w:bottom w:val="nil"/>
              <w:right w:val="nil"/>
            </w:tcBorders>
            <w:shd w:val="clear" w:color="auto" w:fill="auto"/>
            <w:noWrap/>
            <w:vAlign w:val="bottom"/>
            <w:hideMark/>
          </w:tcPr>
          <w:p w:rsidR="00327AB5" w:rsidRPr="00327AB5" w:rsidRDefault="00327AB5" w:rsidP="00B553A1">
            <w:pPr>
              <w:rPr>
                <w:color w:val="000000"/>
                <w:sz w:val="22"/>
                <w:szCs w:val="22"/>
              </w:rPr>
            </w:pPr>
          </w:p>
        </w:tc>
        <w:tc>
          <w:tcPr>
            <w:tcW w:w="1349" w:type="dxa"/>
            <w:gridSpan w:val="2"/>
            <w:tcBorders>
              <w:top w:val="nil"/>
              <w:left w:val="nil"/>
              <w:bottom w:val="nil"/>
              <w:right w:val="nil"/>
            </w:tcBorders>
            <w:shd w:val="clear" w:color="auto" w:fill="auto"/>
            <w:noWrap/>
            <w:vAlign w:val="bottom"/>
            <w:hideMark/>
          </w:tcPr>
          <w:p w:rsidR="00327AB5" w:rsidRPr="00327AB5" w:rsidRDefault="00327AB5" w:rsidP="00FD0093">
            <w:pPr>
              <w:rPr>
                <w:color w:val="000000"/>
                <w:sz w:val="22"/>
                <w:szCs w:val="22"/>
              </w:rPr>
            </w:pPr>
            <w:r w:rsidRPr="00327AB5">
              <w:rPr>
                <w:color w:val="000000"/>
                <w:sz w:val="22"/>
                <w:szCs w:val="22"/>
              </w:rPr>
              <w:t>Written:</w:t>
            </w:r>
          </w:p>
        </w:tc>
        <w:tc>
          <w:tcPr>
            <w:tcW w:w="1480" w:type="dxa"/>
            <w:gridSpan w:val="3"/>
            <w:vAlign w:val="bottom"/>
          </w:tcPr>
          <w:p w:rsidR="00327AB5" w:rsidRPr="00327AB5" w:rsidRDefault="00327AB5" w:rsidP="00FD0093">
            <w:pPr>
              <w:rPr>
                <w:color w:val="000000"/>
                <w:sz w:val="22"/>
                <w:szCs w:val="22"/>
              </w:rPr>
            </w:pPr>
            <w:r w:rsidRPr="00327AB5">
              <w:rPr>
                <w:color w:val="000000"/>
                <w:sz w:val="22"/>
                <w:szCs w:val="22"/>
              </w:rPr>
              <w:t>ADL</w:t>
            </w:r>
          </w:p>
        </w:tc>
        <w:tc>
          <w:tcPr>
            <w:tcW w:w="1088" w:type="dxa"/>
            <w:vAlign w:val="bottom"/>
          </w:tcPr>
          <w:p w:rsidR="00327AB5" w:rsidRPr="00327AB5" w:rsidRDefault="00327AB5" w:rsidP="00327AB5">
            <w:pPr>
              <w:rPr>
                <w:color w:val="000000"/>
                <w:sz w:val="22"/>
                <w:szCs w:val="22"/>
              </w:rPr>
            </w:pPr>
          </w:p>
        </w:tc>
      </w:tr>
      <w:tr w:rsidR="00327AB5" w:rsidRPr="00327AB5" w:rsidTr="0008199C">
        <w:trPr>
          <w:gridAfter w:val="2"/>
          <w:wAfter w:w="1529" w:type="dxa"/>
          <w:trHeight w:val="300"/>
        </w:trPr>
        <w:tc>
          <w:tcPr>
            <w:tcW w:w="960" w:type="dxa"/>
            <w:tcBorders>
              <w:top w:val="nil"/>
              <w:left w:val="nil"/>
              <w:bottom w:val="nil"/>
              <w:right w:val="nil"/>
            </w:tcBorders>
            <w:shd w:val="clear" w:color="auto" w:fill="auto"/>
            <w:noWrap/>
            <w:vAlign w:val="bottom"/>
            <w:hideMark/>
          </w:tcPr>
          <w:p w:rsidR="00327AB5" w:rsidRPr="00327AB5" w:rsidRDefault="00327AB5" w:rsidP="00B553A1">
            <w:pPr>
              <w:rPr>
                <w:color w:val="000000"/>
                <w:sz w:val="22"/>
                <w:szCs w:val="22"/>
              </w:rPr>
            </w:pPr>
          </w:p>
        </w:tc>
        <w:tc>
          <w:tcPr>
            <w:tcW w:w="1125" w:type="dxa"/>
            <w:tcBorders>
              <w:top w:val="nil"/>
              <w:left w:val="nil"/>
              <w:bottom w:val="nil"/>
              <w:right w:val="nil"/>
            </w:tcBorders>
            <w:shd w:val="clear" w:color="auto" w:fill="auto"/>
            <w:noWrap/>
            <w:vAlign w:val="bottom"/>
            <w:hideMark/>
          </w:tcPr>
          <w:p w:rsidR="00327AB5" w:rsidRPr="00327AB5" w:rsidRDefault="00327AB5" w:rsidP="00B553A1">
            <w:pPr>
              <w:rPr>
                <w:color w:val="000000"/>
                <w:sz w:val="22"/>
                <w:szCs w:val="22"/>
              </w:rPr>
            </w:pPr>
          </w:p>
        </w:tc>
        <w:tc>
          <w:tcPr>
            <w:tcW w:w="960" w:type="dxa"/>
            <w:tcBorders>
              <w:top w:val="nil"/>
              <w:left w:val="nil"/>
              <w:bottom w:val="nil"/>
              <w:right w:val="nil"/>
            </w:tcBorders>
            <w:shd w:val="clear" w:color="auto" w:fill="auto"/>
            <w:noWrap/>
            <w:vAlign w:val="bottom"/>
            <w:hideMark/>
          </w:tcPr>
          <w:p w:rsidR="00327AB5" w:rsidRPr="00327AB5" w:rsidRDefault="00327AB5" w:rsidP="00B553A1">
            <w:pPr>
              <w:rPr>
                <w:color w:val="000000"/>
                <w:sz w:val="22"/>
                <w:szCs w:val="22"/>
              </w:rPr>
            </w:pPr>
          </w:p>
        </w:tc>
        <w:tc>
          <w:tcPr>
            <w:tcW w:w="969" w:type="dxa"/>
            <w:tcBorders>
              <w:top w:val="nil"/>
              <w:left w:val="nil"/>
              <w:bottom w:val="nil"/>
              <w:right w:val="nil"/>
            </w:tcBorders>
            <w:shd w:val="clear" w:color="auto" w:fill="auto"/>
            <w:noWrap/>
            <w:vAlign w:val="bottom"/>
            <w:hideMark/>
          </w:tcPr>
          <w:p w:rsidR="00327AB5" w:rsidRPr="00327AB5" w:rsidRDefault="00327AB5" w:rsidP="00B553A1">
            <w:pPr>
              <w:rPr>
                <w:color w:val="000000"/>
                <w:sz w:val="22"/>
                <w:szCs w:val="22"/>
              </w:rPr>
            </w:pPr>
          </w:p>
        </w:tc>
        <w:tc>
          <w:tcPr>
            <w:tcW w:w="965" w:type="dxa"/>
            <w:tcBorders>
              <w:top w:val="nil"/>
              <w:left w:val="nil"/>
              <w:bottom w:val="nil"/>
              <w:right w:val="nil"/>
            </w:tcBorders>
            <w:shd w:val="clear" w:color="auto" w:fill="auto"/>
            <w:noWrap/>
            <w:vAlign w:val="bottom"/>
            <w:hideMark/>
          </w:tcPr>
          <w:p w:rsidR="00327AB5" w:rsidRPr="00327AB5" w:rsidRDefault="00327AB5" w:rsidP="00B553A1">
            <w:pPr>
              <w:rPr>
                <w:color w:val="000000"/>
                <w:sz w:val="22"/>
                <w:szCs w:val="22"/>
              </w:rPr>
            </w:pPr>
          </w:p>
        </w:tc>
        <w:tc>
          <w:tcPr>
            <w:tcW w:w="960" w:type="dxa"/>
            <w:tcBorders>
              <w:top w:val="nil"/>
              <w:left w:val="nil"/>
              <w:bottom w:val="nil"/>
              <w:right w:val="nil"/>
            </w:tcBorders>
            <w:shd w:val="clear" w:color="auto" w:fill="auto"/>
            <w:noWrap/>
            <w:vAlign w:val="bottom"/>
            <w:hideMark/>
          </w:tcPr>
          <w:p w:rsidR="00327AB5" w:rsidRPr="00327AB5" w:rsidRDefault="00327AB5" w:rsidP="00B553A1">
            <w:pPr>
              <w:rPr>
                <w:color w:val="000000"/>
                <w:sz w:val="22"/>
                <w:szCs w:val="22"/>
              </w:rPr>
            </w:pPr>
          </w:p>
        </w:tc>
        <w:tc>
          <w:tcPr>
            <w:tcW w:w="820" w:type="dxa"/>
            <w:tcBorders>
              <w:top w:val="nil"/>
              <w:left w:val="nil"/>
              <w:bottom w:val="nil"/>
              <w:right w:val="nil"/>
            </w:tcBorders>
            <w:shd w:val="clear" w:color="auto" w:fill="auto"/>
            <w:noWrap/>
            <w:vAlign w:val="bottom"/>
            <w:hideMark/>
          </w:tcPr>
          <w:p w:rsidR="00327AB5" w:rsidRPr="00327AB5" w:rsidRDefault="00327AB5" w:rsidP="00B553A1">
            <w:pPr>
              <w:rPr>
                <w:color w:val="000000"/>
                <w:sz w:val="22"/>
                <w:szCs w:val="22"/>
              </w:rPr>
            </w:pPr>
          </w:p>
        </w:tc>
        <w:tc>
          <w:tcPr>
            <w:tcW w:w="864" w:type="dxa"/>
            <w:gridSpan w:val="2"/>
            <w:tcBorders>
              <w:top w:val="nil"/>
              <w:left w:val="nil"/>
              <w:bottom w:val="nil"/>
              <w:right w:val="nil"/>
            </w:tcBorders>
            <w:shd w:val="clear" w:color="auto" w:fill="auto"/>
            <w:noWrap/>
            <w:vAlign w:val="bottom"/>
            <w:hideMark/>
          </w:tcPr>
          <w:p w:rsidR="00327AB5" w:rsidRPr="00327AB5" w:rsidRDefault="00327AB5" w:rsidP="00B553A1">
            <w:pPr>
              <w:rPr>
                <w:color w:val="000000"/>
                <w:sz w:val="22"/>
                <w:szCs w:val="22"/>
              </w:rPr>
            </w:pPr>
          </w:p>
        </w:tc>
        <w:tc>
          <w:tcPr>
            <w:tcW w:w="1572" w:type="dxa"/>
            <w:gridSpan w:val="3"/>
            <w:tcBorders>
              <w:top w:val="nil"/>
              <w:left w:val="nil"/>
              <w:bottom w:val="nil"/>
              <w:right w:val="nil"/>
            </w:tcBorders>
            <w:shd w:val="clear" w:color="auto" w:fill="auto"/>
            <w:noWrap/>
            <w:vAlign w:val="bottom"/>
            <w:hideMark/>
          </w:tcPr>
          <w:p w:rsidR="00327AB5" w:rsidRPr="00327AB5" w:rsidRDefault="0008199C" w:rsidP="0008199C">
            <w:pPr>
              <w:ind w:left="-66" w:firstLine="66"/>
              <w:rPr>
                <w:color w:val="000000"/>
                <w:sz w:val="22"/>
                <w:szCs w:val="22"/>
              </w:rPr>
            </w:pPr>
            <w:r>
              <w:rPr>
                <w:color w:val="000000"/>
                <w:sz w:val="22"/>
                <w:szCs w:val="22"/>
              </w:rPr>
              <w:t>H-1 6/25/2013</w:t>
            </w:r>
          </w:p>
        </w:tc>
      </w:tr>
    </w:tbl>
    <w:p w:rsidR="00B553A1" w:rsidRPr="001E6807" w:rsidRDefault="00B553A1" w:rsidP="001E6807">
      <w:pPr>
        <w:tabs>
          <w:tab w:val="left" w:pos="1020"/>
        </w:tabs>
        <w:rPr>
          <w:b/>
          <w:sz w:val="24"/>
          <w:szCs w:val="24"/>
        </w:rPr>
      </w:pPr>
    </w:p>
    <w:sectPr w:rsidR="00B553A1" w:rsidRPr="001E6807" w:rsidSect="00327AB5">
      <w:headerReference w:type="default" r:id="rId9"/>
      <w:pgSz w:w="12240" w:h="15840" w:code="1"/>
      <w:pgMar w:top="72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10F" w:rsidRDefault="003A710F">
      <w:r>
        <w:separator/>
      </w:r>
    </w:p>
  </w:endnote>
  <w:endnote w:type="continuationSeparator" w:id="0">
    <w:p w:rsidR="003A710F" w:rsidRDefault="003A7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10F" w:rsidRDefault="003A710F">
      <w:r>
        <w:separator/>
      </w:r>
    </w:p>
  </w:footnote>
  <w:footnote w:type="continuationSeparator" w:id="0">
    <w:p w:rsidR="003A710F" w:rsidRDefault="003A7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980"/>
      <w:gridCol w:w="2438"/>
      <w:gridCol w:w="2422"/>
      <w:gridCol w:w="2520"/>
    </w:tblGrid>
    <w:tr w:rsidR="003D4776" w:rsidTr="00F74113">
      <w:trPr>
        <w:cantSplit/>
        <w:trHeight w:val="517"/>
      </w:trPr>
      <w:tc>
        <w:tcPr>
          <w:tcW w:w="1980" w:type="dxa"/>
          <w:vMerge w:val="restart"/>
          <w:tcBorders>
            <w:right w:val="single" w:sz="4" w:space="0" w:color="auto"/>
          </w:tcBorders>
        </w:tcPr>
        <w:p w:rsidR="003D4776" w:rsidRDefault="00074775" w:rsidP="008930AE">
          <w:pPr>
            <w:pStyle w:val="Header"/>
            <w:rPr>
              <w:b/>
              <w:sz w:val="16"/>
            </w:rPr>
          </w:pPr>
          <w:r>
            <w:rPr>
              <w:b/>
              <w:noProof/>
              <w:sz w:val="16"/>
            </w:rPr>
            <w:drawing>
              <wp:anchor distT="0" distB="0" distL="114300" distR="114300" simplePos="0" relativeHeight="251657728" behindDoc="0" locked="0" layoutInCell="0" allowOverlap="1">
                <wp:simplePos x="0" y="0"/>
                <wp:positionH relativeFrom="column">
                  <wp:posOffset>365760</wp:posOffset>
                </wp:positionH>
                <wp:positionV relativeFrom="paragraph">
                  <wp:posOffset>91440</wp:posOffset>
                </wp:positionV>
                <wp:extent cx="731520" cy="45720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1520" cy="457200"/>
                        </a:xfrm>
                        <a:prstGeom prst="rect">
                          <a:avLst/>
                        </a:prstGeom>
                        <a:noFill/>
                        <a:ln w="9525">
                          <a:noFill/>
                          <a:miter lim="800000"/>
                          <a:headEnd/>
                          <a:tailEnd/>
                        </a:ln>
                      </pic:spPr>
                    </pic:pic>
                  </a:graphicData>
                </a:graphic>
              </wp:anchor>
            </w:drawing>
          </w:r>
        </w:p>
      </w:tc>
      <w:tc>
        <w:tcPr>
          <w:tcW w:w="4860" w:type="dxa"/>
          <w:gridSpan w:val="2"/>
          <w:vMerge w:val="restart"/>
          <w:tcBorders>
            <w:left w:val="single" w:sz="4" w:space="0" w:color="auto"/>
            <w:right w:val="single" w:sz="4" w:space="0" w:color="auto"/>
          </w:tcBorders>
        </w:tcPr>
        <w:p w:rsidR="003D4776" w:rsidRPr="00E160E5" w:rsidRDefault="003D4776" w:rsidP="00F74113">
          <w:pPr>
            <w:pStyle w:val="Header"/>
            <w:rPr>
              <w:sz w:val="18"/>
              <w:szCs w:val="18"/>
            </w:rPr>
          </w:pPr>
          <w:r w:rsidRPr="00E160E5">
            <w:rPr>
              <w:sz w:val="18"/>
              <w:szCs w:val="18"/>
            </w:rPr>
            <w:t>TITLE:</w:t>
          </w:r>
        </w:p>
        <w:p w:rsidR="003D4776" w:rsidRDefault="003D4776" w:rsidP="00F74113">
          <w:pPr>
            <w:pStyle w:val="Header"/>
            <w:rPr>
              <w:b/>
              <w:sz w:val="24"/>
              <w:szCs w:val="24"/>
            </w:rPr>
          </w:pPr>
        </w:p>
        <w:p w:rsidR="003D4776" w:rsidRPr="008930AE" w:rsidRDefault="000D3AF7" w:rsidP="00F74113">
          <w:pPr>
            <w:pStyle w:val="Header"/>
            <w:rPr>
              <w:b/>
              <w:sz w:val="24"/>
              <w:szCs w:val="24"/>
            </w:rPr>
          </w:pPr>
          <w:r>
            <w:rPr>
              <w:b/>
              <w:sz w:val="24"/>
              <w:szCs w:val="24"/>
            </w:rPr>
            <w:t>Continuing Education</w:t>
          </w:r>
          <w:r w:rsidR="00EA23ED">
            <w:rPr>
              <w:b/>
              <w:sz w:val="24"/>
              <w:szCs w:val="24"/>
            </w:rPr>
            <w:t xml:space="preserve"> Policy</w:t>
          </w:r>
        </w:p>
      </w:tc>
      <w:tc>
        <w:tcPr>
          <w:tcW w:w="2520" w:type="dxa"/>
          <w:tcBorders>
            <w:left w:val="single" w:sz="4" w:space="0" w:color="auto"/>
            <w:bottom w:val="single" w:sz="4" w:space="0" w:color="auto"/>
          </w:tcBorders>
        </w:tcPr>
        <w:p w:rsidR="003D4776" w:rsidRPr="00E160E5" w:rsidRDefault="003D4776" w:rsidP="008930AE">
          <w:pPr>
            <w:pStyle w:val="Header"/>
            <w:rPr>
              <w:b/>
              <w:sz w:val="18"/>
              <w:szCs w:val="18"/>
            </w:rPr>
          </w:pPr>
          <w:r w:rsidRPr="00E160E5">
            <w:rPr>
              <w:b/>
              <w:sz w:val="18"/>
              <w:szCs w:val="18"/>
            </w:rPr>
            <w:t>DEPT OF LAB MEDICINE</w:t>
          </w:r>
        </w:p>
        <w:p w:rsidR="003D4776" w:rsidRPr="00E160E5" w:rsidRDefault="003D4776" w:rsidP="008930AE">
          <w:pPr>
            <w:pStyle w:val="Header"/>
            <w:rPr>
              <w:b/>
              <w:sz w:val="18"/>
              <w:szCs w:val="18"/>
            </w:rPr>
          </w:pPr>
          <w:r w:rsidRPr="00E160E5">
            <w:rPr>
              <w:b/>
              <w:sz w:val="18"/>
              <w:szCs w:val="18"/>
            </w:rPr>
            <w:t xml:space="preserve">CLINICAL </w:t>
          </w:r>
          <w:r>
            <w:rPr>
              <w:b/>
              <w:sz w:val="18"/>
              <w:szCs w:val="18"/>
            </w:rPr>
            <w:t>HEMATOLOGY</w:t>
          </w:r>
        </w:p>
        <w:p w:rsidR="003D4776" w:rsidRPr="002A51F1" w:rsidRDefault="00F74113" w:rsidP="008930AE">
          <w:pPr>
            <w:pStyle w:val="Header"/>
            <w:rPr>
              <w:b/>
              <w:sz w:val="16"/>
            </w:rPr>
          </w:pPr>
          <w:r>
            <w:rPr>
              <w:b/>
              <w:sz w:val="18"/>
              <w:szCs w:val="18"/>
            </w:rPr>
            <w:t xml:space="preserve">Policy and Procedure </w:t>
          </w:r>
          <w:r w:rsidR="003D4776" w:rsidRPr="00E160E5">
            <w:rPr>
              <w:b/>
              <w:sz w:val="18"/>
              <w:szCs w:val="18"/>
            </w:rPr>
            <w:t>Manual</w:t>
          </w:r>
        </w:p>
      </w:tc>
    </w:tr>
    <w:tr w:rsidR="003D4776">
      <w:trPr>
        <w:cantSplit/>
        <w:trHeight w:val="328"/>
      </w:trPr>
      <w:tc>
        <w:tcPr>
          <w:tcW w:w="1980" w:type="dxa"/>
          <w:vMerge/>
          <w:tcBorders>
            <w:right w:val="single" w:sz="4" w:space="0" w:color="auto"/>
          </w:tcBorders>
        </w:tcPr>
        <w:p w:rsidR="003D4776" w:rsidRDefault="003D4776" w:rsidP="008930AE">
          <w:pPr>
            <w:pStyle w:val="Header"/>
            <w:rPr>
              <w:b/>
              <w:noProof/>
              <w:sz w:val="16"/>
            </w:rPr>
          </w:pPr>
        </w:p>
      </w:tc>
      <w:tc>
        <w:tcPr>
          <w:tcW w:w="4860" w:type="dxa"/>
          <w:gridSpan w:val="2"/>
          <w:vMerge/>
          <w:tcBorders>
            <w:left w:val="single" w:sz="4" w:space="0" w:color="auto"/>
            <w:right w:val="single" w:sz="4" w:space="0" w:color="auto"/>
          </w:tcBorders>
        </w:tcPr>
        <w:p w:rsidR="003D4776" w:rsidRDefault="003D4776" w:rsidP="008930AE">
          <w:pPr>
            <w:pStyle w:val="Header"/>
            <w:rPr>
              <w:sz w:val="16"/>
            </w:rPr>
          </w:pPr>
        </w:p>
      </w:tc>
      <w:tc>
        <w:tcPr>
          <w:tcW w:w="2520" w:type="dxa"/>
          <w:tcBorders>
            <w:top w:val="single" w:sz="4" w:space="0" w:color="auto"/>
            <w:left w:val="single" w:sz="4" w:space="0" w:color="auto"/>
            <w:bottom w:val="single" w:sz="4" w:space="0" w:color="auto"/>
          </w:tcBorders>
        </w:tcPr>
        <w:p w:rsidR="003D4776" w:rsidRPr="00E160E5" w:rsidRDefault="003D4776" w:rsidP="008930AE">
          <w:pPr>
            <w:pStyle w:val="Header"/>
            <w:rPr>
              <w:b/>
              <w:sz w:val="18"/>
              <w:szCs w:val="18"/>
            </w:rPr>
          </w:pPr>
          <w:r w:rsidRPr="00E160E5">
            <w:rPr>
              <w:b/>
              <w:sz w:val="18"/>
              <w:szCs w:val="18"/>
            </w:rPr>
            <w:t>DOCUMENT #</w:t>
          </w:r>
          <w:r w:rsidR="00513846">
            <w:rPr>
              <w:b/>
              <w:sz w:val="18"/>
              <w:szCs w:val="18"/>
            </w:rPr>
            <w:t xml:space="preserve"> H-07-022</w:t>
          </w:r>
        </w:p>
        <w:p w:rsidR="003D4776" w:rsidRDefault="003D4776" w:rsidP="008930AE">
          <w:pPr>
            <w:pStyle w:val="Header"/>
            <w:rPr>
              <w:sz w:val="16"/>
            </w:rPr>
          </w:pPr>
        </w:p>
      </w:tc>
    </w:tr>
    <w:tr w:rsidR="003D4776">
      <w:trPr>
        <w:trHeight w:val="337"/>
      </w:trPr>
      <w:tc>
        <w:tcPr>
          <w:tcW w:w="1980" w:type="dxa"/>
          <w:vMerge/>
          <w:tcBorders>
            <w:bottom w:val="single" w:sz="4" w:space="0" w:color="auto"/>
            <w:right w:val="single" w:sz="4" w:space="0" w:color="auto"/>
          </w:tcBorders>
        </w:tcPr>
        <w:p w:rsidR="003D4776" w:rsidRDefault="003D4776" w:rsidP="008930AE">
          <w:pPr>
            <w:pStyle w:val="Header"/>
            <w:rPr>
              <w:sz w:val="16"/>
            </w:rPr>
          </w:pPr>
        </w:p>
      </w:tc>
      <w:tc>
        <w:tcPr>
          <w:tcW w:w="4860" w:type="dxa"/>
          <w:gridSpan w:val="2"/>
          <w:vMerge/>
          <w:tcBorders>
            <w:left w:val="single" w:sz="4" w:space="0" w:color="auto"/>
            <w:bottom w:val="single" w:sz="4" w:space="0" w:color="auto"/>
            <w:right w:val="single" w:sz="4" w:space="0" w:color="auto"/>
          </w:tcBorders>
        </w:tcPr>
        <w:p w:rsidR="003D4776" w:rsidRDefault="003D4776" w:rsidP="008930AE">
          <w:pPr>
            <w:pStyle w:val="Header"/>
            <w:rPr>
              <w:sz w:val="16"/>
            </w:rPr>
          </w:pPr>
        </w:p>
      </w:tc>
      <w:tc>
        <w:tcPr>
          <w:tcW w:w="2520" w:type="dxa"/>
          <w:tcBorders>
            <w:top w:val="single" w:sz="4" w:space="0" w:color="auto"/>
            <w:left w:val="single" w:sz="4" w:space="0" w:color="auto"/>
            <w:bottom w:val="single" w:sz="4" w:space="0" w:color="auto"/>
          </w:tcBorders>
        </w:tcPr>
        <w:p w:rsidR="003D4776" w:rsidRDefault="003D4776" w:rsidP="00A32E2C">
          <w:pPr>
            <w:pStyle w:val="Header"/>
          </w:pPr>
          <w:r>
            <w:rPr>
              <w:snapToGrid w:val="0"/>
            </w:rPr>
            <w:t xml:space="preserve">Page </w:t>
          </w:r>
          <w:r w:rsidR="00C63691">
            <w:rPr>
              <w:snapToGrid w:val="0"/>
            </w:rPr>
            <w:fldChar w:fldCharType="begin"/>
          </w:r>
          <w:r>
            <w:rPr>
              <w:snapToGrid w:val="0"/>
            </w:rPr>
            <w:instrText xml:space="preserve"> PAGE </w:instrText>
          </w:r>
          <w:r w:rsidR="00C63691">
            <w:rPr>
              <w:snapToGrid w:val="0"/>
            </w:rPr>
            <w:fldChar w:fldCharType="separate"/>
          </w:r>
          <w:r w:rsidR="0008199C">
            <w:rPr>
              <w:noProof/>
              <w:snapToGrid w:val="0"/>
            </w:rPr>
            <w:t>2</w:t>
          </w:r>
          <w:r w:rsidR="00C63691">
            <w:rPr>
              <w:snapToGrid w:val="0"/>
            </w:rPr>
            <w:fldChar w:fldCharType="end"/>
          </w:r>
          <w:r>
            <w:rPr>
              <w:snapToGrid w:val="0"/>
            </w:rPr>
            <w:t xml:space="preserve"> of </w:t>
          </w:r>
          <w:r w:rsidR="00A32E2C">
            <w:rPr>
              <w:snapToGrid w:val="0"/>
            </w:rPr>
            <w:t>2</w:t>
          </w:r>
          <w:r>
            <w:rPr>
              <w:snapToGrid w:val="0"/>
            </w:rPr>
            <w:tab/>
            <w:t xml:space="preserve">- </w:t>
          </w:r>
          <w:r w:rsidR="00C63691">
            <w:rPr>
              <w:snapToGrid w:val="0"/>
            </w:rPr>
            <w:fldChar w:fldCharType="begin"/>
          </w:r>
          <w:r>
            <w:rPr>
              <w:snapToGrid w:val="0"/>
            </w:rPr>
            <w:instrText xml:space="preserve"> PAGE </w:instrText>
          </w:r>
          <w:r w:rsidR="00C63691">
            <w:rPr>
              <w:snapToGrid w:val="0"/>
            </w:rPr>
            <w:fldChar w:fldCharType="separate"/>
          </w:r>
          <w:r w:rsidR="0008199C">
            <w:rPr>
              <w:noProof/>
              <w:snapToGrid w:val="0"/>
            </w:rPr>
            <w:t>2</w:t>
          </w:r>
          <w:r w:rsidR="00C63691">
            <w:rPr>
              <w:snapToGrid w:val="0"/>
            </w:rPr>
            <w:fldChar w:fldCharType="end"/>
          </w:r>
          <w:r>
            <w:rPr>
              <w:snapToGrid w:val="0"/>
            </w:rPr>
            <w:t xml:space="preserve"> -</w:t>
          </w:r>
        </w:p>
      </w:tc>
    </w:tr>
    <w:tr w:rsidR="003D4776">
      <w:trPr>
        <w:trHeight w:val="592"/>
      </w:trPr>
      <w:tc>
        <w:tcPr>
          <w:tcW w:w="1980" w:type="dxa"/>
          <w:tcBorders>
            <w:top w:val="single" w:sz="4" w:space="0" w:color="auto"/>
            <w:right w:val="single" w:sz="4" w:space="0" w:color="auto"/>
          </w:tcBorders>
        </w:tcPr>
        <w:p w:rsidR="003D4776" w:rsidRPr="00E160E5" w:rsidRDefault="003D4776" w:rsidP="008930AE">
          <w:pPr>
            <w:pStyle w:val="Header"/>
            <w:rPr>
              <w:b/>
              <w:sz w:val="18"/>
              <w:szCs w:val="18"/>
            </w:rPr>
          </w:pPr>
          <w:r w:rsidRPr="00E160E5">
            <w:rPr>
              <w:b/>
              <w:sz w:val="18"/>
              <w:szCs w:val="18"/>
            </w:rPr>
            <w:t>WRITTEN BY:</w:t>
          </w:r>
        </w:p>
        <w:p w:rsidR="003D4776" w:rsidRDefault="000D3AF7" w:rsidP="008930AE">
          <w:pPr>
            <w:pStyle w:val="Header"/>
            <w:rPr>
              <w:sz w:val="18"/>
              <w:szCs w:val="18"/>
            </w:rPr>
          </w:pPr>
          <w:r>
            <w:rPr>
              <w:sz w:val="18"/>
              <w:szCs w:val="18"/>
            </w:rPr>
            <w:t>Andrew Link,</w:t>
          </w:r>
        </w:p>
        <w:p w:rsidR="000D3AF7" w:rsidRPr="000D3AF7" w:rsidRDefault="000D3AF7" w:rsidP="008930AE">
          <w:pPr>
            <w:pStyle w:val="Header"/>
            <w:rPr>
              <w:sz w:val="18"/>
              <w:szCs w:val="18"/>
              <w:vertAlign w:val="superscript"/>
            </w:rPr>
          </w:pPr>
          <w:r>
            <w:rPr>
              <w:sz w:val="18"/>
              <w:szCs w:val="18"/>
            </w:rPr>
            <w:t>H (ASCP)</w:t>
          </w:r>
          <w:r>
            <w:rPr>
              <w:sz w:val="18"/>
              <w:szCs w:val="18"/>
              <w:vertAlign w:val="superscript"/>
            </w:rPr>
            <w:t>CM</w:t>
          </w:r>
        </w:p>
      </w:tc>
      <w:tc>
        <w:tcPr>
          <w:tcW w:w="2438" w:type="dxa"/>
          <w:tcBorders>
            <w:top w:val="single" w:sz="4" w:space="0" w:color="auto"/>
            <w:left w:val="single" w:sz="4" w:space="0" w:color="auto"/>
            <w:right w:val="single" w:sz="4" w:space="0" w:color="auto"/>
          </w:tcBorders>
        </w:tcPr>
        <w:p w:rsidR="003D4776" w:rsidRPr="00E160E5" w:rsidRDefault="003D4776" w:rsidP="008930AE">
          <w:pPr>
            <w:pStyle w:val="Header"/>
            <w:rPr>
              <w:b/>
              <w:sz w:val="18"/>
              <w:szCs w:val="18"/>
            </w:rPr>
          </w:pPr>
          <w:r w:rsidRPr="00E160E5">
            <w:rPr>
              <w:b/>
              <w:sz w:val="18"/>
              <w:szCs w:val="18"/>
            </w:rPr>
            <w:t>EFFECTIVE DATE:</w:t>
          </w:r>
        </w:p>
        <w:p w:rsidR="003D4776" w:rsidRPr="00E160E5" w:rsidRDefault="00513846" w:rsidP="008930AE">
          <w:pPr>
            <w:pStyle w:val="Header"/>
            <w:rPr>
              <w:sz w:val="18"/>
              <w:szCs w:val="18"/>
            </w:rPr>
          </w:pPr>
          <w:r>
            <w:rPr>
              <w:sz w:val="18"/>
              <w:szCs w:val="18"/>
            </w:rPr>
            <w:t>6/25/2013</w:t>
          </w:r>
        </w:p>
      </w:tc>
      <w:tc>
        <w:tcPr>
          <w:tcW w:w="2422" w:type="dxa"/>
          <w:tcBorders>
            <w:top w:val="single" w:sz="4" w:space="0" w:color="auto"/>
            <w:left w:val="single" w:sz="4" w:space="0" w:color="auto"/>
            <w:right w:val="single" w:sz="4" w:space="0" w:color="auto"/>
          </w:tcBorders>
        </w:tcPr>
        <w:p w:rsidR="003D4776" w:rsidRPr="00E160E5" w:rsidRDefault="003D4776" w:rsidP="008930AE">
          <w:pPr>
            <w:pStyle w:val="Header"/>
            <w:rPr>
              <w:b/>
              <w:sz w:val="18"/>
              <w:szCs w:val="18"/>
            </w:rPr>
          </w:pPr>
          <w:r w:rsidRPr="00E160E5">
            <w:rPr>
              <w:b/>
              <w:sz w:val="18"/>
              <w:szCs w:val="18"/>
            </w:rPr>
            <w:t>REVISION:</w:t>
          </w:r>
        </w:p>
        <w:p w:rsidR="003D4776" w:rsidRPr="00E160E5" w:rsidRDefault="00513846" w:rsidP="008930AE">
          <w:pPr>
            <w:pStyle w:val="Header"/>
            <w:rPr>
              <w:sz w:val="18"/>
              <w:szCs w:val="18"/>
            </w:rPr>
          </w:pPr>
          <w:r>
            <w:rPr>
              <w:sz w:val="18"/>
              <w:szCs w:val="18"/>
            </w:rPr>
            <w:t>H-1 6/25/2013</w:t>
          </w:r>
        </w:p>
      </w:tc>
      <w:tc>
        <w:tcPr>
          <w:tcW w:w="2520" w:type="dxa"/>
          <w:tcBorders>
            <w:top w:val="single" w:sz="4" w:space="0" w:color="auto"/>
            <w:left w:val="single" w:sz="4" w:space="0" w:color="auto"/>
          </w:tcBorders>
        </w:tcPr>
        <w:p w:rsidR="003D4776" w:rsidRPr="00E160E5" w:rsidRDefault="003D4776" w:rsidP="008930AE">
          <w:pPr>
            <w:pStyle w:val="Header"/>
            <w:rPr>
              <w:b/>
              <w:snapToGrid w:val="0"/>
              <w:sz w:val="18"/>
              <w:szCs w:val="18"/>
            </w:rPr>
          </w:pPr>
          <w:r w:rsidRPr="00E160E5">
            <w:rPr>
              <w:b/>
              <w:snapToGrid w:val="0"/>
              <w:sz w:val="18"/>
              <w:szCs w:val="18"/>
            </w:rPr>
            <w:t>SUPERCEDES:</w:t>
          </w:r>
        </w:p>
        <w:p w:rsidR="003D4776" w:rsidRPr="00E160E5" w:rsidRDefault="003D4776" w:rsidP="008930AE">
          <w:pPr>
            <w:pStyle w:val="Header"/>
            <w:rPr>
              <w:snapToGrid w:val="0"/>
              <w:sz w:val="18"/>
              <w:szCs w:val="18"/>
            </w:rPr>
          </w:pPr>
        </w:p>
      </w:tc>
    </w:tr>
  </w:tbl>
  <w:p w:rsidR="003D4776" w:rsidRDefault="003D4776" w:rsidP="00E160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B5" w:rsidRDefault="00327AB5" w:rsidP="00E160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pStyle w:val="Level1"/>
      <w:lvlText w:val="%1."/>
      <w:lvlJc w:val="left"/>
      <w:pPr>
        <w:tabs>
          <w:tab w:val="num" w:pos="720"/>
        </w:tabs>
        <w:ind w:left="720" w:hanging="720"/>
      </w:pPr>
    </w:lvl>
    <w:lvl w:ilvl="1">
      <w:start w:val="1"/>
      <w:numFmt w:val="upperLetter"/>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lowerLetter"/>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BE90F50"/>
    <w:multiLevelType w:val="multilevel"/>
    <w:tmpl w:val="CCF8CF0A"/>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864"/>
        </w:tabs>
        <w:ind w:left="864" w:hanging="432"/>
      </w:pPr>
      <w:rPr>
        <w:rFonts w:hint="default"/>
        <w:b w:val="0"/>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tabs>
          <w:tab w:val="num" w:pos="2304"/>
        </w:tabs>
        <w:ind w:left="2304" w:hanging="576"/>
      </w:pPr>
      <w:rPr>
        <w:rFonts w:ascii="Times New Roman" w:hAnsi="Times New Roman" w:hint="default"/>
      </w:rPr>
    </w:lvl>
    <w:lvl w:ilvl="5">
      <w:start w:val="1"/>
      <w:numFmt w:val="lowerLetter"/>
      <w:lvlText w:val="(%6)"/>
      <w:lvlJc w:val="left"/>
      <w:pPr>
        <w:tabs>
          <w:tab w:val="num" w:pos="2592"/>
        </w:tabs>
        <w:ind w:left="2592" w:hanging="432"/>
      </w:pPr>
      <w:rPr>
        <w:rFonts w:hint="default"/>
      </w:rPr>
    </w:lvl>
    <w:lvl w:ilvl="6">
      <w:start w:val="1"/>
      <w:numFmt w:val="lowerRoman"/>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lowerLetter"/>
      <w:lvlText w:val="(%9.)"/>
      <w:lvlJc w:val="left"/>
      <w:pPr>
        <w:tabs>
          <w:tab w:val="num" w:pos="3888"/>
        </w:tabs>
        <w:ind w:left="3888" w:hanging="432"/>
      </w:pPr>
      <w:rPr>
        <w:rFonts w:hint="default"/>
      </w:rPr>
    </w:lvl>
  </w:abstractNum>
  <w:abstractNum w:abstractNumId="2">
    <w:nsid w:val="0C070D91"/>
    <w:multiLevelType w:val="multilevel"/>
    <w:tmpl w:val="A1F80E4E"/>
    <w:lvl w:ilvl="0">
      <w:start w:val="1"/>
      <w:numFmt w:val="upperRoman"/>
      <w:lvlText w:val="%1."/>
      <w:lvlJc w:val="left"/>
      <w:pPr>
        <w:tabs>
          <w:tab w:val="num" w:pos="0"/>
        </w:tabs>
        <w:ind w:left="720" w:hanging="720"/>
      </w:pPr>
      <w:rPr>
        <w:rFonts w:cs="Times New Roman" w:hint="default"/>
      </w:rPr>
    </w:lvl>
    <w:lvl w:ilvl="1">
      <w:start w:val="1"/>
      <w:numFmt w:val="upperLetter"/>
      <w:lvlText w:val="%2."/>
      <w:lvlJc w:val="left"/>
      <w:pPr>
        <w:tabs>
          <w:tab w:val="num" w:pos="0"/>
        </w:tabs>
        <w:ind w:left="1440" w:hanging="720"/>
      </w:pPr>
      <w:rPr>
        <w:rFonts w:cs="Times New Roman" w:hint="default"/>
      </w:rPr>
    </w:lvl>
    <w:lvl w:ilvl="2">
      <w:start w:val="1"/>
      <w:numFmt w:val="decimal"/>
      <w:lvlText w:val="%3."/>
      <w:lvlJc w:val="left"/>
      <w:pPr>
        <w:tabs>
          <w:tab w:val="num" w:pos="0"/>
        </w:tabs>
        <w:ind w:left="2160" w:hanging="720"/>
      </w:pPr>
      <w:rPr>
        <w:rFonts w:cs="Times New Roman" w:hint="default"/>
      </w:rPr>
    </w:lvl>
    <w:lvl w:ilvl="3">
      <w:start w:val="1"/>
      <w:numFmt w:val="lowerLetter"/>
      <w:lvlText w:val="%4."/>
      <w:lvlJc w:val="left"/>
      <w:pPr>
        <w:tabs>
          <w:tab w:val="num" w:pos="0"/>
        </w:tabs>
        <w:ind w:left="2880" w:hanging="720"/>
      </w:pPr>
      <w:rPr>
        <w:rFonts w:cs="Times New Roman" w:hint="default"/>
      </w:rPr>
    </w:lvl>
    <w:lvl w:ilvl="4">
      <w:start w:val="1"/>
      <w:numFmt w:val="decimal"/>
      <w:lvlText w:val="(%5)"/>
      <w:lvlJc w:val="left"/>
      <w:pPr>
        <w:tabs>
          <w:tab w:val="num" w:pos="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3">
    <w:nsid w:val="12B85D4F"/>
    <w:multiLevelType w:val="hybridMultilevel"/>
    <w:tmpl w:val="71CAAC4A"/>
    <w:lvl w:ilvl="0" w:tplc="147E9C9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4D43AE"/>
    <w:multiLevelType w:val="multilevel"/>
    <w:tmpl w:val="A63E356C"/>
    <w:lvl w:ilvl="0">
      <w:start w:val="1"/>
      <w:numFmt w:val="upperLetter"/>
      <w:lvlText w:val="%1."/>
      <w:lvlJc w:val="left"/>
      <w:pPr>
        <w:tabs>
          <w:tab w:val="num" w:pos="990"/>
        </w:tabs>
        <w:ind w:left="990" w:hanging="360"/>
      </w:pPr>
      <w:rPr>
        <w:rFonts w:hint="default"/>
        <w:b w:val="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1BA122B4"/>
    <w:multiLevelType w:val="multilevel"/>
    <w:tmpl w:val="F86859A6"/>
    <w:lvl w:ilvl="0">
      <w:start w:val="2"/>
      <w:numFmt w:val="upperRoman"/>
      <w:lvlText w:val="%1."/>
      <w:lvlJc w:val="left"/>
      <w:pPr>
        <w:tabs>
          <w:tab w:val="num" w:pos="720"/>
        </w:tabs>
        <w:ind w:left="720" w:hanging="720"/>
      </w:pPr>
      <w:rPr>
        <w:rFonts w:hint="default"/>
        <w:sz w:val="22"/>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nsid w:val="2B6909F0"/>
    <w:multiLevelType w:val="hybridMultilevel"/>
    <w:tmpl w:val="E58CD244"/>
    <w:lvl w:ilvl="0" w:tplc="AFEEA9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38118E0"/>
    <w:multiLevelType w:val="multilevel"/>
    <w:tmpl w:val="20E0AFD4"/>
    <w:lvl w:ilvl="0">
      <w:start w:val="1"/>
      <w:numFmt w:val="upperRoman"/>
      <w:lvlText w:val="%1."/>
      <w:lvlJc w:val="left"/>
      <w:pPr>
        <w:tabs>
          <w:tab w:val="num" w:pos="0"/>
        </w:tabs>
        <w:ind w:left="720" w:hanging="720"/>
      </w:pPr>
      <w:rPr>
        <w:rFonts w:cs="Times New Roman" w:hint="default"/>
      </w:rPr>
    </w:lvl>
    <w:lvl w:ilvl="1">
      <w:start w:val="1"/>
      <w:numFmt w:val="decimal"/>
      <w:lvlText w:val="%2."/>
      <w:lvlJc w:val="left"/>
      <w:pPr>
        <w:tabs>
          <w:tab w:val="num" w:pos="0"/>
        </w:tabs>
        <w:ind w:left="1440" w:hanging="720"/>
      </w:pPr>
      <w:rPr>
        <w:rFonts w:cs="Times New Roman" w:hint="default"/>
      </w:rPr>
    </w:lvl>
    <w:lvl w:ilvl="2">
      <w:start w:val="1"/>
      <w:numFmt w:val="decimal"/>
      <w:lvlText w:val="%3."/>
      <w:lvlJc w:val="left"/>
      <w:pPr>
        <w:tabs>
          <w:tab w:val="num" w:pos="0"/>
        </w:tabs>
        <w:ind w:left="2160" w:hanging="720"/>
      </w:pPr>
      <w:rPr>
        <w:rFonts w:cs="Times New Roman" w:hint="default"/>
      </w:rPr>
    </w:lvl>
    <w:lvl w:ilvl="3">
      <w:start w:val="1"/>
      <w:numFmt w:val="lowerLetter"/>
      <w:lvlText w:val="%4."/>
      <w:lvlJc w:val="left"/>
      <w:pPr>
        <w:tabs>
          <w:tab w:val="num" w:pos="0"/>
        </w:tabs>
        <w:ind w:left="2880" w:hanging="720"/>
      </w:pPr>
      <w:rPr>
        <w:rFonts w:cs="Times New Roman" w:hint="default"/>
      </w:rPr>
    </w:lvl>
    <w:lvl w:ilvl="4">
      <w:start w:val="1"/>
      <w:numFmt w:val="decimal"/>
      <w:lvlText w:val="(%5)"/>
      <w:lvlJc w:val="left"/>
      <w:pPr>
        <w:tabs>
          <w:tab w:val="num" w:pos="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8">
    <w:nsid w:val="3D4D66D0"/>
    <w:multiLevelType w:val="multilevel"/>
    <w:tmpl w:val="D334F08A"/>
    <w:lvl w:ilvl="0">
      <w:start w:val="1"/>
      <w:numFmt w:val="lowerLetter"/>
      <w:lvlText w:val="%1."/>
      <w:lvlJc w:val="left"/>
      <w:pPr>
        <w:tabs>
          <w:tab w:val="num" w:pos="2520"/>
        </w:tabs>
        <w:ind w:left="2520" w:hanging="36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520254B7"/>
    <w:multiLevelType w:val="multilevel"/>
    <w:tmpl w:val="A2D20380"/>
    <w:lvl w:ilvl="0">
      <w:start w:val="1"/>
      <w:numFmt w:val="lowerLetter"/>
      <w:lvlText w:val="%1."/>
      <w:lvlJc w:val="left"/>
      <w:pPr>
        <w:tabs>
          <w:tab w:val="num" w:pos="2520"/>
        </w:tabs>
        <w:ind w:left="2520" w:hanging="36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663973BB"/>
    <w:multiLevelType w:val="multilevel"/>
    <w:tmpl w:val="502E658E"/>
    <w:lvl w:ilvl="0">
      <w:start w:val="1"/>
      <w:numFmt w:val="lowerLetter"/>
      <w:lvlText w:val="%1."/>
      <w:lvlJc w:val="left"/>
      <w:pPr>
        <w:tabs>
          <w:tab w:val="num" w:pos="2520"/>
        </w:tabs>
        <w:ind w:left="2520" w:hanging="36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67742A84"/>
    <w:multiLevelType w:val="hybridMultilevel"/>
    <w:tmpl w:val="57E8F19C"/>
    <w:lvl w:ilvl="0" w:tplc="5D6EE38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DF3579"/>
    <w:multiLevelType w:val="multilevel"/>
    <w:tmpl w:val="A1F80E4E"/>
    <w:lvl w:ilvl="0">
      <w:start w:val="1"/>
      <w:numFmt w:val="upperRoman"/>
      <w:lvlText w:val="%1."/>
      <w:lvlJc w:val="left"/>
      <w:pPr>
        <w:tabs>
          <w:tab w:val="num" w:pos="0"/>
        </w:tabs>
        <w:ind w:left="720" w:hanging="720"/>
      </w:pPr>
      <w:rPr>
        <w:rFonts w:cs="Times New Roman" w:hint="default"/>
      </w:rPr>
    </w:lvl>
    <w:lvl w:ilvl="1">
      <w:start w:val="1"/>
      <w:numFmt w:val="upperLetter"/>
      <w:lvlText w:val="%2."/>
      <w:lvlJc w:val="left"/>
      <w:pPr>
        <w:tabs>
          <w:tab w:val="num" w:pos="0"/>
        </w:tabs>
        <w:ind w:left="1440" w:hanging="720"/>
      </w:pPr>
      <w:rPr>
        <w:rFonts w:cs="Times New Roman" w:hint="default"/>
      </w:rPr>
    </w:lvl>
    <w:lvl w:ilvl="2">
      <w:start w:val="1"/>
      <w:numFmt w:val="decimal"/>
      <w:lvlText w:val="%3."/>
      <w:lvlJc w:val="left"/>
      <w:pPr>
        <w:tabs>
          <w:tab w:val="num" w:pos="0"/>
        </w:tabs>
        <w:ind w:left="2160" w:hanging="720"/>
      </w:pPr>
      <w:rPr>
        <w:rFonts w:cs="Times New Roman" w:hint="default"/>
      </w:rPr>
    </w:lvl>
    <w:lvl w:ilvl="3">
      <w:start w:val="1"/>
      <w:numFmt w:val="lowerLetter"/>
      <w:lvlText w:val="%4."/>
      <w:lvlJc w:val="left"/>
      <w:pPr>
        <w:tabs>
          <w:tab w:val="num" w:pos="0"/>
        </w:tabs>
        <w:ind w:left="2880" w:hanging="720"/>
      </w:pPr>
      <w:rPr>
        <w:rFonts w:cs="Times New Roman" w:hint="default"/>
      </w:rPr>
    </w:lvl>
    <w:lvl w:ilvl="4">
      <w:start w:val="1"/>
      <w:numFmt w:val="decimal"/>
      <w:lvlText w:val="(%5)"/>
      <w:lvlJc w:val="left"/>
      <w:pPr>
        <w:tabs>
          <w:tab w:val="num" w:pos="0"/>
        </w:tabs>
        <w:ind w:left="3600" w:hanging="720"/>
      </w:pPr>
      <w:rPr>
        <w:rFonts w:cs="Times New Roman" w:hint="default"/>
      </w:rPr>
    </w:lvl>
    <w:lvl w:ilvl="5">
      <w:start w:val="1"/>
      <w:numFmt w:val="lowerLetter"/>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13">
    <w:nsid w:val="6E6F5B9F"/>
    <w:multiLevelType w:val="singleLevel"/>
    <w:tmpl w:val="3FC856D0"/>
    <w:lvl w:ilvl="0">
      <w:start w:val="7"/>
      <w:numFmt w:val="decimal"/>
      <w:lvlText w:val="%1."/>
      <w:lvlJc w:val="left"/>
      <w:pPr>
        <w:tabs>
          <w:tab w:val="num" w:pos="1440"/>
        </w:tabs>
        <w:ind w:left="1440" w:hanging="720"/>
      </w:pPr>
      <w:rPr>
        <w:rFonts w:hint="default"/>
      </w:rPr>
    </w:lvl>
  </w:abstractNum>
  <w:num w:numId="1">
    <w:abstractNumId w:val="0"/>
    <w:lvlOverride w:ilvl="0">
      <w:lvl w:ilvl="0">
        <w:start w:val="1"/>
        <w:numFmt w:val="upperRoman"/>
        <w:pStyle w:val="Level1"/>
        <w:lvlText w:val="%1."/>
        <w:lvlJc w:val="left"/>
        <w:pPr>
          <w:tabs>
            <w:tab w:val="num" w:pos="0"/>
          </w:tabs>
          <w:ind w:left="720" w:hanging="720"/>
        </w:pPr>
        <w:rPr>
          <w:rFonts w:hint="default"/>
        </w:rPr>
      </w:lvl>
    </w:lvlOverride>
    <w:lvlOverride w:ilvl="1">
      <w:lvl w:ilvl="1">
        <w:start w:val="1"/>
        <w:numFmt w:val="upperLetter"/>
        <w:pStyle w:val="Level2"/>
        <w:lvlText w:val="%2."/>
        <w:lvlJc w:val="left"/>
        <w:pPr>
          <w:tabs>
            <w:tab w:val="num" w:pos="0"/>
          </w:tabs>
          <w:ind w:left="1440" w:hanging="720"/>
        </w:pPr>
        <w:rPr>
          <w:rFonts w:hint="default"/>
        </w:rPr>
      </w:lvl>
    </w:lvlOverride>
    <w:lvlOverride w:ilvl="2">
      <w:lvl w:ilvl="2">
        <w:start w:val="1"/>
        <w:numFmt w:val="decimal"/>
        <w:pStyle w:val="Level3"/>
        <w:lvlText w:val="%3."/>
        <w:lvlJc w:val="left"/>
        <w:pPr>
          <w:tabs>
            <w:tab w:val="num" w:pos="0"/>
          </w:tabs>
          <w:ind w:left="2160" w:hanging="720"/>
        </w:pPr>
        <w:rPr>
          <w:rFonts w:hint="default"/>
        </w:rPr>
      </w:lvl>
    </w:lvlOverride>
    <w:lvlOverride w:ilvl="3">
      <w:lvl w:ilvl="3">
        <w:start w:val="1"/>
        <w:numFmt w:val="lowerLetter"/>
        <w:pStyle w:val="Level4"/>
        <w:lvlText w:val="%4)"/>
        <w:lvlJc w:val="left"/>
        <w:pPr>
          <w:tabs>
            <w:tab w:val="num" w:pos="0"/>
          </w:tabs>
          <w:ind w:left="2880" w:hanging="720"/>
        </w:pPr>
        <w:rPr>
          <w:rFonts w:hint="default"/>
        </w:rPr>
      </w:lvl>
    </w:lvlOverride>
    <w:lvlOverride w:ilvl="4">
      <w:lvl w:ilvl="4">
        <w:start w:val="1"/>
        <w:numFmt w:val="decimal"/>
        <w:pStyle w:val="Level5"/>
        <w:lvlText w:val="(%5)"/>
        <w:lvlJc w:val="left"/>
        <w:pPr>
          <w:tabs>
            <w:tab w:val="num" w:pos="0"/>
          </w:tabs>
          <w:ind w:left="3600" w:hanging="720"/>
        </w:pPr>
        <w:rPr>
          <w:rFonts w:hint="default"/>
        </w:rPr>
      </w:lvl>
    </w:lvlOverride>
    <w:lvlOverride w:ilvl="5">
      <w:lvl w:ilvl="5">
        <w:start w:val="1"/>
        <w:numFmt w:val="lowerLetter"/>
        <w:lvlText w:val="(%6)"/>
        <w:lvlJc w:val="left"/>
        <w:pPr>
          <w:tabs>
            <w:tab w:val="num" w:pos="0"/>
          </w:tabs>
          <w:ind w:left="4320" w:hanging="720"/>
        </w:pPr>
        <w:rPr>
          <w:rFonts w:hint="default"/>
        </w:rPr>
      </w:lvl>
    </w:lvlOverride>
    <w:lvlOverride w:ilvl="6">
      <w:lvl w:ilvl="6">
        <w:start w:val="1"/>
        <w:numFmt w:val="lowerRoman"/>
        <w:lvlText w:val="(%7)"/>
        <w:lvlJc w:val="left"/>
        <w:pPr>
          <w:tabs>
            <w:tab w:val="num" w:pos="0"/>
          </w:tabs>
          <w:ind w:left="5040" w:hanging="720"/>
        </w:pPr>
        <w:rPr>
          <w:rFonts w:hint="default"/>
        </w:rPr>
      </w:lvl>
    </w:lvlOverride>
    <w:lvlOverride w:ilvl="7">
      <w:lvl w:ilvl="7">
        <w:start w:val="1"/>
        <w:numFmt w:val="lowerLetter"/>
        <w:lvlText w:val="(%8)"/>
        <w:lvlJc w:val="left"/>
        <w:pPr>
          <w:tabs>
            <w:tab w:val="num" w:pos="0"/>
          </w:tabs>
          <w:ind w:left="5760" w:hanging="720"/>
        </w:pPr>
        <w:rPr>
          <w:rFonts w:hint="default"/>
        </w:rPr>
      </w:lvl>
    </w:lvlOverride>
    <w:lvlOverride w:ilvl="8">
      <w:lvl w:ilvl="8">
        <w:numFmt w:val="lowerRoman"/>
        <w:lvlText w:val="(%9)"/>
        <w:lvlJc w:val="left"/>
        <w:pPr>
          <w:tabs>
            <w:tab w:val="num" w:pos="0"/>
          </w:tabs>
          <w:ind w:left="6480" w:hanging="720"/>
        </w:pPr>
        <w:rPr>
          <w:rFonts w:hint="default"/>
        </w:rPr>
      </w:lvl>
    </w:lvlOverride>
  </w:num>
  <w:num w:numId="2">
    <w:abstractNumId w:val="5"/>
  </w:num>
  <w:num w:numId="3">
    <w:abstractNumId w:val="4"/>
  </w:num>
  <w:num w:numId="4">
    <w:abstractNumId w:val="10"/>
  </w:num>
  <w:num w:numId="5">
    <w:abstractNumId w:val="8"/>
  </w:num>
  <w:num w:numId="6">
    <w:abstractNumId w:val="9"/>
  </w:num>
  <w:num w:numId="7">
    <w:abstractNumId w:val="1"/>
  </w:num>
  <w:num w:numId="8">
    <w:abstractNumId w:val="2"/>
  </w:num>
  <w:num w:numId="9">
    <w:abstractNumId w:val="13"/>
  </w:num>
  <w:num w:numId="10">
    <w:abstractNumId w:val="12"/>
  </w:num>
  <w:num w:numId="11">
    <w:abstractNumId w:val="7"/>
  </w:num>
  <w:num w:numId="12">
    <w:abstractNumId w:val="11"/>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132308"/>
    <w:rsid w:val="00003D2E"/>
    <w:rsid w:val="00017823"/>
    <w:rsid w:val="00067A7D"/>
    <w:rsid w:val="00074775"/>
    <w:rsid w:val="0008199C"/>
    <w:rsid w:val="000A533F"/>
    <w:rsid w:val="000D3AF7"/>
    <w:rsid w:val="00132308"/>
    <w:rsid w:val="0015141A"/>
    <w:rsid w:val="00164D30"/>
    <w:rsid w:val="001B1A21"/>
    <w:rsid w:val="001E6807"/>
    <w:rsid w:val="001E6FE2"/>
    <w:rsid w:val="00237E73"/>
    <w:rsid w:val="002956D0"/>
    <w:rsid w:val="002A0C60"/>
    <w:rsid w:val="00327AB5"/>
    <w:rsid w:val="00382091"/>
    <w:rsid w:val="00392177"/>
    <w:rsid w:val="003A710F"/>
    <w:rsid w:val="003D4776"/>
    <w:rsid w:val="003E2384"/>
    <w:rsid w:val="0041355E"/>
    <w:rsid w:val="00417E6C"/>
    <w:rsid w:val="004538D0"/>
    <w:rsid w:val="004C3419"/>
    <w:rsid w:val="00512B8E"/>
    <w:rsid w:val="00513846"/>
    <w:rsid w:val="005341D7"/>
    <w:rsid w:val="00556B4F"/>
    <w:rsid w:val="005B00FB"/>
    <w:rsid w:val="005B4C60"/>
    <w:rsid w:val="005C70BA"/>
    <w:rsid w:val="00600FD0"/>
    <w:rsid w:val="006030AB"/>
    <w:rsid w:val="00632CCE"/>
    <w:rsid w:val="00656183"/>
    <w:rsid w:val="006A7A7C"/>
    <w:rsid w:val="006F7CA7"/>
    <w:rsid w:val="0073212E"/>
    <w:rsid w:val="00801B4A"/>
    <w:rsid w:val="00801BB2"/>
    <w:rsid w:val="0080663F"/>
    <w:rsid w:val="008930AE"/>
    <w:rsid w:val="00895061"/>
    <w:rsid w:val="009505FE"/>
    <w:rsid w:val="009E5FFC"/>
    <w:rsid w:val="00A32E2C"/>
    <w:rsid w:val="00AD065F"/>
    <w:rsid w:val="00AD178B"/>
    <w:rsid w:val="00AF476A"/>
    <w:rsid w:val="00B148E1"/>
    <w:rsid w:val="00B50498"/>
    <w:rsid w:val="00B553A1"/>
    <w:rsid w:val="00B9223E"/>
    <w:rsid w:val="00BC36F7"/>
    <w:rsid w:val="00BD017B"/>
    <w:rsid w:val="00BE2EC3"/>
    <w:rsid w:val="00C6069E"/>
    <w:rsid w:val="00C63691"/>
    <w:rsid w:val="00C728D2"/>
    <w:rsid w:val="00CB3634"/>
    <w:rsid w:val="00CD0952"/>
    <w:rsid w:val="00D26531"/>
    <w:rsid w:val="00DA32E1"/>
    <w:rsid w:val="00DA463C"/>
    <w:rsid w:val="00DA4F3E"/>
    <w:rsid w:val="00E160E5"/>
    <w:rsid w:val="00EA23ED"/>
    <w:rsid w:val="00ED0B40"/>
    <w:rsid w:val="00EF3301"/>
    <w:rsid w:val="00F74113"/>
    <w:rsid w:val="00FD4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0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60E5"/>
    <w:pPr>
      <w:tabs>
        <w:tab w:val="center" w:pos="4320"/>
        <w:tab w:val="right" w:pos="8640"/>
      </w:tabs>
    </w:pPr>
  </w:style>
  <w:style w:type="paragraph" w:styleId="Footer">
    <w:name w:val="footer"/>
    <w:basedOn w:val="Normal"/>
    <w:rsid w:val="00E160E5"/>
    <w:pPr>
      <w:tabs>
        <w:tab w:val="center" w:pos="4320"/>
        <w:tab w:val="right" w:pos="8640"/>
      </w:tabs>
    </w:pPr>
  </w:style>
  <w:style w:type="paragraph" w:customStyle="1" w:styleId="Level1">
    <w:name w:val="Level 1"/>
    <w:basedOn w:val="Normal"/>
    <w:rsid w:val="00E160E5"/>
    <w:pPr>
      <w:widowControl w:val="0"/>
      <w:numPr>
        <w:numId w:val="1"/>
      </w:numPr>
      <w:outlineLvl w:val="0"/>
    </w:pPr>
    <w:rPr>
      <w:snapToGrid w:val="0"/>
      <w:sz w:val="24"/>
    </w:rPr>
  </w:style>
  <w:style w:type="paragraph" w:customStyle="1" w:styleId="Level4">
    <w:name w:val="Level 4"/>
    <w:basedOn w:val="Normal"/>
    <w:rsid w:val="00E160E5"/>
    <w:pPr>
      <w:widowControl w:val="0"/>
      <w:numPr>
        <w:ilvl w:val="3"/>
        <w:numId w:val="1"/>
      </w:numPr>
      <w:outlineLvl w:val="3"/>
    </w:pPr>
    <w:rPr>
      <w:snapToGrid w:val="0"/>
      <w:sz w:val="24"/>
    </w:rPr>
  </w:style>
  <w:style w:type="paragraph" w:customStyle="1" w:styleId="Level2">
    <w:name w:val="Level 2"/>
    <w:basedOn w:val="Normal"/>
    <w:rsid w:val="00E160E5"/>
    <w:pPr>
      <w:widowControl w:val="0"/>
      <w:numPr>
        <w:ilvl w:val="1"/>
        <w:numId w:val="1"/>
      </w:numPr>
      <w:ind w:left="2880" w:hanging="1980"/>
      <w:outlineLvl w:val="1"/>
    </w:pPr>
    <w:rPr>
      <w:snapToGrid w:val="0"/>
      <w:sz w:val="24"/>
    </w:rPr>
  </w:style>
  <w:style w:type="paragraph" w:customStyle="1" w:styleId="Level3">
    <w:name w:val="Level 3"/>
    <w:basedOn w:val="Normal"/>
    <w:rsid w:val="00E160E5"/>
    <w:pPr>
      <w:widowControl w:val="0"/>
      <w:numPr>
        <w:ilvl w:val="2"/>
        <w:numId w:val="1"/>
      </w:numPr>
      <w:outlineLvl w:val="2"/>
    </w:pPr>
    <w:rPr>
      <w:snapToGrid w:val="0"/>
      <w:sz w:val="24"/>
    </w:rPr>
  </w:style>
  <w:style w:type="paragraph" w:customStyle="1" w:styleId="Level5">
    <w:name w:val="Level 5"/>
    <w:basedOn w:val="Normal"/>
    <w:rsid w:val="00E160E5"/>
    <w:pPr>
      <w:widowControl w:val="0"/>
      <w:numPr>
        <w:ilvl w:val="4"/>
        <w:numId w:val="1"/>
      </w:numPr>
      <w:outlineLvl w:val="4"/>
    </w:pPr>
    <w:rPr>
      <w:snapToGrid w:val="0"/>
      <w:sz w:val="24"/>
    </w:rPr>
  </w:style>
  <w:style w:type="paragraph" w:styleId="BodyTextIndent">
    <w:name w:val="Body Text Indent"/>
    <w:basedOn w:val="Normal"/>
    <w:rsid w:val="00E160E5"/>
    <w:pPr>
      <w:ind w:left="720"/>
    </w:pPr>
    <w:rPr>
      <w:sz w:val="22"/>
    </w:rPr>
  </w:style>
  <w:style w:type="paragraph" w:styleId="BalloonText">
    <w:name w:val="Balloon Text"/>
    <w:basedOn w:val="Normal"/>
    <w:semiHidden/>
    <w:rsid w:val="00E160E5"/>
    <w:rPr>
      <w:rFonts w:ascii="Tahoma" w:hAnsi="Tahoma" w:cs="Tahoma"/>
      <w:sz w:val="16"/>
      <w:szCs w:val="16"/>
    </w:rPr>
  </w:style>
  <w:style w:type="paragraph" w:customStyle="1" w:styleId="Default">
    <w:name w:val="Default"/>
    <w:rsid w:val="00AF476A"/>
    <w:rPr>
      <w:rFonts w:ascii="Arial" w:hAnsi="Arial"/>
      <w:snapToGrid w:val="0"/>
      <w:sz w:val="24"/>
    </w:rPr>
  </w:style>
  <w:style w:type="paragraph" w:styleId="ListParagraph">
    <w:name w:val="List Paragraph"/>
    <w:basedOn w:val="Normal"/>
    <w:uiPriority w:val="34"/>
    <w:qFormat/>
    <w:rsid w:val="000D3AF7"/>
    <w:pPr>
      <w:ind w:left="720"/>
      <w:contextualSpacing/>
    </w:pPr>
  </w:style>
  <w:style w:type="character" w:customStyle="1" w:styleId="HeaderChar">
    <w:name w:val="Header Char"/>
    <w:basedOn w:val="DefaultParagraphFont"/>
    <w:link w:val="Header"/>
    <w:uiPriority w:val="99"/>
    <w:rsid w:val="00327AB5"/>
  </w:style>
</w:styles>
</file>

<file path=word/webSettings.xml><?xml version="1.0" encoding="utf-8"?>
<w:webSettings xmlns:r="http://schemas.openxmlformats.org/officeDocument/2006/relationships" xmlns:w="http://schemas.openxmlformats.org/wordprocessingml/2006/main">
  <w:divs>
    <w:div w:id="16260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8C517-999D-4282-9D74-6E23392F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494</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vt:lpstr>
    </vt:vector>
  </TitlesOfParts>
  <Company>YNHH</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Administrator</dc:creator>
  <cp:keywords/>
  <dc:description/>
  <cp:lastModifiedBy>Link, Andrew</cp:lastModifiedBy>
  <cp:revision>5</cp:revision>
  <cp:lastPrinted>2013-06-25T14:10:00Z</cp:lastPrinted>
  <dcterms:created xsi:type="dcterms:W3CDTF">2013-06-21T16:33:00Z</dcterms:created>
  <dcterms:modified xsi:type="dcterms:W3CDTF">2013-06-25T14:11:00Z</dcterms:modified>
</cp:coreProperties>
</file>