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10" w:rsidRPr="00687110" w:rsidRDefault="00687110" w:rsidP="0068711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vanish/>
          <w:color w:val="AC7231"/>
          <w:sz w:val="21"/>
          <w:szCs w:val="21"/>
        </w:rPr>
      </w:pPr>
      <w:r w:rsidRPr="00687110">
        <w:rPr>
          <w:rFonts w:ascii="Helvetica" w:eastAsia="Times New Roman" w:hAnsi="Helvetica" w:cs="Helvetica"/>
          <w:b/>
          <w:bCs/>
          <w:vanish/>
          <w:color w:val="AC7231"/>
          <w:sz w:val="21"/>
          <w:szCs w:val="21"/>
        </w:rPr>
        <w:t>Removing question excerpt is a premium feature</w:t>
      </w:r>
    </w:p>
    <w:p w:rsidR="00687110" w:rsidRPr="00687110" w:rsidRDefault="00687110" w:rsidP="00687110">
      <w:pPr>
        <w:shd w:val="clear" w:color="auto" w:fill="F8F8F8"/>
        <w:spacing w:line="240" w:lineRule="auto"/>
        <w:jc w:val="center"/>
        <w:rPr>
          <w:rFonts w:ascii="Helvetica" w:eastAsia="Times New Roman" w:hAnsi="Helvetica" w:cs="Helvetica"/>
          <w:vanish/>
          <w:color w:val="444444"/>
          <w:sz w:val="27"/>
          <w:szCs w:val="27"/>
        </w:rPr>
      </w:pPr>
      <w:r w:rsidRPr="00687110">
        <w:rPr>
          <w:rFonts w:ascii="Helvetica" w:eastAsia="Times New Roman" w:hAnsi="Helvetica" w:cs="Helvetica"/>
          <w:b/>
          <w:bCs/>
          <w:vanish/>
          <w:color w:val="444444"/>
          <w:sz w:val="27"/>
          <w:szCs w:val="27"/>
        </w:rPr>
        <w:t>Upgrade and get a lot more done!</w:t>
      </w:r>
    </w:p>
    <w:p w:rsidR="00687110" w:rsidRPr="00687110" w:rsidRDefault="00BD3732" w:rsidP="00687110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vanish/>
          <w:color w:val="FFFFFF"/>
          <w:sz w:val="24"/>
          <w:szCs w:val="24"/>
        </w:rPr>
      </w:pPr>
      <w:hyperlink r:id="rId8" w:tgtFrame="_top" w:history="1">
        <w:r w:rsidR="00687110" w:rsidRPr="00687110">
          <w:rPr>
            <w:rFonts w:ascii="Helvetica" w:eastAsia="Times New Roman" w:hAnsi="Helvetica" w:cs="Helvetica"/>
            <w:vanish/>
            <w:color w:val="3B5998"/>
            <w:sz w:val="24"/>
            <w:szCs w:val="24"/>
          </w:rPr>
          <w:t>Upgrade</w:t>
        </w:r>
      </w:hyperlink>
      <w:r w:rsidR="00687110" w:rsidRPr="00687110">
        <w:rPr>
          <w:rFonts w:ascii="Helvetica" w:eastAsia="Times New Roman" w:hAnsi="Helvetica" w:cs="Helvetica"/>
          <w:vanish/>
          <w:color w:val="FFFFFF"/>
          <w:sz w:val="24"/>
          <w:szCs w:val="24"/>
        </w:rPr>
        <w:t xml:space="preserve"> </w:t>
      </w:r>
    </w:p>
    <w:tbl>
      <w:tblPr>
        <w:tblW w:w="18132" w:type="dxa"/>
        <w:tblCellSpacing w:w="0" w:type="dxa"/>
        <w:tblInd w:w="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9036"/>
        <w:gridCol w:w="9056"/>
      </w:tblGrid>
      <w:tr w:rsidR="00BD3732" w:rsidRPr="00BD3732" w:rsidTr="00BD3732">
        <w:trPr>
          <w:gridBefore w:val="1"/>
          <w:wBefore w:w="20" w:type="dxa"/>
          <w:tblCellSpacing w:w="0" w:type="dxa"/>
        </w:trPr>
        <w:tc>
          <w:tcPr>
            <w:tcW w:w="9056" w:type="dxa"/>
            <w:gridSpan w:val="2"/>
            <w:vAlign w:val="center"/>
            <w:hideMark/>
          </w:tcPr>
          <w:p w:rsidR="00BD3732" w:rsidRPr="00BD3732" w:rsidRDefault="00BD3732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BD3732" w:rsidRDefault="00BD3732" w:rsidP="00BD3732">
            <w:pPr>
              <w:spacing w:before="120"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</w:rPr>
              <w:t>Satellite Labs</w:t>
            </w:r>
          </w:p>
          <w:p w:rsidR="00BD3732" w:rsidRDefault="00BD3732" w:rsidP="00BD3732">
            <w:pPr>
              <w:spacing w:before="120"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BD3732">
              <w:rPr>
                <w:rFonts w:ascii="Helvetica" w:eastAsia="Times New Roman" w:hAnsi="Helvetica" w:cs="Helvetica"/>
                <w:sz w:val="28"/>
                <w:szCs w:val="28"/>
              </w:rPr>
              <w:t>Coag</w:t>
            </w:r>
            <w:proofErr w:type="spellEnd"/>
            <w:r w:rsidRPr="00BD3732">
              <w:rPr>
                <w:rFonts w:ascii="Helvetica" w:eastAsia="Times New Roman" w:hAnsi="Helvetica" w:cs="Helvetica"/>
                <w:sz w:val="28"/>
                <w:szCs w:val="28"/>
              </w:rPr>
              <w:t xml:space="preserve"> Competency</w:t>
            </w:r>
          </w:p>
          <w:p w:rsidR="00BD3732" w:rsidRPr="00BD3732" w:rsidRDefault="00BD3732" w:rsidP="00BD3732">
            <w:pPr>
              <w:spacing w:before="120"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</w:p>
          <w:p w:rsidR="00BD3732" w:rsidRPr="00BD3732" w:rsidRDefault="00BD3732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  <w:p w:rsidR="00BD3732" w:rsidRPr="00BD3732" w:rsidRDefault="00BD3732" w:rsidP="00BD3732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D3732">
              <w:rPr>
                <w:rFonts w:ascii="Helvetica" w:eastAsia="Times New Roman" w:hAnsi="Helvetica" w:cs="Helvetica"/>
                <w:sz w:val="20"/>
                <w:szCs w:val="20"/>
              </w:rPr>
              <w:t>Polycythemia patients (</w:t>
            </w:r>
            <w:proofErr w:type="spellStart"/>
            <w:r w:rsidRPr="00BD3732">
              <w:rPr>
                <w:rFonts w:ascii="Helvetica" w:eastAsia="Times New Roman" w:hAnsi="Helvetica" w:cs="Helvetica"/>
                <w:sz w:val="20"/>
                <w:szCs w:val="20"/>
              </w:rPr>
              <w:t>hct</w:t>
            </w:r>
            <w:proofErr w:type="spellEnd"/>
            <w:r w:rsidRPr="00BD3732">
              <w:rPr>
                <w:rFonts w:ascii="Helvetica" w:eastAsia="Times New Roman" w:hAnsi="Helvetica" w:cs="Helvetica"/>
                <w:sz w:val="20"/>
                <w:szCs w:val="20"/>
              </w:rPr>
              <w:t xml:space="preserve"> &gt;55%) may have falsely prolonged values for PT and PTT (as well as other Calcium dependent clotting tests). If you have such a patient, the anticoagulant used in the collection of the specimen must be adjusted accordingly. </w:t>
            </w:r>
          </w:p>
        </w:tc>
        <w:tc>
          <w:tcPr>
            <w:tcW w:w="9056" w:type="dxa"/>
          </w:tcPr>
          <w:p w:rsidR="00BD3732" w:rsidRPr="00BD3732" w:rsidRDefault="00BD3732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</w:p>
          <w:p w:rsidR="00BD3732" w:rsidRPr="00BD3732" w:rsidRDefault="00BD3732" w:rsidP="00BD3732">
            <w:pPr>
              <w:spacing w:before="120"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BD3732" w:rsidRPr="00BD3732" w:rsidTr="007366D7">
        <w:trPr>
          <w:gridAfter w:val="2"/>
          <w:wAfter w:w="18092" w:type="dxa"/>
          <w:trHeight w:val="75"/>
          <w:tblCellSpacing w:w="0" w:type="dxa"/>
        </w:trPr>
        <w:tc>
          <w:tcPr>
            <w:tcW w:w="20" w:type="dxa"/>
            <w:vAlign w:val="center"/>
            <w:hideMark/>
          </w:tcPr>
          <w:p w:rsidR="00BD3732" w:rsidRPr="00BD3732" w:rsidRDefault="00BD3732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sz w:val="8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BD3732" w:rsidRPr="00BD3732" w:rsidRDefault="00BD3732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sz w:val="8"/>
                <w:szCs w:val="20"/>
              </w:rPr>
            </w:pP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877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True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55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False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7215"/>
      </w:tblGrid>
      <w:tr w:rsidR="00687110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687110" w:rsidRDefault="00BD3732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   </w:t>
            </w:r>
            <w:r w:rsidRPr="00BD3732">
              <w:rPr>
                <w:rFonts w:ascii="Helvetica" w:eastAsia="Times New Roman" w:hAnsi="Helvetica" w:cs="Helvetica"/>
                <w:bCs/>
                <w:color w:val="444444"/>
                <w:sz w:val="20"/>
                <w:szCs w:val="20"/>
              </w:rPr>
              <w:t xml:space="preserve"> </w:t>
            </w:r>
            <w:r w:rsidR="00687110" w:rsidRPr="00BD3732">
              <w:rPr>
                <w:rFonts w:ascii="Helvetica" w:eastAsia="Times New Roman" w:hAnsi="Helvetica" w:cs="Helvetica"/>
                <w:bCs/>
                <w:color w:val="444444"/>
                <w:sz w:val="20"/>
                <w:szCs w:val="20"/>
              </w:rPr>
              <w:t>2</w:t>
            </w:r>
            <w:r w:rsidR="00687110"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. 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The </w:t>
            </w:r>
            <w:proofErr w:type="spellStart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prothrombin</w:t>
            </w:r>
            <w:proofErr w:type="spellEnd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time test (PT) is a global screening test for: (check all that apply) </w:t>
            </w: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  <w:tr w:rsidR="00BD3732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</w:tcPr>
          <w:p w:rsidR="00BD3732" w:rsidRPr="00687110" w:rsidRDefault="00BD3732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3732" w:rsidRPr="00687110" w:rsidRDefault="00BD3732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857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Detection of deficiencies of the extrinsic coagulation pathway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78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Monitor heparin therapy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879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Helpful in testing for liver disease and/or Vitamin K deficiency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024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Monitor oral anticoagulation therapy with </w:t>
            </w:r>
            <w:r w:rsidR="00C22337"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Coumadin</w:t>
            </w: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6435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Test used to monitor the response transfusion with Red Blood Cells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8912"/>
      </w:tblGrid>
      <w:tr w:rsidR="00687110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3. 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Results of </w:t>
            </w:r>
            <w:r w:rsidR="00C22337"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patients</w:t>
            </w: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on oral anticoagulation should be reported as an INR. The INR is: (select all that apply) </w:t>
            </w: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9825" w:type="dxa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160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Calculated from the lot specific and instrument specific ISI of the reagent and the mean of the normal reference interval.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298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"International Normalized Ratio"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89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Not really that important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97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"Interesting Name Rule"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8912"/>
      </w:tblGrid>
      <w:tr w:rsidR="00687110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4. 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The activated </w:t>
            </w:r>
            <w:r w:rsidR="00C22337"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partial</w:t>
            </w: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thromboplastin</w:t>
            </w:r>
            <w:proofErr w:type="spellEnd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time (</w:t>
            </w:r>
            <w:proofErr w:type="spellStart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aPTT</w:t>
            </w:r>
            <w:proofErr w:type="spellEnd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) is a screening procedure used to: (select all that apply) </w:t>
            </w: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7314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Detect deficiencies in coagulation factors of the intrinsic coagulation pathway.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046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Detect severe deficiencies of fibrinogen and factors II, V and X.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024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Monitor oral anticoagulation therapy with </w:t>
            </w:r>
            <w:r w:rsidR="00C22337"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Coumadin</w:t>
            </w: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801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Monitor and regulate heparin therapy.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8912"/>
      </w:tblGrid>
      <w:tr w:rsidR="00687110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5. 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Unexpected abnormal </w:t>
            </w:r>
            <w:proofErr w:type="spellStart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aPTT</w:t>
            </w:r>
            <w:proofErr w:type="spellEnd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results should be followed by additional coagulation studies to determine the cause of abnormal results. </w:t>
            </w: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877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True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55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False 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8912"/>
      </w:tblGrid>
      <w:tr w:rsidR="00687110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6. 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To ensure continued and optimal operating conditions, the </w:t>
            </w:r>
            <w:proofErr w:type="spellStart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Sysmex</w:t>
            </w:r>
            <w:proofErr w:type="spellEnd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CA-560 has required </w:t>
            </w:r>
            <w:proofErr w:type="spellStart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maitenance</w:t>
            </w:r>
            <w:proofErr w:type="spellEnd"/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procedures. Match the following procedures with their proper frequencies. </w:t>
            </w: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A. Quarterly </w:t>
      </w:r>
    </w:p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A.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5" type="#_x0000_t75" style="width:1in;height:18pt" o:ole="">
            <v:imagedata r:id="rId9" o:title=""/>
          </v:shape>
          <w:control r:id="rId10" w:name="DefaultOcxName" w:shapeid="_x0000_i1205"/>
        </w:objec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204" type="#_x0000_t75" style="width:159pt;height:18pt" o:ole="">
            <v:imagedata r:id="rId11" o:title=""/>
          </v:shape>
          <w:control r:id="rId12" w:name="DefaultOcxName1" w:shapeid="_x0000_i1204"/>
        </w:object>
      </w:r>
    </w:p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B. As needed </w:t>
      </w:r>
    </w:p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B.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203" type="#_x0000_t75" style="width:1in;height:18pt" o:ole="">
            <v:imagedata r:id="rId13" o:title=""/>
          </v:shape>
          <w:control r:id="rId14" w:name="DefaultOcxName2" w:shapeid="_x0000_i1203"/>
        </w:objec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202" type="#_x0000_t75" style="width:159pt;height:18pt" o:ole="">
            <v:imagedata r:id="rId15" o:title=""/>
          </v:shape>
          <w:control r:id="rId16" w:name="DefaultOcxName3" w:shapeid="_x0000_i1202"/>
        </w:object>
      </w:r>
    </w:p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C. Yearly </w:t>
      </w:r>
    </w:p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C.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201" type="#_x0000_t75" style="width:1in;height:18pt" o:ole="">
            <v:imagedata r:id="rId17" o:title=""/>
          </v:shape>
          <w:control r:id="rId18" w:name="DefaultOcxName4" w:shapeid="_x0000_i1201"/>
        </w:objec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200" type="#_x0000_t75" style="width:159pt;height:18pt" o:ole="">
            <v:imagedata r:id="rId19" o:title=""/>
          </v:shape>
          <w:control r:id="rId20" w:name="DefaultOcxName5" w:shapeid="_x0000_i1200"/>
        </w:object>
      </w:r>
    </w:p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D. Weekly </w:t>
      </w:r>
    </w:p>
    <w:p w:rsid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687110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D.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199" type="#_x0000_t75" style="width:1in;height:18pt" o:ole="">
            <v:imagedata r:id="rId21" o:title=""/>
          </v:shape>
          <w:control r:id="rId22" w:name="DefaultOcxName6" w:shapeid="_x0000_i1199"/>
        </w:object>
      </w:r>
      <w:r w:rsidRPr="00687110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198" type="#_x0000_t75" style="width:159pt;height:18pt" o:ole="">
            <v:imagedata r:id="rId23" o:title=""/>
          </v:shape>
          <w:control r:id="rId24" w:name="DefaultOcxName7" w:shapeid="_x0000_i1198"/>
        </w:object>
      </w:r>
    </w:p>
    <w:p w:rsid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</w:p>
    <w:p w:rsid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</w:p>
    <w:p w:rsidR="00C22337" w:rsidRPr="00687110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8912"/>
      </w:tblGrid>
      <w:tr w:rsidR="00687110" w:rsidRPr="00687110" w:rsidTr="00687110">
        <w:trPr>
          <w:tblCellSpacing w:w="0" w:type="dxa"/>
        </w:trPr>
        <w:tc>
          <w:tcPr>
            <w:tcW w:w="0" w:type="auto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7. 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 reagent lot roll over must be performed with each new lot of reagents to ensure that the INR calculation is adjusted appropriately for new ISI values. </w:t>
            </w:r>
          </w:p>
        </w:tc>
      </w:tr>
      <w:tr w:rsidR="00687110" w:rsidRPr="00687110" w:rsidTr="00687110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55"/>
      </w:tblGrid>
      <w:tr w:rsidR="00687110" w:rsidRPr="00687110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687110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True </w:t>
            </w:r>
          </w:p>
        </w:tc>
      </w:tr>
      <w:tr w:rsidR="00BD3732" w:rsidRPr="00687110" w:rsidTr="00BD3732">
        <w:trPr>
          <w:tblCellSpacing w:w="0" w:type="dxa"/>
        </w:trPr>
        <w:tc>
          <w:tcPr>
            <w:tcW w:w="0" w:type="auto"/>
            <w:vAlign w:val="center"/>
          </w:tcPr>
          <w:p w:rsidR="00BD3732" w:rsidRPr="00687110" w:rsidRDefault="00BD3732" w:rsidP="00BD373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</w:tcPr>
          <w:p w:rsidR="00BD3732" w:rsidRPr="00687110" w:rsidRDefault="00BD3732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False</w:t>
            </w:r>
          </w:p>
        </w:tc>
      </w:tr>
    </w:tbl>
    <w:p w:rsidR="00687110" w:rsidRPr="00687110" w:rsidRDefault="00687110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71"/>
        <w:gridCol w:w="157"/>
        <w:gridCol w:w="4363"/>
        <w:gridCol w:w="4363"/>
      </w:tblGrid>
      <w:tr w:rsidR="00687110" w:rsidRPr="00687110" w:rsidTr="00BD3732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87110" w:rsidRPr="00687110" w:rsidRDefault="00687110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</w:p>
        </w:tc>
      </w:tr>
      <w:tr w:rsidR="00C22337" w:rsidRPr="00687110" w:rsidTr="00C22337">
        <w:trPr>
          <w:gridAfter w:val="1"/>
          <w:tblCellSpacing w:w="0" w:type="dxa"/>
        </w:trPr>
        <w:tc>
          <w:tcPr>
            <w:tcW w:w="0" w:type="auto"/>
            <w:vAlign w:val="center"/>
          </w:tcPr>
          <w:p w:rsid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</w:pPr>
          </w:p>
          <w:p w:rsidR="00C22337" w:rsidRPr="00687110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C22337" w:rsidRPr="00687110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</w:p>
        </w:tc>
      </w:tr>
      <w:tr w:rsidR="00C22337" w:rsidRPr="00C22337" w:rsidTr="00C22337">
        <w:tblPrEx>
          <w:tblCellMar>
            <w:lef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2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2. 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2337" w:rsidRPr="00C22337" w:rsidRDefault="00C22337" w:rsidP="00BD373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Which clotting factor is released from damaged tissue, and initiates a chain of clotting events? </w:t>
            </w:r>
          </w:p>
        </w:tc>
      </w:tr>
      <w:tr w:rsidR="00C22337" w:rsidRPr="00C22337" w:rsidTr="00C22337">
        <w:tblPrEx>
          <w:tblCellMar>
            <w:left w:w="0" w:type="dxa"/>
          </w:tblCellMar>
        </w:tblPrEx>
        <w:trPr>
          <w:gridBefore w:val="1"/>
          <w:trHeight w:val="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555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Prothrombin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310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Thrombin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66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Fibrin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377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Tissue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Thrombolastin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3335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3. 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What are the ingredients in APTT test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389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Plasma + phospholipid + calcium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578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Plasma +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thromboplastin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+ calcium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023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Plasma + phospholipid +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thromboplastin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044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Plasma + thrombin + calcium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4191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4. 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>Which test evaluates the extrinsic pathway?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54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PT (INR)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77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APTT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710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TT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677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Bleeding time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5467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5. 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>Which of the following is true regarding the bleeding time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033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It is a commonly ordered test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145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It is a highly reliable and reproducible test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567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It evaluates platelet function in vivo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590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It evaluates the coagulation system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4914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6. 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Which laboratory tests may aid in the diagnosis of DIC?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356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a. Coagulation profile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432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b. D-Dimer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955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c. Bleeding Time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32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 &amp; b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921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 &amp; c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5356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7. 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Georgia" w:eastAsia="Times New Roman" w:hAnsi="Georgia" w:cs="Helvetica"/>
                <w:color w:val="000000"/>
                <w:sz w:val="18"/>
                <w:szCs w:val="18"/>
              </w:rPr>
              <w:t>Which of the following involved in the final phase of blood clotting?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077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Formation of fibrin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711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Formation of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prothrombin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534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Activation of blood clotting factor X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5448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8. 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What is the tube use for sample collection for coagulation test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222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3.8% sodium citrate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99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EDTA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222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3.2% sodium citrate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854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SST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5614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9. 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Test of fibrinolysis and the mechanisms that control hemostasis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677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Bleeding time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133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Coagulation profile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10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D-Dimer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413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10. 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Specimen for coagulation test stability 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44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48 hours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44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10 hours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33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6 hours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33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4 hours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5570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11. 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Detection principles for coagulation method (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Sysmex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CA 1500)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678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Optical detection method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078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Percentage detection method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334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Scattered light detection method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622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All the above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624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12. 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Match the below for CS 2100i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t xml:space="preserve">A. Optical detection method </w:t>
      </w:r>
    </w:p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C22337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A.</w: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197" type="#_x0000_t75" style="width:1in;height:18pt" o:ole="">
            <v:imagedata r:id="rId25" o:title=""/>
          </v:shape>
          <w:control r:id="rId26" w:name="DefaultOcxName8" w:shapeid="_x0000_i1197"/>
        </w:objec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196" type="#_x0000_t75" style="width:118.5pt;height:18pt" o:ole="">
            <v:imagedata r:id="rId27" o:title=""/>
          </v:shape>
          <w:control r:id="rId28" w:name="DefaultOcxName11" w:shapeid="_x0000_i1196"/>
        </w:object>
      </w:r>
    </w:p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t xml:space="preserve">B. Percentage detection method </w:t>
      </w:r>
    </w:p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C22337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B.</w: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195" type="#_x0000_t75" style="width:1in;height:18pt" o:ole="">
            <v:imagedata r:id="rId29" o:title=""/>
          </v:shape>
          <w:control r:id="rId30" w:name="DefaultOcxName21" w:shapeid="_x0000_i1195"/>
        </w:objec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194" type="#_x0000_t75" style="width:118.5pt;height:18pt" o:ole="">
            <v:imagedata r:id="rId31" o:title=""/>
          </v:shape>
          <w:control r:id="rId32" w:name="DefaultOcxName31" w:shapeid="_x0000_i1194"/>
        </w:object>
      </w:r>
    </w:p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t xml:space="preserve">C. Light source </w:t>
      </w:r>
    </w:p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color w:val="444444"/>
          <w:sz w:val="20"/>
          <w:szCs w:val="20"/>
        </w:rPr>
      </w:pPr>
      <w:r w:rsidRPr="00C22337"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  <w:t>C.</w: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t xml:space="preserve"> </w: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193" type="#_x0000_t75" style="width:1in;height:18pt" o:ole="">
            <v:imagedata r:id="rId33" o:title=""/>
          </v:shape>
          <w:control r:id="rId34" w:name="DefaultOcxName41" w:shapeid="_x0000_i1193"/>
        </w:object>
      </w:r>
      <w:r w:rsidRPr="00C22337">
        <w:rPr>
          <w:rFonts w:ascii="Helvetica" w:eastAsia="Times New Roman" w:hAnsi="Helvetica" w:cs="Helvetica"/>
          <w:color w:val="444444"/>
          <w:sz w:val="20"/>
          <w:szCs w:val="20"/>
        </w:rPr>
        <w:object w:dxaOrig="225" w:dyaOrig="225">
          <v:shape id="_x0000_i1192" type="#_x0000_t75" style="width:118.5pt;height:18pt" o:ole="">
            <v:imagedata r:id="rId35" o:title=""/>
          </v:shape>
          <w:control r:id="rId36" w:name="DefaultOcxName51" w:shapeid="_x0000_i1192"/>
        </w:object>
      </w: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8116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13. 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What is the storage and stability of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Thromborel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S reagent after reconstitution in the analyzer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33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8 hours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055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2 days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055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5 days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990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14. 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PT is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primarly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uses for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979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Monitoring of oral anticoagulant therapy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190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Detect deficiencies in the intrinsic coagulation system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845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Monitoring heparin therapy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879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15. 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APTT reportable limit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72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&gt;80 sec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283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&gt;180 sec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72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&gt;60 sec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7555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16. 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TT will be prolonged when functional fibrinogen levels &lt;80 mg/dl. TT is used to detect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256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Presence of heparin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813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hypofibrinogenemia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afibrinogenemia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and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dysfibrinogenemia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879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Presence of high fibrin degradation product (FDP)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622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All the above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014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17. 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Fibrinogen concentration  clinical significance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067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To evaluate extrinsic coagulation system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923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respond to infection and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oter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short term inflammatory stressor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012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To evaluate intrinsic coagulation system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567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to </w:t>
            </w:r>
            <w:proofErr w:type="spellStart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eavaluate</w:t>
            </w:r>
            <w:proofErr w:type="spellEnd"/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the fibrinolysis system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6381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18. 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Is there any special instruction for polycythemia or severe anemia cases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877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True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955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False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512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19. 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What is critical value for INR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94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&gt;9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94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&gt;8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94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&gt;6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94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&gt;5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868"/>
      </w:tblGrid>
      <w:tr w:rsidR="00C22337" w:rsidRPr="00C22337" w:rsidTr="00C22337">
        <w:trPr>
          <w:tblCellSpacing w:w="0" w:type="dxa"/>
        </w:trPr>
        <w:tc>
          <w:tcPr>
            <w:tcW w:w="0" w:type="auto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20. 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The QC is performed </w:t>
            </w:r>
          </w:p>
        </w:tc>
      </w:tr>
      <w:tr w:rsidR="00C22337" w:rsidRPr="00C22337" w:rsidTr="00C22337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before="120" w:after="0" w:line="240" w:lineRule="auto"/>
              <w:rPr>
                <w:rFonts w:ascii="Helvetica" w:eastAsia="Times New Roman" w:hAnsi="Helvetica" w:cs="Helvetica"/>
                <w:color w:val="444444"/>
                <w:sz w:val="8"/>
                <w:szCs w:val="20"/>
              </w:rPr>
            </w:pP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388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twice daily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22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replacement of reagent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701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major repair, major maintenance and calibration </w:t>
            </w:r>
          </w:p>
        </w:tc>
      </w:tr>
    </w:tbl>
    <w:p w:rsidR="00C22337" w:rsidRPr="00C22337" w:rsidRDefault="00C22337" w:rsidP="00BD3732">
      <w:pPr>
        <w:shd w:val="clear" w:color="auto" w:fill="F8F8F8"/>
        <w:spacing w:after="0" w:line="240" w:lineRule="auto"/>
        <w:ind w:left="720"/>
        <w:rPr>
          <w:rFonts w:ascii="Helvetica" w:eastAsia="Times New Roman" w:hAnsi="Helvetica" w:cs="Helvetica"/>
          <w:vanish/>
          <w:color w:val="444444"/>
          <w:sz w:val="20"/>
          <w:szCs w:val="20"/>
        </w:rPr>
      </w:pPr>
    </w:p>
    <w:tbl>
      <w:tblPr>
        <w:tblW w:w="0" w:type="auto"/>
        <w:tblCellSpacing w:w="0" w:type="dxa"/>
        <w:tblInd w:w="720" w:type="dxa"/>
        <w:tblCellMar>
          <w:left w:w="465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822"/>
      </w:tblGrid>
      <w:tr w:rsidR="00C22337" w:rsidRPr="00C22337" w:rsidTr="00BD3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C22337" w:rsidRPr="00C22337" w:rsidRDefault="00C22337" w:rsidP="00BD37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C22337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all of the above </w:t>
            </w:r>
          </w:p>
        </w:tc>
      </w:tr>
    </w:tbl>
    <w:p w:rsidR="007B14C2" w:rsidRDefault="007B14C2" w:rsidP="00BD3732"/>
    <w:sectPr w:rsidR="007B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32" w:rsidRDefault="00BD3732" w:rsidP="00BD3732">
      <w:pPr>
        <w:spacing w:after="0" w:line="240" w:lineRule="auto"/>
      </w:pPr>
      <w:r>
        <w:separator/>
      </w:r>
    </w:p>
  </w:endnote>
  <w:endnote w:type="continuationSeparator" w:id="0">
    <w:p w:rsidR="00BD3732" w:rsidRDefault="00BD3732" w:rsidP="00BD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32" w:rsidRDefault="00BD3732" w:rsidP="00BD3732">
      <w:pPr>
        <w:spacing w:after="0" w:line="240" w:lineRule="auto"/>
      </w:pPr>
      <w:r>
        <w:separator/>
      </w:r>
    </w:p>
  </w:footnote>
  <w:footnote w:type="continuationSeparator" w:id="0">
    <w:p w:rsidR="00BD3732" w:rsidRDefault="00BD3732" w:rsidP="00BD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2960"/>
    <w:multiLevelType w:val="hybridMultilevel"/>
    <w:tmpl w:val="548E6240"/>
    <w:lvl w:ilvl="0" w:tplc="119E3A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10"/>
    <w:rsid w:val="001B5603"/>
    <w:rsid w:val="00687110"/>
    <w:rsid w:val="007B14C2"/>
    <w:rsid w:val="00BD3732"/>
    <w:rsid w:val="00C2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32"/>
  </w:style>
  <w:style w:type="paragraph" w:styleId="Footer">
    <w:name w:val="footer"/>
    <w:basedOn w:val="Normal"/>
    <w:link w:val="FooterChar"/>
    <w:uiPriority w:val="99"/>
    <w:unhideWhenUsed/>
    <w:rsid w:val="00BD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32"/>
  </w:style>
  <w:style w:type="paragraph" w:styleId="Footer">
    <w:name w:val="footer"/>
    <w:basedOn w:val="Normal"/>
    <w:link w:val="FooterChar"/>
    <w:uiPriority w:val="99"/>
    <w:unhideWhenUsed/>
    <w:rsid w:val="00BD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7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369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3184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76672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02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4" w:color="E9C362"/>
                                    <w:left w:val="single" w:sz="6" w:space="4" w:color="E9C362"/>
                                    <w:bottom w:val="single" w:sz="6" w:space="4" w:color="E9C362"/>
                                    <w:right w:val="single" w:sz="6" w:space="4" w:color="E9C362"/>
                                  </w:divBdr>
                                </w:div>
                                <w:div w:id="415712618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88467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159862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971213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860003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38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107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4896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558408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567308">
                          <w:marLeft w:val="48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3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rofs.com/quiz-school/signup/business/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Argento, Erin</dc:creator>
  <cp:keywords/>
  <dc:description/>
  <cp:lastModifiedBy>Scarano, Donna</cp:lastModifiedBy>
  <cp:revision>2</cp:revision>
  <dcterms:created xsi:type="dcterms:W3CDTF">2013-09-11T14:14:00Z</dcterms:created>
  <dcterms:modified xsi:type="dcterms:W3CDTF">2013-09-11T14:14:00Z</dcterms:modified>
</cp:coreProperties>
</file>