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91" w:rsidRDefault="00E71091" w:rsidP="00DA1DFD">
      <w:pPr>
        <w:tabs>
          <w:tab w:val="left" w:pos="3885"/>
        </w:tabs>
      </w:pPr>
      <w:bookmarkStart w:id="0" w:name="_GoBack"/>
      <w:bookmarkEnd w:id="0"/>
      <w:r>
        <w:rPr>
          <w:b/>
        </w:rPr>
        <w:t xml:space="preserve">Purpose: </w:t>
      </w:r>
      <w:r w:rsidRPr="00DA1DFD">
        <w:t>To define in detail the daily, weekly, monthly, and as needed maintenance to be performed</w:t>
      </w:r>
      <w:r w:rsidR="00944E84">
        <w:t xml:space="preserve"> specifically</w:t>
      </w:r>
      <w:r w:rsidRPr="00DA1DFD">
        <w:t xml:space="preserve"> by a supervisor </w:t>
      </w:r>
      <w:r w:rsidR="00C806D5">
        <w:t>and/</w:t>
      </w:r>
      <w:r w:rsidRPr="00DA1DFD">
        <w:t>or trained designee.</w:t>
      </w:r>
    </w:p>
    <w:p w:rsidR="00615ACD" w:rsidRPr="00615ACD" w:rsidRDefault="00615ACD" w:rsidP="00DA1DFD">
      <w:pPr>
        <w:tabs>
          <w:tab w:val="left" w:pos="3885"/>
        </w:tabs>
        <w:rPr>
          <w:b/>
        </w:rPr>
      </w:pPr>
      <w:r w:rsidRPr="00167F3B">
        <w:rPr>
          <w:b/>
        </w:rPr>
        <w:t xml:space="preserve">Procedure: </w:t>
      </w:r>
    </w:p>
    <w:p w:rsidR="00F81CC8" w:rsidRPr="00CB6F98" w:rsidRDefault="00F81CC8" w:rsidP="00DA1DFD">
      <w:pPr>
        <w:tabs>
          <w:tab w:val="left" w:pos="3885"/>
        </w:tabs>
        <w:rPr>
          <w:b/>
          <w:u w:val="single"/>
        </w:rPr>
      </w:pPr>
      <w:r w:rsidRPr="00CB6F98">
        <w:rPr>
          <w:b/>
          <w:u w:val="single"/>
        </w:rPr>
        <w:t>Daily Maintenance</w:t>
      </w:r>
      <w:r w:rsidR="00944E84">
        <w:rPr>
          <w:b/>
          <w:u w:val="single"/>
        </w:rPr>
        <w:t>: all techs to perform</w:t>
      </w:r>
    </w:p>
    <w:p w:rsidR="00B10FFB" w:rsidRPr="002F4930" w:rsidRDefault="00B10FFB" w:rsidP="00195A69">
      <w:pPr>
        <w:pStyle w:val="ListParagraph"/>
        <w:numPr>
          <w:ilvl w:val="0"/>
          <w:numId w:val="7"/>
        </w:numPr>
        <w:rPr>
          <w:color w:val="FF0000"/>
        </w:rPr>
      </w:pPr>
      <w:r w:rsidRPr="00195A69">
        <w:t xml:space="preserve">Check commercial QC &amp; Moving </w:t>
      </w:r>
      <w:r w:rsidRPr="00DA1DFD">
        <w:t>Averages</w:t>
      </w:r>
      <w:r w:rsidR="002F4930" w:rsidRPr="00DA1DFD">
        <w:t xml:space="preserve"> (X-B and WBC map)</w:t>
      </w:r>
    </w:p>
    <w:p w:rsidR="00B10FFB" w:rsidRPr="00195A69" w:rsidRDefault="00B10FFB" w:rsidP="00195A69">
      <w:pPr>
        <w:pStyle w:val="ListParagraph"/>
        <w:numPr>
          <w:ilvl w:val="0"/>
          <w:numId w:val="7"/>
        </w:numPr>
      </w:pPr>
      <w:r w:rsidRPr="00195A69">
        <w:t>Check problem log</w:t>
      </w:r>
    </w:p>
    <w:p w:rsidR="00F81CC8" w:rsidRDefault="00F81CC8" w:rsidP="00195A69">
      <w:pPr>
        <w:pStyle w:val="ListParagraph"/>
        <w:numPr>
          <w:ilvl w:val="0"/>
          <w:numId w:val="7"/>
        </w:numPr>
      </w:pPr>
      <w:r w:rsidRPr="00195A69">
        <w:t>Auto clean</w:t>
      </w:r>
    </w:p>
    <w:p w:rsidR="00264756" w:rsidRPr="00195A69" w:rsidRDefault="00264756" w:rsidP="00195A69">
      <w:pPr>
        <w:pStyle w:val="ListParagraph"/>
        <w:numPr>
          <w:ilvl w:val="0"/>
          <w:numId w:val="7"/>
        </w:numPr>
      </w:pPr>
      <w:r>
        <w:t xml:space="preserve">Visually inspect syringes, lines for any leaks or </w:t>
      </w:r>
      <w:r w:rsidR="001C7911">
        <w:t>crystallization</w:t>
      </w:r>
    </w:p>
    <w:p w:rsidR="00F81CC8" w:rsidRPr="00CB6F98" w:rsidRDefault="00F81CC8" w:rsidP="00195A69">
      <w:pPr>
        <w:rPr>
          <w:b/>
          <w:u w:val="single"/>
        </w:rPr>
      </w:pPr>
      <w:r w:rsidRPr="00CB6F98">
        <w:rPr>
          <w:b/>
          <w:u w:val="single"/>
        </w:rPr>
        <w:t>Weekly Maintenance</w:t>
      </w:r>
      <w:r w:rsidR="00944E84">
        <w:rPr>
          <w:b/>
          <w:u w:val="single"/>
        </w:rPr>
        <w:t>: supervisor or trained designee only to perform</w:t>
      </w:r>
    </w:p>
    <w:p w:rsidR="00B10FFB" w:rsidRPr="00195A69" w:rsidRDefault="00B10FFB" w:rsidP="00195A69">
      <w:pPr>
        <w:pStyle w:val="ListParagraph"/>
        <w:numPr>
          <w:ilvl w:val="0"/>
          <w:numId w:val="8"/>
        </w:numPr>
      </w:pPr>
      <w:r w:rsidRPr="00195A69">
        <w:t>Check daily maintenance log signed –off</w:t>
      </w:r>
      <w:r w:rsidR="00264756">
        <w:t xml:space="preserve"> (completed, if not resolve with operators)</w:t>
      </w:r>
    </w:p>
    <w:p w:rsidR="00B10FFB" w:rsidRPr="00195A69" w:rsidRDefault="00B10FFB" w:rsidP="00195A69">
      <w:pPr>
        <w:pStyle w:val="ListParagraph"/>
        <w:numPr>
          <w:ilvl w:val="0"/>
          <w:numId w:val="8"/>
        </w:numPr>
      </w:pPr>
      <w:r w:rsidRPr="00195A69">
        <w:t>Check mean limits on QC 11 &amp; 12 library</w:t>
      </w:r>
    </w:p>
    <w:p w:rsidR="00B10FFB" w:rsidRPr="00195A69" w:rsidRDefault="00B10FFB" w:rsidP="00195A69">
      <w:pPr>
        <w:pStyle w:val="ListParagraph"/>
        <w:numPr>
          <w:ilvl w:val="0"/>
          <w:numId w:val="8"/>
        </w:numPr>
      </w:pPr>
      <w:r w:rsidRPr="00195A69">
        <w:t>Delete out unused libraries i.e. QC file used for precision or whole blood comparison</w:t>
      </w:r>
    </w:p>
    <w:p w:rsidR="00F81CC8" w:rsidRPr="00195A69" w:rsidRDefault="00F81CC8" w:rsidP="00195A69">
      <w:pPr>
        <w:pStyle w:val="ListParagraph"/>
        <w:numPr>
          <w:ilvl w:val="0"/>
          <w:numId w:val="8"/>
        </w:numPr>
      </w:pPr>
      <w:r w:rsidRPr="00195A69">
        <w:t xml:space="preserve">Clean Autoloader tray </w:t>
      </w:r>
    </w:p>
    <w:p w:rsidR="00F81CC8" w:rsidRPr="00195A69" w:rsidRDefault="00F81CC8" w:rsidP="00195A69">
      <w:pPr>
        <w:pStyle w:val="ListParagraph"/>
        <w:numPr>
          <w:ilvl w:val="0"/>
          <w:numId w:val="8"/>
        </w:numPr>
      </w:pPr>
      <w:r w:rsidRPr="00195A69">
        <w:t>Clean racks</w:t>
      </w:r>
    </w:p>
    <w:p w:rsidR="00F81CC8" w:rsidRPr="00195A69" w:rsidRDefault="00F81CC8" w:rsidP="00195A69">
      <w:pPr>
        <w:pStyle w:val="ListParagraph"/>
        <w:numPr>
          <w:ilvl w:val="0"/>
          <w:numId w:val="8"/>
        </w:numPr>
      </w:pPr>
      <w:r w:rsidRPr="00195A69">
        <w:t>Clean Rack completion Indicator Cleaning</w:t>
      </w:r>
      <w:r w:rsidR="00AF1DCA">
        <w:t xml:space="preserve"> (turkey timer)</w:t>
      </w:r>
    </w:p>
    <w:p w:rsidR="002154D0" w:rsidRPr="00DA1DFD" w:rsidRDefault="002154D0" w:rsidP="00195A69">
      <w:pPr>
        <w:pStyle w:val="ListParagraph"/>
        <w:numPr>
          <w:ilvl w:val="0"/>
          <w:numId w:val="8"/>
        </w:numPr>
      </w:pPr>
      <w:r w:rsidRPr="00DA1DFD">
        <w:t>Replace 1,2,3 peri-pump tubing</w:t>
      </w:r>
    </w:p>
    <w:p w:rsidR="00B10FFB" w:rsidRPr="00DA1DFD" w:rsidRDefault="00B10FFB" w:rsidP="00195A69">
      <w:pPr>
        <w:pStyle w:val="ListParagraph"/>
        <w:numPr>
          <w:ilvl w:val="0"/>
          <w:numId w:val="8"/>
        </w:numPr>
      </w:pPr>
      <w:bookmarkStart w:id="1" w:name="OLE_LINK1"/>
      <w:r w:rsidRPr="00DA1DFD">
        <w:t xml:space="preserve">Every 5,000 cycles or </w:t>
      </w:r>
      <w:r w:rsidR="00622ACC" w:rsidRPr="00DA1DFD">
        <w:t xml:space="preserve">1-1.5 </w:t>
      </w:r>
      <w:r w:rsidRPr="00DA1DFD">
        <w:t xml:space="preserve"> weeks replace vent cone and aspiration needle</w:t>
      </w:r>
      <w:r w:rsidR="00622ACC" w:rsidRPr="00DA1DFD">
        <w:t xml:space="preserve"> and perform zero park</w:t>
      </w:r>
    </w:p>
    <w:bookmarkEnd w:id="1"/>
    <w:p w:rsidR="00F81CC8" w:rsidRPr="00CB6F98" w:rsidRDefault="00F81CC8" w:rsidP="00195A69">
      <w:pPr>
        <w:rPr>
          <w:b/>
          <w:u w:val="single"/>
        </w:rPr>
      </w:pPr>
      <w:r w:rsidRPr="00CB6F98">
        <w:rPr>
          <w:b/>
          <w:u w:val="single"/>
        </w:rPr>
        <w:t>Monthly Maintenance</w:t>
      </w:r>
      <w:r w:rsidR="00944E84">
        <w:rPr>
          <w:b/>
          <w:u w:val="single"/>
        </w:rPr>
        <w:t>: supervisor or trained designee only to perform</w:t>
      </w:r>
    </w:p>
    <w:p w:rsidR="00B10FFB" w:rsidRDefault="00B10FFB" w:rsidP="00195A69">
      <w:pPr>
        <w:pStyle w:val="ListParagraph"/>
        <w:numPr>
          <w:ilvl w:val="0"/>
          <w:numId w:val="9"/>
        </w:numPr>
      </w:pPr>
      <w:r w:rsidRPr="00DA1DFD">
        <w:t xml:space="preserve">Whole Blood Correlation for Sapphire 1,2,3 &amp; </w:t>
      </w:r>
      <w:r w:rsidR="00622ACC" w:rsidRPr="00DA1DFD">
        <w:t>4</w:t>
      </w:r>
      <w:r w:rsidRPr="00DA1DFD">
        <w:t>, Fluid Sapphire</w:t>
      </w:r>
    </w:p>
    <w:p w:rsidR="00944E84" w:rsidRPr="00DA1DFD" w:rsidRDefault="00944E84" w:rsidP="00944E84">
      <w:pPr>
        <w:pStyle w:val="ListParagraph"/>
        <w:numPr>
          <w:ilvl w:val="0"/>
          <w:numId w:val="9"/>
        </w:numPr>
      </w:pPr>
      <w:r w:rsidRPr="00DA1DFD">
        <w:t xml:space="preserve">Every </w:t>
      </w:r>
      <w:r w:rsidRPr="00167F3B">
        <w:rPr>
          <w:b/>
        </w:rPr>
        <w:t>2 months</w:t>
      </w:r>
      <w:r w:rsidRPr="00DA1DFD">
        <w:t xml:space="preserve">  </w:t>
      </w:r>
      <w:r w:rsidRPr="00167F3B">
        <w:rPr>
          <w:b/>
        </w:rPr>
        <w:t>or 120 sample runs</w:t>
      </w:r>
      <w:r w:rsidRPr="00DA1DFD">
        <w:t xml:space="preserve"> for current QC lot print and purge current QC file </w:t>
      </w:r>
    </w:p>
    <w:p w:rsidR="00B10FFB" w:rsidRPr="00DA1DFD" w:rsidRDefault="00B10FFB" w:rsidP="00195A69">
      <w:pPr>
        <w:pStyle w:val="ListParagraph"/>
        <w:numPr>
          <w:ilvl w:val="0"/>
          <w:numId w:val="9"/>
        </w:numPr>
      </w:pPr>
      <w:r w:rsidRPr="00DA1DFD">
        <w:t>Sign-off on monthly maintenance and problem log</w:t>
      </w:r>
    </w:p>
    <w:p w:rsidR="00F81CC8" w:rsidRPr="00DA1DFD" w:rsidRDefault="00F81CC8" w:rsidP="00195A69">
      <w:pPr>
        <w:pStyle w:val="ListParagraph"/>
        <w:numPr>
          <w:ilvl w:val="0"/>
          <w:numId w:val="9"/>
        </w:numPr>
      </w:pPr>
      <w:r w:rsidRPr="00DA1DFD">
        <w:t>Clean HGB Syringe, check if needed to be changed</w:t>
      </w:r>
      <w:r w:rsidR="00622ACC" w:rsidRPr="00DA1DFD">
        <w:t xml:space="preserve"> (if changing also replace </w:t>
      </w:r>
      <w:proofErr w:type="spellStart"/>
      <w:r w:rsidR="00622ACC" w:rsidRPr="00DA1DFD">
        <w:t>leur</w:t>
      </w:r>
      <w:proofErr w:type="spellEnd"/>
      <w:r w:rsidR="00622ACC" w:rsidRPr="00DA1DFD">
        <w:t xml:space="preserve"> fitting)</w:t>
      </w:r>
    </w:p>
    <w:p w:rsidR="00EF3CA6" w:rsidRPr="00DA1DFD" w:rsidRDefault="00EF3CA6" w:rsidP="00195A69">
      <w:pPr>
        <w:pStyle w:val="ListParagraph"/>
        <w:numPr>
          <w:ilvl w:val="0"/>
          <w:numId w:val="9"/>
        </w:numPr>
      </w:pPr>
      <w:r w:rsidRPr="00DA1DFD">
        <w:t>Flush</w:t>
      </w:r>
      <w:r w:rsidR="00D55E5F" w:rsidRPr="00DA1DFD">
        <w:t xml:space="preserve"> T-fitting  with distilled water above valve # 345 “vent cleaning waste”</w:t>
      </w:r>
    </w:p>
    <w:p w:rsidR="00D55E5F" w:rsidRPr="00DA1DFD" w:rsidRDefault="00D55E5F" w:rsidP="00195A69">
      <w:pPr>
        <w:pStyle w:val="ListParagraph"/>
        <w:numPr>
          <w:ilvl w:val="0"/>
          <w:numId w:val="9"/>
        </w:numPr>
      </w:pPr>
      <w:r w:rsidRPr="00DA1DFD">
        <w:t>Flush T-fitting to the right of valve #317 “flush cup drain”</w:t>
      </w:r>
    </w:p>
    <w:p w:rsidR="00622ACC" w:rsidRPr="00DA1DFD" w:rsidRDefault="00622ACC" w:rsidP="00195A69">
      <w:pPr>
        <w:pStyle w:val="ListParagraph"/>
        <w:numPr>
          <w:ilvl w:val="0"/>
          <w:numId w:val="9"/>
        </w:numPr>
      </w:pPr>
      <w:r w:rsidRPr="00DA1DFD">
        <w:t>Visually inspect fittings and lines above and below #345 and #317 for pieces of cap cork</w:t>
      </w:r>
      <w:r w:rsidR="00AF1DCA" w:rsidRPr="00DA1DFD">
        <w:t xml:space="preserve"> (flush lines and fittings if cork pieces observed)</w:t>
      </w:r>
    </w:p>
    <w:p w:rsidR="0015061B" w:rsidRPr="00DA1DFD" w:rsidRDefault="0015061B" w:rsidP="0015061B">
      <w:pPr>
        <w:pStyle w:val="ListParagraph"/>
        <w:numPr>
          <w:ilvl w:val="0"/>
          <w:numId w:val="9"/>
        </w:numPr>
      </w:pPr>
      <w:r w:rsidRPr="00DA1DFD">
        <w:t xml:space="preserve">Click on Remove and install aperture plate </w:t>
      </w:r>
      <w:r w:rsidR="00614C8E" w:rsidRPr="00DA1DFD">
        <w:t>(Do not take off)</w:t>
      </w:r>
    </w:p>
    <w:p w:rsidR="0015061B" w:rsidRDefault="0015061B" w:rsidP="0015061B">
      <w:pPr>
        <w:pStyle w:val="ListParagraph"/>
        <w:numPr>
          <w:ilvl w:val="0"/>
          <w:numId w:val="9"/>
        </w:numPr>
      </w:pPr>
      <w:r w:rsidRPr="0015061B">
        <w:lastRenderedPageBreak/>
        <w:t xml:space="preserve">Clean the waste line port with </w:t>
      </w:r>
      <w:r w:rsidR="00264756">
        <w:t>hot water</w:t>
      </w:r>
      <w:r w:rsidRPr="0015061B">
        <w:t xml:space="preserve"> to flush the top fittings on the vacuum accumulator”(waste port to right of waste chamber #1)</w:t>
      </w:r>
    </w:p>
    <w:p w:rsidR="00944E84" w:rsidRDefault="001C7911" w:rsidP="00DA1DFD">
      <w:pPr>
        <w:rPr>
          <w:b/>
          <w:u w:val="single"/>
        </w:rPr>
      </w:pPr>
      <w:r w:rsidRPr="00DA1DFD">
        <w:rPr>
          <w:b/>
          <w:u w:val="single"/>
        </w:rPr>
        <w:t>Whole blood Comparisons</w:t>
      </w:r>
      <w:r>
        <w:rPr>
          <w:b/>
          <w:u w:val="single"/>
        </w:rPr>
        <w:t>:</w:t>
      </w:r>
      <w:r w:rsidR="00944E84" w:rsidRPr="00944E84">
        <w:rPr>
          <w:b/>
          <w:u w:val="single"/>
        </w:rPr>
        <w:t xml:space="preserve"> </w:t>
      </w:r>
      <w:r w:rsidR="00944E84">
        <w:rPr>
          <w:b/>
          <w:u w:val="single"/>
        </w:rPr>
        <w:t>supervisor or trained designee only to perform</w:t>
      </w:r>
    </w:p>
    <w:p w:rsidR="001C7911" w:rsidRPr="00DA1DFD" w:rsidRDefault="00944E84" w:rsidP="00DA1DFD">
      <w:pPr>
        <w:rPr>
          <w:b/>
          <w:u w:val="single"/>
        </w:rPr>
      </w:pPr>
      <w:r w:rsidRPr="00167F3B">
        <w:rPr>
          <w:b/>
        </w:rPr>
        <w:t>T</w:t>
      </w:r>
      <w:r w:rsidR="001C7911" w:rsidRPr="00167F3B">
        <w:rPr>
          <w:b/>
        </w:rPr>
        <w:t>o be performed on all Sapphires (1</w:t>
      </w:r>
      <w:r w:rsidR="001C7911" w:rsidRPr="00167F3B">
        <w:rPr>
          <w:b/>
          <w:vertAlign w:val="superscript"/>
        </w:rPr>
        <w:t>st</w:t>
      </w:r>
      <w:r w:rsidR="001C7911" w:rsidRPr="00167F3B">
        <w:rPr>
          <w:b/>
        </w:rPr>
        <w:t xml:space="preserve"> week of the month) or as needed</w:t>
      </w:r>
    </w:p>
    <w:p w:rsidR="001C7911" w:rsidRPr="00352123" w:rsidRDefault="001C7911" w:rsidP="001C7911">
      <w:pPr>
        <w:pStyle w:val="ListParagraph"/>
        <w:numPr>
          <w:ilvl w:val="1"/>
          <w:numId w:val="20"/>
        </w:numPr>
      </w:pPr>
      <w:r w:rsidRPr="00352123">
        <w:t xml:space="preserve">Review commercial </w:t>
      </w:r>
      <w:r w:rsidRPr="00DA1DFD">
        <w:t>QC and X-B and WBC map files</w:t>
      </w:r>
    </w:p>
    <w:p w:rsidR="001C7911" w:rsidRDefault="001C7911" w:rsidP="001C7911">
      <w:pPr>
        <w:pStyle w:val="ListParagraph"/>
        <w:numPr>
          <w:ilvl w:val="1"/>
          <w:numId w:val="20"/>
        </w:numPr>
      </w:pPr>
      <w:r>
        <w:t>Check all Reagents are within expiration date, and are at least ½ full</w:t>
      </w:r>
    </w:p>
    <w:p w:rsidR="001C7911" w:rsidRDefault="001C7911" w:rsidP="001C7911">
      <w:pPr>
        <w:pStyle w:val="ListParagraph"/>
        <w:numPr>
          <w:ilvl w:val="1"/>
          <w:numId w:val="20"/>
        </w:numPr>
      </w:pPr>
      <w:r>
        <w:t>Check all instrument maintenance ( i.e. auto-clean) is up to date (according to problem/maintenance log)</w:t>
      </w:r>
    </w:p>
    <w:p w:rsidR="001C7911" w:rsidRDefault="001C7911" w:rsidP="001C7911">
      <w:pPr>
        <w:pStyle w:val="ListParagraph"/>
        <w:numPr>
          <w:ilvl w:val="1"/>
          <w:numId w:val="20"/>
        </w:numPr>
      </w:pPr>
      <w:r>
        <w:t>Check Background counts are within specifications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WBC&lt;0.10 x10</w:t>
      </w:r>
      <w:r w:rsidRPr="00352123">
        <w:rPr>
          <w:vertAlign w:val="superscript"/>
        </w:rPr>
        <w:t>3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RBC &lt; 0.02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HGB &lt; 0.10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1C7911" w:rsidRPr="00352123" w:rsidRDefault="001C7911" w:rsidP="001C7911">
      <w:pPr>
        <w:pStyle w:val="ListParagraph"/>
        <w:numPr>
          <w:ilvl w:val="2"/>
          <w:numId w:val="20"/>
        </w:numPr>
      </w:pPr>
      <w:r>
        <w:t>PLT&lt; 5.0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1C7911" w:rsidRDefault="001C7911" w:rsidP="001C7911">
      <w:pPr>
        <w:pStyle w:val="ListParagraph"/>
        <w:numPr>
          <w:ilvl w:val="1"/>
          <w:numId w:val="20"/>
        </w:numPr>
      </w:pPr>
      <w:r w:rsidRPr="00BC3372">
        <w:t xml:space="preserve">Check Precision results – run </w:t>
      </w:r>
      <w:r w:rsidRPr="00DA1DFD">
        <w:t xml:space="preserve">a single normal blood (always check for clots before running) with </w:t>
      </w:r>
      <w:r>
        <w:t>¾ or greater volume</w:t>
      </w:r>
      <w:r w:rsidRPr="00BC3372">
        <w:t xml:space="preserve"> 10 times</w:t>
      </w:r>
      <w:r>
        <w:t xml:space="preserve"> in closed mode</w:t>
      </w:r>
      <w:r w:rsidRPr="00BC3372">
        <w:t xml:space="preserve"> in a QC library</w:t>
      </w:r>
      <w:r>
        <w:t xml:space="preserve"> review for acceptable CV%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WBC &lt;2.7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RBC&lt; 1.5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HGB &lt;1.0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MCV &lt;1.0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r>
        <w:t>RDW &lt; 2.5</w:t>
      </w:r>
    </w:p>
    <w:p w:rsidR="001C7911" w:rsidRDefault="001C7911" w:rsidP="001C7911">
      <w:pPr>
        <w:pStyle w:val="ListParagraph"/>
        <w:numPr>
          <w:ilvl w:val="2"/>
          <w:numId w:val="20"/>
        </w:numPr>
      </w:pPr>
      <w:proofErr w:type="spellStart"/>
      <w:r>
        <w:t>PLTo</w:t>
      </w:r>
      <w:proofErr w:type="spellEnd"/>
      <w:r>
        <w:t xml:space="preserve"> &lt;4.0</w:t>
      </w:r>
    </w:p>
    <w:p w:rsidR="001C7911" w:rsidRDefault="001C7911" w:rsidP="00DA1DFD">
      <w:pPr>
        <w:pStyle w:val="ListParagraph"/>
        <w:numPr>
          <w:ilvl w:val="2"/>
          <w:numId w:val="20"/>
        </w:numPr>
      </w:pPr>
      <w:r>
        <w:t>MPV &lt;5.0</w:t>
      </w:r>
    </w:p>
    <w:p w:rsidR="001C7911" w:rsidRDefault="001C7911" w:rsidP="00DA1DFD">
      <w:pPr>
        <w:pStyle w:val="ListParagraph"/>
        <w:numPr>
          <w:ilvl w:val="1"/>
          <w:numId w:val="20"/>
        </w:numPr>
      </w:pPr>
      <w:r>
        <w:t xml:space="preserve">Gather  10 normal bloods  about ¾ full with blood, use QC 11 normal criteria for CBC, (no starred or error flagged </w:t>
      </w:r>
      <w:r w:rsidRPr="00615ACD">
        <w:t>results or clots)</w:t>
      </w:r>
    </w:p>
    <w:p w:rsidR="001C7911" w:rsidRDefault="001C7911" w:rsidP="00DA1DFD">
      <w:pPr>
        <w:pStyle w:val="ListParagraph"/>
        <w:numPr>
          <w:ilvl w:val="1"/>
          <w:numId w:val="20"/>
        </w:numPr>
      </w:pPr>
      <w:r>
        <w:t>Cover barcodes (not order #s) for 10 normal bloods with blank label.  Program the rack of 10 bloods into the designated Whole Blood comparison QC file. (Use match rack and tube option)</w:t>
      </w:r>
    </w:p>
    <w:p w:rsidR="00FB0B58" w:rsidRDefault="00FB0B58" w:rsidP="00DA1DFD"/>
    <w:p w:rsidR="00FB0B58" w:rsidRDefault="00FB0B58" w:rsidP="00DA1DFD"/>
    <w:p w:rsidR="00FB0B58" w:rsidRDefault="00FB0B58" w:rsidP="00DA1DFD"/>
    <w:p w:rsidR="001C7911" w:rsidRDefault="001C7911" w:rsidP="00DA1DFD">
      <w:pPr>
        <w:pStyle w:val="ListParagraph"/>
        <w:numPr>
          <w:ilvl w:val="1"/>
          <w:numId w:val="20"/>
        </w:numPr>
      </w:pPr>
      <w:r>
        <w:t xml:space="preserve">Tolerance Ranges for whole blood comparisons </w:t>
      </w:r>
    </w:p>
    <w:tbl>
      <w:tblPr>
        <w:tblW w:w="3482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741"/>
      </w:tblGrid>
      <w:tr w:rsidR="001C7911" w:rsidRPr="0058547C" w:rsidTr="003167FD">
        <w:trPr>
          <w:trHeight w:val="692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8547C">
              <w:rPr>
                <w:b w:val="0"/>
                <w:sz w:val="24"/>
                <w:szCs w:val="24"/>
              </w:rPr>
              <w:t>Wbc</w:t>
            </w:r>
            <w:proofErr w:type="spellEnd"/>
            <w:proofErr w:type="gramEnd"/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±0.5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8547C">
              <w:rPr>
                <w:b w:val="0"/>
                <w:sz w:val="24"/>
                <w:szCs w:val="24"/>
              </w:rPr>
              <w:t>Rbc</w:t>
            </w:r>
            <w:proofErr w:type="spellEnd"/>
            <w:proofErr w:type="gramEnd"/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±0.15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47C">
              <w:rPr>
                <w:b w:val="0"/>
                <w:sz w:val="24"/>
                <w:szCs w:val="24"/>
              </w:rPr>
              <w:t>Hgb</w:t>
            </w:r>
            <w:proofErr w:type="spellEnd"/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±0.2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47C">
              <w:rPr>
                <w:b w:val="0"/>
                <w:sz w:val="24"/>
                <w:szCs w:val="24"/>
              </w:rPr>
              <w:t>Hct</w:t>
            </w:r>
            <w:proofErr w:type="spellEnd"/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±1.5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MCV</w:t>
            </w:r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±2.0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MCHC</w:t>
            </w:r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±1.0</w:t>
            </w:r>
          </w:p>
        </w:tc>
      </w:tr>
      <w:tr w:rsidR="001C7911" w:rsidRPr="0058547C" w:rsidTr="003167FD">
        <w:trPr>
          <w:trHeight w:val="14"/>
        </w:trPr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47C">
              <w:rPr>
                <w:b w:val="0"/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1741" w:type="dxa"/>
          </w:tcPr>
          <w:p w:rsidR="001C7911" w:rsidRPr="0058547C" w:rsidRDefault="001C7911" w:rsidP="003167FD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58547C">
              <w:rPr>
                <w:b w:val="0"/>
                <w:sz w:val="24"/>
                <w:szCs w:val="24"/>
              </w:rPr>
              <w:t>±10</w:t>
            </w:r>
          </w:p>
        </w:tc>
      </w:tr>
    </w:tbl>
    <w:p w:rsidR="001C7911" w:rsidRDefault="001C7911" w:rsidP="00DA1DFD">
      <w:pPr>
        <w:pStyle w:val="ListParagraph"/>
        <w:numPr>
          <w:ilvl w:val="1"/>
          <w:numId w:val="20"/>
        </w:numPr>
      </w:pPr>
      <w:r>
        <w:t>Print out Whole Blood Comparison QC file from each instrument.</w:t>
      </w:r>
    </w:p>
    <w:p w:rsidR="001C7911" w:rsidRPr="00DA1DFD" w:rsidRDefault="001C7911" w:rsidP="00DA1DFD">
      <w:pPr>
        <w:pStyle w:val="ListParagraph"/>
        <w:numPr>
          <w:ilvl w:val="1"/>
          <w:numId w:val="20"/>
        </w:numPr>
      </w:pPr>
      <w:r>
        <w:t xml:space="preserve">Log the file mean of each whole blood comparison QC file per instrument on the Whole blood </w:t>
      </w:r>
      <w:r w:rsidRPr="00DA1DFD">
        <w:t>comparison worksheet (stored in whole blood comparison notebook).</w:t>
      </w:r>
    </w:p>
    <w:p w:rsidR="001C7911" w:rsidRPr="00DA1DFD" w:rsidRDefault="001C7911" w:rsidP="00DA1DFD">
      <w:pPr>
        <w:pStyle w:val="ListParagraph"/>
        <w:numPr>
          <w:ilvl w:val="1"/>
          <w:numId w:val="20"/>
        </w:numPr>
      </w:pPr>
      <w:r w:rsidRPr="00DA1DFD">
        <w:t>Also include the actual QC library print out of the whole blood comparison from each instrument</w:t>
      </w:r>
    </w:p>
    <w:p w:rsidR="001C7911" w:rsidRPr="00DA1DFD" w:rsidRDefault="001C7911" w:rsidP="00DA1DFD">
      <w:pPr>
        <w:pStyle w:val="ListParagraph"/>
        <w:numPr>
          <w:ilvl w:val="1"/>
          <w:numId w:val="20"/>
        </w:numPr>
      </w:pPr>
      <w:r w:rsidRPr="00DA1DFD">
        <w:t>Note how instruments performing on commercial control recovery. Instrument recovering closest to established control mean is the one you review the others against for tolerance checks.</w:t>
      </w:r>
    </w:p>
    <w:p w:rsidR="001C7911" w:rsidRPr="00DA1DFD" w:rsidRDefault="001C7911" w:rsidP="00DA1DFD">
      <w:pPr>
        <w:pStyle w:val="ListParagraph"/>
        <w:numPr>
          <w:ilvl w:val="1"/>
          <w:numId w:val="20"/>
        </w:numPr>
      </w:pPr>
      <w:r w:rsidRPr="00DA1DFD">
        <w:t>Review Whole Blood comparison results with a supervisor</w:t>
      </w:r>
    </w:p>
    <w:p w:rsidR="001C7911" w:rsidRDefault="001C7911" w:rsidP="0015061B">
      <w:pPr>
        <w:ind w:left="360"/>
      </w:pPr>
    </w:p>
    <w:p w:rsidR="00944E84" w:rsidRDefault="005B1212" w:rsidP="00944E84">
      <w:pPr>
        <w:ind w:left="360"/>
      </w:pPr>
      <w:r w:rsidRPr="00CB6F98">
        <w:rPr>
          <w:b/>
          <w:u w:val="single"/>
        </w:rPr>
        <w:t>Control Overlap</w:t>
      </w:r>
      <w:r w:rsidR="00944E84">
        <w:rPr>
          <w:b/>
          <w:u w:val="single"/>
        </w:rPr>
        <w:t>:</w:t>
      </w:r>
      <w:r w:rsidR="00944E84" w:rsidRPr="00944E84">
        <w:rPr>
          <w:b/>
          <w:u w:val="single"/>
        </w:rPr>
        <w:t xml:space="preserve"> </w:t>
      </w:r>
      <w:r w:rsidR="00944E84">
        <w:rPr>
          <w:b/>
          <w:u w:val="single"/>
        </w:rPr>
        <w:t>supervisor only to perform</w:t>
      </w:r>
    </w:p>
    <w:p w:rsidR="008C586D" w:rsidRDefault="008C586D">
      <w:pPr>
        <w:pStyle w:val="ListParagraph"/>
        <w:numPr>
          <w:ilvl w:val="0"/>
          <w:numId w:val="12"/>
        </w:numPr>
      </w:pPr>
      <w:r>
        <w:t>Make sure instruments are maintained and running well before control overlap is started, if not do maintenance and check if calibration needed.</w:t>
      </w:r>
      <w:r w:rsidR="00264756" w:rsidRPr="00264756">
        <w:t xml:space="preserve"> </w:t>
      </w:r>
      <w:r w:rsidR="00264756">
        <w:t xml:space="preserve">Patient X-B  should be running well within moving average range, check </w:t>
      </w:r>
      <w:proofErr w:type="spellStart"/>
      <w:r w:rsidR="00264756">
        <w:t>Levey</w:t>
      </w:r>
      <w:proofErr w:type="spellEnd"/>
      <w:r w:rsidR="00264756">
        <w:t xml:space="preserve"> Jennings </w:t>
      </w:r>
    </w:p>
    <w:p w:rsidR="008C586D" w:rsidRDefault="00E476A7" w:rsidP="008C586D">
      <w:pPr>
        <w:pStyle w:val="ListParagraph"/>
        <w:numPr>
          <w:ilvl w:val="0"/>
          <w:numId w:val="12"/>
        </w:numPr>
      </w:pPr>
      <w:r>
        <w:t>R</w:t>
      </w:r>
      <w:r w:rsidR="00B73B5B">
        <w:t>un</w:t>
      </w:r>
      <w:r>
        <w:t xml:space="preserve"> control overlap </w:t>
      </w:r>
      <w:r w:rsidR="008C586D">
        <w:t xml:space="preserve"> 2 weeks prior to expiration of old lot, need a minimum of 5 days of overlap runs</w:t>
      </w:r>
      <w:r w:rsidR="005B1212">
        <w:t xml:space="preserve"> </w:t>
      </w:r>
    </w:p>
    <w:p w:rsidR="007A790E" w:rsidRDefault="008C586D" w:rsidP="008C586D">
      <w:pPr>
        <w:pStyle w:val="ListParagraph"/>
        <w:numPr>
          <w:ilvl w:val="0"/>
          <w:numId w:val="12"/>
        </w:numPr>
      </w:pPr>
      <w:r>
        <w:t>L</w:t>
      </w:r>
      <w:r w:rsidR="005B1212">
        <w:t>oad</w:t>
      </w:r>
      <w:r w:rsidR="00264756">
        <w:t xml:space="preserve"> new lot of </w:t>
      </w:r>
      <w:r w:rsidR="005B1212">
        <w:t xml:space="preserve"> QC </w:t>
      </w:r>
      <w:r w:rsidR="00264756">
        <w:t xml:space="preserve">ranges </w:t>
      </w:r>
      <w:r>
        <w:t xml:space="preserve"> </w:t>
      </w:r>
      <w:r w:rsidR="00264756">
        <w:t xml:space="preserve">into </w:t>
      </w:r>
      <w:r>
        <w:t xml:space="preserve"> each Sapphire </w:t>
      </w:r>
      <w:r w:rsidR="00264756">
        <w:t>computer</w:t>
      </w:r>
    </w:p>
    <w:p w:rsidR="00675888" w:rsidRDefault="00675888" w:rsidP="008C586D">
      <w:pPr>
        <w:pStyle w:val="ListParagraph"/>
        <w:numPr>
          <w:ilvl w:val="0"/>
          <w:numId w:val="12"/>
        </w:numPr>
      </w:pPr>
      <w:r>
        <w:t>Run all commercial controls on 1,2,3</w:t>
      </w:r>
      <w:r w:rsidR="00AF1DCA">
        <w:t xml:space="preserve">,4 </w:t>
      </w:r>
      <w:r>
        <w:t xml:space="preserve"> Sapphire</w:t>
      </w:r>
      <w:r w:rsidR="00AF1DCA">
        <w:t>s</w:t>
      </w:r>
      <w:r>
        <w:t xml:space="preserve"> </w:t>
      </w:r>
      <w:r w:rsidR="00264756">
        <w:t>on all shifts</w:t>
      </w:r>
    </w:p>
    <w:p w:rsidR="00264756" w:rsidRDefault="00264756" w:rsidP="008C586D">
      <w:pPr>
        <w:pStyle w:val="ListParagraph"/>
        <w:numPr>
          <w:ilvl w:val="0"/>
          <w:numId w:val="12"/>
        </w:numPr>
      </w:pPr>
      <w:r>
        <w:t>Review QC results, remove any obvious “bad” runs from libraries</w:t>
      </w:r>
    </w:p>
    <w:p w:rsidR="00675888" w:rsidRDefault="00675888" w:rsidP="008C586D">
      <w:pPr>
        <w:pStyle w:val="ListParagraph"/>
        <w:numPr>
          <w:ilvl w:val="0"/>
          <w:numId w:val="12"/>
        </w:numPr>
      </w:pPr>
      <w:r>
        <w:t>Print out control overlap after 5 days</w:t>
      </w:r>
    </w:p>
    <w:p w:rsidR="00675888" w:rsidRDefault="00675888" w:rsidP="008C586D">
      <w:pPr>
        <w:pStyle w:val="ListParagraph"/>
        <w:numPr>
          <w:ilvl w:val="0"/>
          <w:numId w:val="12"/>
        </w:numPr>
      </w:pPr>
      <w:r>
        <w:t>Check file means for each parameter, compare wit</w:t>
      </w:r>
      <w:r w:rsidR="00AF1DCA">
        <w:t xml:space="preserve">h manufacturer </w:t>
      </w:r>
      <w:r>
        <w:t xml:space="preserve"> assay </w:t>
      </w:r>
      <w:r w:rsidR="00264756">
        <w:t xml:space="preserve"> and instrument to instrument </w:t>
      </w:r>
      <w:r w:rsidR="00944E84">
        <w:t>recovery</w:t>
      </w:r>
    </w:p>
    <w:p w:rsidR="00675888" w:rsidRDefault="00675888" w:rsidP="008C586D">
      <w:pPr>
        <w:pStyle w:val="ListParagraph"/>
        <w:numPr>
          <w:ilvl w:val="0"/>
          <w:numId w:val="12"/>
        </w:numPr>
      </w:pPr>
      <w:r>
        <w:t>File mean should be close to target mean</w:t>
      </w:r>
    </w:p>
    <w:p w:rsidR="00AF1DCA" w:rsidRDefault="00675888" w:rsidP="008C586D">
      <w:pPr>
        <w:pStyle w:val="ListParagraph"/>
        <w:numPr>
          <w:ilvl w:val="0"/>
          <w:numId w:val="12"/>
        </w:numPr>
      </w:pPr>
      <w:r>
        <w:t>CVs</w:t>
      </w:r>
      <w:r w:rsidR="00AF1DCA">
        <w:t xml:space="preserve"> should be within manufacturers specifications</w:t>
      </w:r>
    </w:p>
    <w:p w:rsidR="00264756" w:rsidRDefault="00EE7ED5" w:rsidP="008C586D">
      <w:pPr>
        <w:pStyle w:val="ListParagraph"/>
        <w:numPr>
          <w:ilvl w:val="0"/>
          <w:numId w:val="12"/>
        </w:numPr>
      </w:pPr>
      <w:r>
        <w:t>N</w:t>
      </w:r>
      <w:r w:rsidR="00264756">
        <w:t xml:space="preserve">ote on overlap assay sheets if file mean used, or if any “in </w:t>
      </w:r>
      <w:r w:rsidR="00944E84">
        <w:t>lab “assay</w:t>
      </w:r>
      <w:r w:rsidR="00264756">
        <w:t xml:space="preserve"> results used and sign-off</w:t>
      </w:r>
    </w:p>
    <w:p w:rsidR="00264756" w:rsidRDefault="00944E84" w:rsidP="008C586D">
      <w:pPr>
        <w:pStyle w:val="ListParagraph"/>
        <w:numPr>
          <w:ilvl w:val="0"/>
          <w:numId w:val="12"/>
        </w:numPr>
      </w:pPr>
      <w:r>
        <w:t>F</w:t>
      </w:r>
      <w:r w:rsidR="00264756">
        <w:t>ile all paper work in control overlap notebook</w:t>
      </w:r>
    </w:p>
    <w:p w:rsidR="005E202A" w:rsidRPr="00CB6F98" w:rsidRDefault="005E202A" w:rsidP="005E202A">
      <w:pPr>
        <w:rPr>
          <w:b/>
          <w:u w:val="single"/>
        </w:rPr>
      </w:pPr>
      <w:proofErr w:type="gramStart"/>
      <w:r w:rsidRPr="00CB6F98">
        <w:rPr>
          <w:b/>
          <w:u w:val="single"/>
        </w:rPr>
        <w:t xml:space="preserve">Calibration </w:t>
      </w:r>
      <w:r w:rsidR="00EE7ED5">
        <w:rPr>
          <w:b/>
          <w:u w:val="single"/>
        </w:rPr>
        <w:t>:</w:t>
      </w:r>
      <w:proofErr w:type="gramEnd"/>
      <w:r w:rsidR="00EE7ED5">
        <w:rPr>
          <w:b/>
          <w:u w:val="single"/>
        </w:rPr>
        <w:t xml:space="preserve"> </w:t>
      </w:r>
      <w:r w:rsidR="00F95D0C">
        <w:rPr>
          <w:b/>
          <w:u w:val="single"/>
        </w:rPr>
        <w:t>supervisor only to perform</w:t>
      </w:r>
    </w:p>
    <w:p w:rsidR="005E202A" w:rsidRPr="00167F3B" w:rsidRDefault="005E202A" w:rsidP="00167F3B">
      <w:pPr>
        <w:rPr>
          <w:i/>
        </w:rPr>
      </w:pPr>
      <w:r w:rsidRPr="00167F3B">
        <w:rPr>
          <w:i/>
        </w:rPr>
        <w:t>Pre</w:t>
      </w:r>
      <w:r w:rsidR="00352123" w:rsidRPr="00167F3B">
        <w:rPr>
          <w:i/>
        </w:rPr>
        <w:t>-</w:t>
      </w:r>
      <w:r w:rsidRPr="00167F3B">
        <w:rPr>
          <w:i/>
        </w:rPr>
        <w:t xml:space="preserve">calibration procedure </w:t>
      </w:r>
    </w:p>
    <w:p w:rsidR="005E202A" w:rsidRPr="00352123" w:rsidRDefault="005E202A" w:rsidP="00352123">
      <w:pPr>
        <w:pStyle w:val="ListParagraph"/>
        <w:numPr>
          <w:ilvl w:val="1"/>
          <w:numId w:val="14"/>
        </w:numPr>
      </w:pPr>
      <w:r w:rsidRPr="00352123">
        <w:t xml:space="preserve">Review commercial QC </w:t>
      </w:r>
      <w:r w:rsidR="00264756">
        <w:t>results</w:t>
      </w:r>
    </w:p>
    <w:p w:rsidR="005E202A" w:rsidRPr="00352123" w:rsidRDefault="005E202A" w:rsidP="00352123">
      <w:pPr>
        <w:pStyle w:val="ListParagraph"/>
        <w:numPr>
          <w:ilvl w:val="1"/>
          <w:numId w:val="14"/>
        </w:numPr>
      </w:pPr>
      <w:r w:rsidRPr="00352123">
        <w:t>Print and review X-B files</w:t>
      </w:r>
    </w:p>
    <w:p w:rsidR="005E202A" w:rsidRPr="00352123" w:rsidRDefault="005E202A" w:rsidP="00352123">
      <w:pPr>
        <w:pStyle w:val="ListParagraph"/>
        <w:numPr>
          <w:ilvl w:val="1"/>
          <w:numId w:val="14"/>
        </w:numPr>
      </w:pPr>
      <w:r w:rsidRPr="00352123">
        <w:t>Identify parameters which may require re-calibration based on peer  group data, X-B, and moving average program</w:t>
      </w:r>
    </w:p>
    <w:p w:rsidR="005E202A" w:rsidRDefault="005E202A" w:rsidP="00352123">
      <w:pPr>
        <w:pStyle w:val="ListParagraph"/>
        <w:numPr>
          <w:ilvl w:val="1"/>
          <w:numId w:val="14"/>
        </w:numPr>
      </w:pPr>
      <w:r w:rsidRPr="00352123">
        <w:t>Print current calibration factors</w:t>
      </w:r>
    </w:p>
    <w:p w:rsidR="00352123" w:rsidRDefault="00352123" w:rsidP="00352123">
      <w:pPr>
        <w:pStyle w:val="ListParagraph"/>
        <w:numPr>
          <w:ilvl w:val="1"/>
          <w:numId w:val="14"/>
        </w:numPr>
      </w:pPr>
      <w:r>
        <w:t>Check that all instrument maintenance is up to date</w:t>
      </w:r>
    </w:p>
    <w:p w:rsidR="00352123" w:rsidRDefault="00352123" w:rsidP="00352123">
      <w:pPr>
        <w:pStyle w:val="ListParagraph"/>
        <w:numPr>
          <w:ilvl w:val="1"/>
          <w:numId w:val="14"/>
        </w:numPr>
      </w:pPr>
      <w:r>
        <w:t>Check Background counts are within specifications</w:t>
      </w:r>
    </w:p>
    <w:p w:rsidR="00352123" w:rsidRDefault="00352123" w:rsidP="00352123">
      <w:pPr>
        <w:pStyle w:val="ListParagraph"/>
        <w:numPr>
          <w:ilvl w:val="2"/>
          <w:numId w:val="14"/>
        </w:numPr>
      </w:pPr>
      <w:r>
        <w:t>WBC&lt;0.10 x10</w:t>
      </w:r>
      <w:r w:rsidRPr="00352123">
        <w:rPr>
          <w:vertAlign w:val="superscript"/>
        </w:rPr>
        <w:t>3</w:t>
      </w:r>
    </w:p>
    <w:p w:rsidR="00352123" w:rsidRDefault="00352123" w:rsidP="00352123">
      <w:pPr>
        <w:pStyle w:val="ListParagraph"/>
        <w:numPr>
          <w:ilvl w:val="2"/>
          <w:numId w:val="14"/>
        </w:numPr>
      </w:pPr>
      <w:r>
        <w:t>RBC &lt; 0.02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352123" w:rsidRDefault="00352123" w:rsidP="00352123">
      <w:pPr>
        <w:pStyle w:val="ListParagraph"/>
        <w:numPr>
          <w:ilvl w:val="2"/>
          <w:numId w:val="14"/>
        </w:numPr>
      </w:pPr>
      <w:r>
        <w:t>HGB &lt; 0.10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352123" w:rsidRPr="00352123" w:rsidRDefault="00352123" w:rsidP="00352123">
      <w:pPr>
        <w:pStyle w:val="ListParagraph"/>
        <w:numPr>
          <w:ilvl w:val="2"/>
          <w:numId w:val="14"/>
        </w:numPr>
      </w:pPr>
      <w:r>
        <w:t>PLT&lt; 5.0</w:t>
      </w:r>
      <w:r w:rsidRPr="00352123">
        <w:t xml:space="preserve"> </w:t>
      </w:r>
      <w:r>
        <w:t>x10</w:t>
      </w:r>
      <w:r w:rsidRPr="00352123">
        <w:rPr>
          <w:vertAlign w:val="superscript"/>
        </w:rPr>
        <w:t>3</w:t>
      </w:r>
    </w:p>
    <w:p w:rsidR="005E202A" w:rsidRDefault="00352123" w:rsidP="00352123">
      <w:pPr>
        <w:pStyle w:val="ListParagraph"/>
        <w:numPr>
          <w:ilvl w:val="1"/>
          <w:numId w:val="14"/>
        </w:numPr>
      </w:pPr>
      <w:r w:rsidRPr="00BC3372">
        <w:t>Check Precision results</w:t>
      </w:r>
      <w:r w:rsidR="00BC3372" w:rsidRPr="00BC3372">
        <w:t xml:space="preserve"> – run a normal blood with good volume 10 times in a QC library</w:t>
      </w:r>
      <w:r w:rsidR="00BC3372">
        <w:t xml:space="preserve"> review for acceptable CV%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WBC &lt;2.7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RBC&lt; 1.5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HGB &lt;1.0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MCV &lt;1.0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RDW &lt; 2.5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proofErr w:type="spellStart"/>
      <w:r>
        <w:t>PLTo</w:t>
      </w:r>
      <w:proofErr w:type="spellEnd"/>
      <w:r>
        <w:t xml:space="preserve"> &lt;4.0</w:t>
      </w:r>
    </w:p>
    <w:p w:rsidR="00BC3372" w:rsidRDefault="00BC3372" w:rsidP="00BC3372">
      <w:pPr>
        <w:pStyle w:val="ListParagraph"/>
        <w:numPr>
          <w:ilvl w:val="2"/>
          <w:numId w:val="14"/>
        </w:numPr>
      </w:pPr>
      <w:r>
        <w:t>MPV &lt;5.0</w:t>
      </w:r>
    </w:p>
    <w:p w:rsidR="00BC3372" w:rsidRDefault="00BC3372" w:rsidP="00BC3372">
      <w:pPr>
        <w:pStyle w:val="ListParagraph"/>
        <w:numPr>
          <w:ilvl w:val="1"/>
          <w:numId w:val="14"/>
        </w:numPr>
      </w:pPr>
      <w:r>
        <w:t>Check</w:t>
      </w:r>
      <w:r w:rsidR="00334C18">
        <w:t xml:space="preserve"> all</w:t>
      </w:r>
      <w:r>
        <w:t xml:space="preserve"> Reagents are within </w:t>
      </w:r>
      <w:r w:rsidR="00334C18">
        <w:t>expiration date, and are at least ½ full</w:t>
      </w:r>
    </w:p>
    <w:p w:rsidR="00334C18" w:rsidRDefault="00334C18" w:rsidP="00334C18">
      <w:pPr>
        <w:pStyle w:val="ListParagraph"/>
        <w:numPr>
          <w:ilvl w:val="2"/>
          <w:numId w:val="14"/>
        </w:numPr>
      </w:pPr>
      <w:r>
        <w:t>If using a commercial calibrator, make sure it has been stored, handled, and mixed per the package insert and has not expired</w:t>
      </w:r>
      <w:r w:rsidR="00DB0C9C">
        <w:t xml:space="preserve"> or if using open vial run within 7days of open</w:t>
      </w:r>
    </w:p>
    <w:p w:rsidR="00334C18" w:rsidRDefault="00334C18" w:rsidP="00167F3B">
      <w:pPr>
        <w:rPr>
          <w:i/>
        </w:rPr>
      </w:pPr>
      <w:r w:rsidRPr="00334C18">
        <w:rPr>
          <w:i/>
        </w:rPr>
        <w:t>Calibration procedure</w:t>
      </w:r>
    </w:p>
    <w:p w:rsidR="00334C18" w:rsidRPr="006D5F9E" w:rsidRDefault="00334C18" w:rsidP="00334C18">
      <w:pPr>
        <w:pStyle w:val="ListParagraph"/>
        <w:numPr>
          <w:ilvl w:val="0"/>
          <w:numId w:val="16"/>
        </w:numPr>
      </w:pPr>
      <w:r w:rsidRPr="006D5F9E">
        <w:t>Verify Pre-calibration complete</w:t>
      </w:r>
    </w:p>
    <w:p w:rsidR="00334C18" w:rsidRPr="006D5F9E" w:rsidRDefault="00334C18" w:rsidP="00334C18">
      <w:pPr>
        <w:pStyle w:val="ListParagraph"/>
        <w:numPr>
          <w:ilvl w:val="0"/>
          <w:numId w:val="16"/>
        </w:numPr>
      </w:pPr>
      <w:r w:rsidRPr="006D5F9E">
        <w:t xml:space="preserve">Run commercial Calibrator in empty QC file closed mode a minimum of </w:t>
      </w:r>
      <w:r w:rsidR="009C5C35" w:rsidRPr="006D5F9E">
        <w:t>5</w:t>
      </w:r>
      <w:r w:rsidRPr="006D5F9E">
        <w:t xml:space="preserve"> times</w:t>
      </w:r>
      <w:r w:rsidR="009C5C35" w:rsidRPr="006D5F9E">
        <w:t>, maximum of 10</w:t>
      </w:r>
    </w:p>
    <w:p w:rsidR="00334C18" w:rsidRPr="006D5F9E" w:rsidRDefault="00334C18" w:rsidP="00334C18">
      <w:pPr>
        <w:pStyle w:val="ListParagraph"/>
        <w:numPr>
          <w:ilvl w:val="0"/>
          <w:numId w:val="16"/>
        </w:numPr>
      </w:pPr>
      <w:r w:rsidRPr="006D5F9E">
        <w:t>Print QC calibration file and compare with manufacture reference values</w:t>
      </w:r>
      <w:r w:rsidR="00AF1DCA">
        <w:t>, refer  to instrument calibration specifications in Sapphire manual (access via F1 on keyboard)</w:t>
      </w:r>
    </w:p>
    <w:p w:rsidR="00334C18" w:rsidRDefault="00334C18" w:rsidP="00167F3B">
      <w:pPr>
        <w:rPr>
          <w:i/>
        </w:rPr>
      </w:pPr>
      <w:r>
        <w:rPr>
          <w:i/>
        </w:rPr>
        <w:t xml:space="preserve">Perform manual calibration </w:t>
      </w:r>
    </w:p>
    <w:p w:rsidR="009C5C35" w:rsidRPr="006D5F9E" w:rsidRDefault="009C5C35" w:rsidP="009C5C35">
      <w:pPr>
        <w:pStyle w:val="ListParagraph"/>
        <w:numPr>
          <w:ilvl w:val="0"/>
          <w:numId w:val="17"/>
        </w:numPr>
      </w:pPr>
      <w:r w:rsidRPr="006D5F9E">
        <w:t>Review printed QC calibration file and ensure that the results are within tolerance limits</w:t>
      </w:r>
    </w:p>
    <w:p w:rsidR="009C5C35" w:rsidRPr="006D5F9E" w:rsidRDefault="009C5C35" w:rsidP="009C5C35">
      <w:pPr>
        <w:pStyle w:val="ListParagraph"/>
        <w:numPr>
          <w:ilvl w:val="0"/>
          <w:numId w:val="17"/>
        </w:numPr>
      </w:pPr>
      <w:r w:rsidRPr="006D5F9E">
        <w:t>Calculate new calibration factors for each parameter to 3 decimal places</w:t>
      </w:r>
    </w:p>
    <w:p w:rsidR="009C5C35" w:rsidRPr="006D5F9E" w:rsidRDefault="009C5C35" w:rsidP="009C5C35">
      <w:pPr>
        <w:pStyle w:val="ListParagraph"/>
        <w:numPr>
          <w:ilvl w:val="0"/>
          <w:numId w:val="17"/>
        </w:numPr>
      </w:pPr>
      <w:r w:rsidRPr="006D5F9E">
        <w:t>New calibration factor = Reference value (what you want)/ Cell-Dyn Sapphire Mean value (what you have)  x  Current calibration factor</w:t>
      </w:r>
    </w:p>
    <w:p w:rsidR="009C5C35" w:rsidRPr="006D5F9E" w:rsidRDefault="009C5C35" w:rsidP="009C5C35">
      <w:pPr>
        <w:pStyle w:val="ListParagraph"/>
        <w:numPr>
          <w:ilvl w:val="0"/>
          <w:numId w:val="17"/>
        </w:numPr>
      </w:pPr>
      <w:r w:rsidRPr="006D5F9E">
        <w:t xml:space="preserve">Review calibration factors are correct and enter in the new factors entry window, new factors must be in the allowable range of </w:t>
      </w:r>
      <w:r w:rsidR="00AF1DCA">
        <w:t>0.750-1.250, download/activate new factors</w:t>
      </w:r>
    </w:p>
    <w:p w:rsidR="009C5C35" w:rsidRDefault="009C5C35" w:rsidP="009C5C35">
      <w:pPr>
        <w:pStyle w:val="ListParagraph"/>
        <w:numPr>
          <w:ilvl w:val="0"/>
          <w:numId w:val="17"/>
        </w:numPr>
      </w:pPr>
      <w:r w:rsidRPr="006D5F9E">
        <w:t>Print new cal factors and put in Specified Sapphire notebook.</w:t>
      </w:r>
    </w:p>
    <w:p w:rsidR="00EE7ED5" w:rsidRDefault="00EE7ED5" w:rsidP="00167F3B"/>
    <w:p w:rsidR="00EE7ED5" w:rsidRPr="006D5F9E" w:rsidRDefault="00EE7ED5" w:rsidP="00167F3B"/>
    <w:p w:rsidR="006D5F9E" w:rsidRDefault="006D5F9E" w:rsidP="006D5F9E">
      <w:pPr>
        <w:ind w:firstLine="720"/>
        <w:rPr>
          <w:i/>
        </w:rPr>
      </w:pPr>
      <w:r>
        <w:rPr>
          <w:i/>
        </w:rPr>
        <w:t>Post Calibration Verification</w:t>
      </w:r>
    </w:p>
    <w:p w:rsidR="006D5F9E" w:rsidRPr="00CB6F98" w:rsidRDefault="006D5F9E" w:rsidP="006D5F9E">
      <w:pPr>
        <w:pStyle w:val="ListParagraph"/>
        <w:numPr>
          <w:ilvl w:val="0"/>
          <w:numId w:val="18"/>
        </w:numPr>
      </w:pPr>
      <w:r w:rsidRPr="00CB6F98">
        <w:t>Confirm the new calibratio</w:t>
      </w:r>
      <w:r w:rsidR="00AF1DCA">
        <w:t>n factors by running calibrator</w:t>
      </w:r>
      <w:r w:rsidRPr="00CB6F98">
        <w:t xml:space="preserve"> and verifying the results agree with the reference values</w:t>
      </w:r>
    </w:p>
    <w:p w:rsidR="006D5F9E" w:rsidRDefault="006D5F9E" w:rsidP="006D5F9E">
      <w:pPr>
        <w:pStyle w:val="ListParagraph"/>
        <w:numPr>
          <w:ilvl w:val="0"/>
          <w:numId w:val="18"/>
        </w:numPr>
      </w:pPr>
      <w:r w:rsidRPr="00CB6F98">
        <w:t>Run at least 3 levels of controls and verify they are in range</w:t>
      </w:r>
    </w:p>
    <w:p w:rsidR="00EB033B" w:rsidRPr="00CB6F98" w:rsidRDefault="00EB033B" w:rsidP="006D5F9E">
      <w:pPr>
        <w:pStyle w:val="ListParagraph"/>
        <w:numPr>
          <w:ilvl w:val="0"/>
          <w:numId w:val="18"/>
        </w:numPr>
      </w:pPr>
      <w:r>
        <w:t xml:space="preserve">All calibration materials, pre, </w:t>
      </w:r>
      <w:proofErr w:type="spellStart"/>
      <w:r>
        <w:t>cal</w:t>
      </w:r>
      <w:proofErr w:type="spellEnd"/>
      <w:r>
        <w:t xml:space="preserve"> and post </w:t>
      </w:r>
      <w:proofErr w:type="spellStart"/>
      <w:r>
        <w:t>cal</w:t>
      </w:r>
      <w:proofErr w:type="spellEnd"/>
      <w:r>
        <w:t xml:space="preserve"> are printed and attached to calibrator assay sheet and filled in Calibration manual.</w:t>
      </w:r>
    </w:p>
    <w:p w:rsidR="00B10FFB" w:rsidRPr="00CB6F98" w:rsidRDefault="00B10FFB" w:rsidP="00195A69">
      <w:pPr>
        <w:rPr>
          <w:b/>
          <w:u w:val="single"/>
        </w:rPr>
      </w:pPr>
      <w:r w:rsidRPr="00CB6F98">
        <w:rPr>
          <w:b/>
          <w:u w:val="single"/>
        </w:rPr>
        <w:t xml:space="preserve">As-Needed </w:t>
      </w:r>
      <w:r w:rsidR="00CF1D04" w:rsidRPr="00CB6F98">
        <w:rPr>
          <w:b/>
          <w:u w:val="single"/>
        </w:rPr>
        <w:t xml:space="preserve">Cleaning </w:t>
      </w:r>
      <w:proofErr w:type="gramStart"/>
      <w:r w:rsidRPr="00CB6F98">
        <w:rPr>
          <w:b/>
          <w:u w:val="single"/>
        </w:rPr>
        <w:t xml:space="preserve">Maintenance </w:t>
      </w:r>
      <w:r w:rsidR="00EE7ED5">
        <w:rPr>
          <w:b/>
          <w:u w:val="single"/>
        </w:rPr>
        <w:t>:</w:t>
      </w:r>
      <w:proofErr w:type="gramEnd"/>
      <w:r w:rsidR="00EE7ED5">
        <w:rPr>
          <w:b/>
          <w:u w:val="single"/>
        </w:rPr>
        <w:t xml:space="preserve"> supervisor of trained designee to perform</w:t>
      </w:r>
    </w:p>
    <w:p w:rsidR="00884622" w:rsidRPr="00195A69" w:rsidRDefault="00B10FFB" w:rsidP="00195A69">
      <w:pPr>
        <w:pStyle w:val="ListParagraph"/>
        <w:numPr>
          <w:ilvl w:val="0"/>
          <w:numId w:val="10"/>
        </w:numPr>
        <w:rPr>
          <w:u w:val="single"/>
        </w:rPr>
      </w:pPr>
      <w:r w:rsidRPr="00195A69">
        <w:t>If resulting issues</w:t>
      </w:r>
      <w:r w:rsidR="00EE7ED5">
        <w:t xml:space="preserve"> present:</w:t>
      </w:r>
      <w:r w:rsidR="00884622" w:rsidRPr="00195A69">
        <w:t xml:space="preserve"> </w:t>
      </w:r>
      <w:r w:rsidR="00CF1D04" w:rsidRPr="00195A69">
        <w:t>visually</w:t>
      </w:r>
      <w:r w:rsidRPr="00195A69">
        <w:t xml:space="preserve"> check syringes</w:t>
      </w:r>
      <w:r w:rsidR="00884622" w:rsidRPr="00195A69">
        <w:t xml:space="preserve"> for crystallization. ---Only take off syringe and feel movement for RETIC, DIL SHEATH, IMPEDANCE, OPTICAL, WBC A, WBC B, HGB</w:t>
      </w:r>
      <w:r w:rsidR="00093FF9">
        <w:t>. Syringe assessment is only done on syringes that would affect specific poor resulting.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  <w:rPr>
          <w:u w:val="single"/>
        </w:rPr>
      </w:pPr>
      <w:r w:rsidRPr="00195A69">
        <w:t>Dilution cup area cleaning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  <w:rPr>
          <w:u w:val="single"/>
        </w:rPr>
      </w:pPr>
      <w:r w:rsidRPr="00195A69">
        <w:t xml:space="preserve">Vent Needle Cleaning 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  <w:rPr>
          <w:u w:val="single"/>
        </w:rPr>
      </w:pPr>
      <w:r w:rsidRPr="00195A69">
        <w:t>Aspiration probe cleaning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  <w:rPr>
          <w:u w:val="single"/>
        </w:rPr>
      </w:pPr>
      <w:r w:rsidRPr="00195A69">
        <w:t>Syringe cleaning (besides HGB)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</w:pPr>
      <w:r w:rsidRPr="00195A69">
        <w:t>Bar Code window Reader window cleaning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</w:pPr>
      <w:r w:rsidRPr="00195A69">
        <w:t>Impedance Aperture Plate cleaning</w:t>
      </w:r>
    </w:p>
    <w:p w:rsidR="00195A69" w:rsidRDefault="00884622" w:rsidP="00195A69">
      <w:pPr>
        <w:pStyle w:val="ListParagraph"/>
        <w:numPr>
          <w:ilvl w:val="0"/>
          <w:numId w:val="10"/>
        </w:numPr>
      </w:pPr>
      <w:r w:rsidRPr="00195A69">
        <w:t>Pinch valve Plunger/Spring   unit cleaning</w:t>
      </w:r>
      <w:r w:rsidR="00DB0C9C">
        <w:t xml:space="preserve"> (this should be only an FSR function)</w:t>
      </w:r>
    </w:p>
    <w:p w:rsidR="00884622" w:rsidRPr="00195A69" w:rsidRDefault="00884622" w:rsidP="00195A69">
      <w:pPr>
        <w:pStyle w:val="ListParagraph"/>
        <w:numPr>
          <w:ilvl w:val="0"/>
          <w:numId w:val="10"/>
        </w:numPr>
      </w:pPr>
      <w:r w:rsidRPr="00195A69">
        <w:t xml:space="preserve">Printer Cleaning </w:t>
      </w:r>
    </w:p>
    <w:p w:rsidR="00CF1D04" w:rsidRPr="00CB6F98" w:rsidRDefault="00CF1D04" w:rsidP="00195A69">
      <w:pPr>
        <w:rPr>
          <w:b/>
          <w:u w:val="single"/>
        </w:rPr>
      </w:pPr>
      <w:r w:rsidRPr="00CB6F98">
        <w:rPr>
          <w:b/>
          <w:u w:val="single"/>
        </w:rPr>
        <w:t>As needed Component Replacement</w:t>
      </w:r>
      <w:r w:rsidR="00EE7ED5">
        <w:rPr>
          <w:b/>
          <w:u w:val="single"/>
        </w:rPr>
        <w:t>:</w:t>
      </w:r>
      <w:r w:rsidR="00EE7ED5" w:rsidRPr="00EE7ED5">
        <w:rPr>
          <w:b/>
          <w:u w:val="single"/>
        </w:rPr>
        <w:t xml:space="preserve"> </w:t>
      </w:r>
      <w:r w:rsidR="00EE7ED5">
        <w:rPr>
          <w:b/>
          <w:u w:val="single"/>
        </w:rPr>
        <w:t>supervisor of trained designee to perform</w:t>
      </w:r>
    </w:p>
    <w:p w:rsidR="00CF1D04" w:rsidRPr="00195A69" w:rsidRDefault="00CF1D04" w:rsidP="005B1212">
      <w:pPr>
        <w:pStyle w:val="ListParagraph"/>
        <w:numPr>
          <w:ilvl w:val="0"/>
          <w:numId w:val="11"/>
        </w:numPr>
      </w:pPr>
      <w:r w:rsidRPr="00195A69">
        <w:t xml:space="preserve">Vent cone </w:t>
      </w:r>
      <w:r w:rsidR="00467A86" w:rsidRPr="00195A69">
        <w:t>assembly</w:t>
      </w:r>
    </w:p>
    <w:p w:rsidR="00CF1D04" w:rsidRPr="00195A69" w:rsidRDefault="00CF1D04" w:rsidP="005B1212">
      <w:pPr>
        <w:pStyle w:val="ListParagraph"/>
        <w:numPr>
          <w:ilvl w:val="0"/>
          <w:numId w:val="11"/>
        </w:numPr>
      </w:pPr>
      <w:r w:rsidRPr="00195A69">
        <w:t>Aspiration Probe</w:t>
      </w:r>
    </w:p>
    <w:p w:rsidR="00CF1D04" w:rsidRPr="00195A69" w:rsidRDefault="00CF1D04" w:rsidP="005B1212">
      <w:pPr>
        <w:pStyle w:val="ListParagraph"/>
        <w:numPr>
          <w:ilvl w:val="0"/>
          <w:numId w:val="11"/>
        </w:numPr>
      </w:pPr>
      <w:r w:rsidRPr="00195A69">
        <w:t>Change Syringe</w:t>
      </w:r>
    </w:p>
    <w:p w:rsidR="00467A86" w:rsidRPr="00195A69" w:rsidRDefault="00467A86" w:rsidP="005B1212">
      <w:pPr>
        <w:pStyle w:val="ListParagraph"/>
        <w:numPr>
          <w:ilvl w:val="0"/>
          <w:numId w:val="11"/>
        </w:numPr>
      </w:pPr>
      <w:r w:rsidRPr="00195A69">
        <w:t xml:space="preserve">Pinch valve Plunger/Spring Unit </w:t>
      </w:r>
      <w:r w:rsidR="00DB0C9C">
        <w:t>(only an FSR function)</w:t>
      </w:r>
    </w:p>
    <w:p w:rsidR="00467A86" w:rsidRPr="00195A69" w:rsidRDefault="00467A86" w:rsidP="005B1212">
      <w:pPr>
        <w:pStyle w:val="ListParagraph"/>
        <w:numPr>
          <w:ilvl w:val="0"/>
          <w:numId w:val="11"/>
        </w:numPr>
      </w:pPr>
      <w:r w:rsidRPr="00195A69">
        <w:t>Reagent Container Replacement</w:t>
      </w:r>
    </w:p>
    <w:p w:rsidR="00467A86" w:rsidRDefault="00467A86" w:rsidP="005B1212">
      <w:pPr>
        <w:pStyle w:val="ListParagraph"/>
        <w:numPr>
          <w:ilvl w:val="0"/>
          <w:numId w:val="11"/>
        </w:numPr>
      </w:pPr>
      <w:r w:rsidRPr="00195A69">
        <w:t xml:space="preserve">Impedance Aperture Replacement  </w:t>
      </w:r>
      <w:r w:rsidR="00DB0C9C">
        <w:t xml:space="preserve">(only FSR function, changing aperture </w:t>
      </w:r>
      <w:r w:rsidR="00EE7ED5">
        <w:t>plate</w:t>
      </w:r>
      <w:r w:rsidR="00DB0C9C">
        <w:t xml:space="preserve"> </w:t>
      </w:r>
      <w:r w:rsidR="00EE7ED5">
        <w:t>requires</w:t>
      </w:r>
      <w:r w:rsidR="00DB0C9C">
        <w:t xml:space="preserve"> gains, </w:t>
      </w:r>
      <w:r w:rsidR="00EE7ED5">
        <w:t>etc.</w:t>
      </w:r>
      <w:r w:rsidR="00DB0C9C">
        <w:t xml:space="preserve"> checks and adjustments)</w:t>
      </w:r>
    </w:p>
    <w:p w:rsidR="007A4878" w:rsidRPr="00EC1591" w:rsidRDefault="007A4878" w:rsidP="007A4878">
      <w:pPr>
        <w:rPr>
          <w:sz w:val="24"/>
          <w:szCs w:val="24"/>
        </w:rPr>
      </w:pPr>
    </w:p>
    <w:p w:rsidR="00B71E2E" w:rsidRPr="00195A69" w:rsidRDefault="00B71E2E" w:rsidP="00B71E2E"/>
    <w:sectPr w:rsidR="00B71E2E" w:rsidRPr="00195A69" w:rsidSect="00E710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91" w:rsidRDefault="00E71091" w:rsidP="00E71091">
      <w:pPr>
        <w:spacing w:after="0" w:line="240" w:lineRule="auto"/>
      </w:pPr>
      <w:r>
        <w:separator/>
      </w:r>
    </w:p>
  </w:endnote>
  <w:endnote w:type="continuationSeparator" w:id="0">
    <w:p w:rsidR="00E71091" w:rsidRDefault="00E71091" w:rsidP="00E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91" w:rsidRDefault="00E71091" w:rsidP="00E71091">
      <w:pPr>
        <w:spacing w:after="0" w:line="240" w:lineRule="auto"/>
      </w:pPr>
      <w:r>
        <w:separator/>
      </w:r>
    </w:p>
  </w:footnote>
  <w:footnote w:type="continuationSeparator" w:id="0">
    <w:p w:rsidR="00E71091" w:rsidRDefault="00E71091" w:rsidP="00E7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91" w:rsidRDefault="00E71091">
    <w:pPr>
      <w:pStyle w:val="Header"/>
    </w:pPr>
  </w:p>
  <w:tbl>
    <w:tblPr>
      <w:tblW w:w="10215" w:type="dxa"/>
      <w:tblInd w:w="-3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056"/>
      <w:gridCol w:w="2534"/>
      <w:gridCol w:w="2518"/>
      <w:gridCol w:w="3107"/>
    </w:tblGrid>
    <w:tr w:rsidR="00B35F25" w:rsidTr="00DA1DFD">
      <w:trPr>
        <w:cantSplit/>
        <w:trHeight w:val="56"/>
      </w:trPr>
      <w:tc>
        <w:tcPr>
          <w:tcW w:w="205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hideMark/>
        </w:tcPr>
        <w:p w:rsidR="00E71091" w:rsidRDefault="00E71091">
          <w:pPr>
            <w:pStyle w:val="Header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01B04894" wp14:editId="62DD0E72">
                <wp:simplePos x="0" y="0"/>
                <wp:positionH relativeFrom="column">
                  <wp:posOffset>-48260</wp:posOffset>
                </wp:positionH>
                <wp:positionV relativeFrom="paragraph">
                  <wp:posOffset>91440</wp:posOffset>
                </wp:positionV>
                <wp:extent cx="731520" cy="457200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1" w:type="dxa"/>
          <w:gridSpan w:val="2"/>
          <w:vMerge w:val="restart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1091" w:rsidRDefault="00E71091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TITLE:</w:t>
          </w:r>
        </w:p>
        <w:p w:rsidR="00E71091" w:rsidRDefault="00E71091">
          <w:pPr>
            <w:pStyle w:val="Header"/>
            <w:rPr>
              <w:b/>
              <w:sz w:val="24"/>
              <w:szCs w:val="24"/>
            </w:rPr>
          </w:pPr>
        </w:p>
        <w:p w:rsidR="00E71091" w:rsidRPr="00DA1DFD" w:rsidRDefault="00E71091">
          <w:pPr>
            <w:pStyle w:val="Header"/>
            <w:jc w:val="center"/>
            <w:rPr>
              <w:b/>
            </w:rPr>
          </w:pPr>
          <w:r w:rsidRPr="00DA1DFD">
            <w:rPr>
              <w:b/>
            </w:rPr>
            <w:t>Sapphire Maintenance Schedule: Hematology Lab</w:t>
          </w:r>
        </w:p>
      </w:tc>
      <w:tc>
        <w:tcPr>
          <w:tcW w:w="3107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hideMark/>
        </w:tcPr>
        <w:p w:rsidR="00E71091" w:rsidRDefault="00E7109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DEPT OF LAB MEDICINE</w:t>
          </w:r>
        </w:p>
        <w:p w:rsidR="00E71091" w:rsidRDefault="00E7109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CLINICAL HEMATOLOGY</w:t>
          </w:r>
        </w:p>
        <w:p w:rsidR="00E71091" w:rsidRDefault="00B35F25">
          <w:pPr>
            <w:pStyle w:val="Header"/>
            <w:rPr>
              <w:b/>
              <w:sz w:val="16"/>
            </w:rPr>
          </w:pPr>
          <w:r>
            <w:rPr>
              <w:b/>
              <w:sz w:val="18"/>
              <w:szCs w:val="18"/>
            </w:rPr>
            <w:t>Policy and Procedure</w:t>
          </w:r>
          <w:r w:rsidR="00E71091">
            <w:rPr>
              <w:b/>
              <w:sz w:val="18"/>
              <w:szCs w:val="18"/>
            </w:rPr>
            <w:t xml:space="preserve">  Manual</w:t>
          </w:r>
        </w:p>
      </w:tc>
    </w:tr>
    <w:tr w:rsidR="00B35F25" w:rsidTr="00DA1DFD">
      <w:trPr>
        <w:cantSplit/>
        <w:trHeight w:val="35"/>
      </w:trPr>
      <w:tc>
        <w:tcPr>
          <w:tcW w:w="2056" w:type="dxa"/>
          <w:vMerge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1091" w:rsidRDefault="00E71091">
          <w:pPr>
            <w:rPr>
              <w:b/>
              <w:sz w:val="16"/>
            </w:rPr>
          </w:pPr>
        </w:p>
      </w:tc>
      <w:tc>
        <w:tcPr>
          <w:tcW w:w="5051" w:type="dxa"/>
          <w:gridSpan w:val="2"/>
          <w:vMerge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1091" w:rsidRDefault="00E71091">
          <w:pPr>
            <w:rPr>
              <w:b/>
              <w:sz w:val="24"/>
              <w:szCs w:val="24"/>
            </w:rPr>
          </w:pPr>
        </w:p>
      </w:tc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E71091" w:rsidRDefault="00E71091">
          <w:pPr>
            <w:pStyle w:val="Header"/>
            <w:rPr>
              <w:sz w:val="16"/>
            </w:rPr>
          </w:pPr>
        </w:p>
      </w:tc>
    </w:tr>
    <w:tr w:rsidR="00B35F25" w:rsidTr="00DA1DFD">
      <w:trPr>
        <w:trHeight w:val="36"/>
      </w:trPr>
      <w:tc>
        <w:tcPr>
          <w:tcW w:w="2056" w:type="dxa"/>
          <w:vMerge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1091" w:rsidRDefault="00E71091">
          <w:pPr>
            <w:rPr>
              <w:b/>
              <w:sz w:val="16"/>
            </w:rPr>
          </w:pPr>
        </w:p>
      </w:tc>
      <w:tc>
        <w:tcPr>
          <w:tcW w:w="5051" w:type="dxa"/>
          <w:gridSpan w:val="2"/>
          <w:vMerge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1091" w:rsidRDefault="00E71091">
          <w:pPr>
            <w:rPr>
              <w:b/>
              <w:sz w:val="24"/>
              <w:szCs w:val="24"/>
            </w:rPr>
          </w:pPr>
        </w:p>
      </w:tc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hideMark/>
        </w:tcPr>
        <w:p w:rsidR="00E71091" w:rsidRDefault="00E71091">
          <w:pPr>
            <w:pStyle w:val="Header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167F3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167F3B">
            <w:rPr>
              <w:noProof/>
              <w:snapToGrid w:val="0"/>
            </w:rPr>
            <w:t>6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ab/>
            <w:t xml:space="preserve">-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167F3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-</w:t>
          </w:r>
        </w:p>
      </w:tc>
    </w:tr>
    <w:tr w:rsidR="00B35F25" w:rsidTr="00DA1DFD">
      <w:trPr>
        <w:trHeight w:val="276"/>
      </w:trPr>
      <w:tc>
        <w:tcPr>
          <w:tcW w:w="205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E71091" w:rsidRDefault="00E7109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WRITTEN BY:</w:t>
          </w:r>
        </w:p>
        <w:p w:rsidR="00E71091" w:rsidRDefault="00E71091">
          <w:pPr>
            <w:rPr>
              <w:b/>
              <w:sz w:val="20"/>
              <w:szCs w:val="20"/>
            </w:rPr>
          </w:pPr>
          <w:r>
            <w:rPr>
              <w:b/>
            </w:rPr>
            <w:t xml:space="preserve">Natalie Ortoli-Drew </w:t>
          </w:r>
          <w:r w:rsidR="00C61E0E">
            <w:rPr>
              <w:b/>
            </w:rPr>
            <w:t>(</w:t>
          </w:r>
          <w:r>
            <w:rPr>
              <w:b/>
            </w:rPr>
            <w:t>MT</w:t>
          </w:r>
          <w:r w:rsidR="00C61E0E">
            <w:rPr>
              <w:b/>
            </w:rPr>
            <w:t>)</w:t>
          </w:r>
          <w:r>
            <w:rPr>
              <w:b/>
            </w:rPr>
            <w:t xml:space="preserve">ASCP &amp; Beth </w:t>
          </w:r>
          <w:proofErr w:type="spellStart"/>
          <w:r>
            <w:rPr>
              <w:b/>
            </w:rPr>
            <w:t>Degano</w:t>
          </w:r>
          <w:proofErr w:type="spellEnd"/>
          <w:r>
            <w:rPr>
              <w:b/>
            </w:rPr>
            <w:t xml:space="preserve"> </w:t>
          </w:r>
          <w:r w:rsidR="00B35F25">
            <w:rPr>
              <w:b/>
            </w:rPr>
            <w:t>(H) ASCP</w:t>
          </w:r>
        </w:p>
        <w:p w:rsidR="00E71091" w:rsidRDefault="00E71091">
          <w:pPr>
            <w:pStyle w:val="Header"/>
            <w:rPr>
              <w:sz w:val="18"/>
              <w:szCs w:val="18"/>
            </w:rPr>
          </w:pPr>
        </w:p>
      </w:tc>
      <w:tc>
        <w:tcPr>
          <w:tcW w:w="2534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hideMark/>
        </w:tcPr>
        <w:p w:rsidR="00E71091" w:rsidRDefault="00E71091" w:rsidP="00DA1DFD">
          <w:pPr>
            <w:pStyle w:val="Header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EFFECTIVE DATE:</w:t>
          </w:r>
        </w:p>
        <w:p w:rsidR="00E71091" w:rsidRDefault="00E71091" w:rsidP="00F95D0C">
          <w:pPr>
            <w:pStyle w:val="Head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8-</w:t>
          </w:r>
          <w:r w:rsidR="00F95D0C">
            <w:rPr>
              <w:sz w:val="18"/>
              <w:szCs w:val="18"/>
            </w:rPr>
            <w:t>2014</w:t>
          </w:r>
        </w:p>
      </w:tc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hideMark/>
        </w:tcPr>
        <w:p w:rsidR="00E71091" w:rsidRPr="00DA1DFD" w:rsidRDefault="00E71091" w:rsidP="00DA1DFD">
          <w:pPr>
            <w:pStyle w:val="Header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REVISION: H-1</w:t>
          </w:r>
        </w:p>
      </w:tc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hideMark/>
        </w:tcPr>
        <w:p w:rsidR="00E71091" w:rsidRDefault="00E71091" w:rsidP="00DA1DFD">
          <w:pPr>
            <w:pStyle w:val="Header"/>
            <w:jc w:val="both"/>
            <w:rPr>
              <w:b/>
              <w:snapToGrid w:val="0"/>
              <w:sz w:val="18"/>
              <w:szCs w:val="18"/>
            </w:rPr>
          </w:pPr>
          <w:r>
            <w:rPr>
              <w:b/>
              <w:snapToGrid w:val="0"/>
              <w:sz w:val="18"/>
              <w:szCs w:val="18"/>
            </w:rPr>
            <w:t>SUPERCEDES:</w:t>
          </w:r>
        </w:p>
        <w:p w:rsidR="00E71091" w:rsidRDefault="00E71091" w:rsidP="00DA1DFD">
          <w:pPr>
            <w:pStyle w:val="Header"/>
            <w:jc w:val="both"/>
            <w:rPr>
              <w:snapToGrid w:val="0"/>
              <w:sz w:val="18"/>
              <w:szCs w:val="18"/>
            </w:rPr>
          </w:pPr>
        </w:p>
      </w:tc>
    </w:tr>
  </w:tbl>
  <w:p w:rsidR="00E71091" w:rsidRDefault="00E71091">
    <w:pPr>
      <w:pStyle w:val="Header"/>
    </w:pPr>
  </w:p>
  <w:p w:rsidR="00E71091" w:rsidRDefault="00E7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E49"/>
    <w:multiLevelType w:val="hybridMultilevel"/>
    <w:tmpl w:val="9F52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6DE"/>
    <w:multiLevelType w:val="hybridMultilevel"/>
    <w:tmpl w:val="87A8B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703C"/>
    <w:multiLevelType w:val="hybridMultilevel"/>
    <w:tmpl w:val="A99C586E"/>
    <w:lvl w:ilvl="0" w:tplc="DADCEC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6217"/>
    <w:multiLevelType w:val="hybridMultilevel"/>
    <w:tmpl w:val="5E8A55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543880"/>
    <w:multiLevelType w:val="hybridMultilevel"/>
    <w:tmpl w:val="7E004700"/>
    <w:lvl w:ilvl="0" w:tplc="E13A2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47D45"/>
    <w:multiLevelType w:val="hybridMultilevel"/>
    <w:tmpl w:val="18D27B1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8605FA5"/>
    <w:multiLevelType w:val="hybridMultilevel"/>
    <w:tmpl w:val="DDC8CA08"/>
    <w:lvl w:ilvl="0" w:tplc="1632FC4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AFE"/>
    <w:multiLevelType w:val="hybridMultilevel"/>
    <w:tmpl w:val="5FBC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3866"/>
    <w:multiLevelType w:val="hybridMultilevel"/>
    <w:tmpl w:val="FB2C6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23020"/>
    <w:multiLevelType w:val="hybridMultilevel"/>
    <w:tmpl w:val="D58E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85DEA"/>
    <w:multiLevelType w:val="hybridMultilevel"/>
    <w:tmpl w:val="588420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A8D778F"/>
    <w:multiLevelType w:val="hybridMultilevel"/>
    <w:tmpl w:val="EEDA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A132A"/>
    <w:multiLevelType w:val="hybridMultilevel"/>
    <w:tmpl w:val="B418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961F1"/>
    <w:multiLevelType w:val="hybridMultilevel"/>
    <w:tmpl w:val="4710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A3370"/>
    <w:multiLevelType w:val="hybridMultilevel"/>
    <w:tmpl w:val="F642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C6B7F"/>
    <w:multiLevelType w:val="hybridMultilevel"/>
    <w:tmpl w:val="592C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B7301"/>
    <w:multiLevelType w:val="hybridMultilevel"/>
    <w:tmpl w:val="515E14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3946B2F"/>
    <w:multiLevelType w:val="hybridMultilevel"/>
    <w:tmpl w:val="EBE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B6E33"/>
    <w:multiLevelType w:val="hybridMultilevel"/>
    <w:tmpl w:val="B5CE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86FE3"/>
    <w:multiLevelType w:val="hybridMultilevel"/>
    <w:tmpl w:val="94F0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761E"/>
    <w:multiLevelType w:val="hybridMultilevel"/>
    <w:tmpl w:val="0EA4ECA2"/>
    <w:lvl w:ilvl="0" w:tplc="BB6CC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A3AAE"/>
    <w:multiLevelType w:val="hybridMultilevel"/>
    <w:tmpl w:val="D2D61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4"/>
  </w:num>
  <w:num w:numId="5">
    <w:abstractNumId w:val="1"/>
  </w:num>
  <w:num w:numId="6">
    <w:abstractNumId w:val="19"/>
  </w:num>
  <w:num w:numId="7">
    <w:abstractNumId w:val="2"/>
  </w:num>
  <w:num w:numId="8">
    <w:abstractNumId w:val="21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0"/>
  </w:num>
  <w:num w:numId="18">
    <w:abstractNumId w:val="18"/>
  </w:num>
  <w:num w:numId="19">
    <w:abstractNumId w:val="11"/>
  </w:num>
  <w:num w:numId="20">
    <w:abstractNumId w:val="1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C8"/>
    <w:rsid w:val="0001411B"/>
    <w:rsid w:val="00022425"/>
    <w:rsid w:val="00093FF9"/>
    <w:rsid w:val="00146C4A"/>
    <w:rsid w:val="0015061B"/>
    <w:rsid w:val="00167F3B"/>
    <w:rsid w:val="0017021A"/>
    <w:rsid w:val="00195A69"/>
    <w:rsid w:val="001C7911"/>
    <w:rsid w:val="002154D0"/>
    <w:rsid w:val="00264756"/>
    <w:rsid w:val="0027407B"/>
    <w:rsid w:val="0029304B"/>
    <w:rsid w:val="002F4930"/>
    <w:rsid w:val="00334C18"/>
    <w:rsid w:val="00352123"/>
    <w:rsid w:val="003B36AB"/>
    <w:rsid w:val="00467A86"/>
    <w:rsid w:val="005B1212"/>
    <w:rsid w:val="005E202A"/>
    <w:rsid w:val="005F5E16"/>
    <w:rsid w:val="00614C8E"/>
    <w:rsid w:val="00615ACD"/>
    <w:rsid w:val="00622ACC"/>
    <w:rsid w:val="00675888"/>
    <w:rsid w:val="00683C59"/>
    <w:rsid w:val="006D5F9E"/>
    <w:rsid w:val="007A4878"/>
    <w:rsid w:val="007A790E"/>
    <w:rsid w:val="00884622"/>
    <w:rsid w:val="008C586D"/>
    <w:rsid w:val="00944E84"/>
    <w:rsid w:val="009C5C35"/>
    <w:rsid w:val="00AA1A30"/>
    <w:rsid w:val="00AF1DCA"/>
    <w:rsid w:val="00B10FFB"/>
    <w:rsid w:val="00B35F25"/>
    <w:rsid w:val="00B71E2E"/>
    <w:rsid w:val="00B73B5B"/>
    <w:rsid w:val="00BC3372"/>
    <w:rsid w:val="00C056D3"/>
    <w:rsid w:val="00C61E0E"/>
    <w:rsid w:val="00C806D5"/>
    <w:rsid w:val="00C86DF0"/>
    <w:rsid w:val="00CB6F98"/>
    <w:rsid w:val="00CF1D04"/>
    <w:rsid w:val="00D41313"/>
    <w:rsid w:val="00D55E5F"/>
    <w:rsid w:val="00DA1DFD"/>
    <w:rsid w:val="00DB0C9C"/>
    <w:rsid w:val="00E35618"/>
    <w:rsid w:val="00E476A7"/>
    <w:rsid w:val="00E71091"/>
    <w:rsid w:val="00EB033B"/>
    <w:rsid w:val="00EE7ED5"/>
    <w:rsid w:val="00EF3CA6"/>
    <w:rsid w:val="00F81CC8"/>
    <w:rsid w:val="00F95D0C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C8"/>
    <w:pPr>
      <w:ind w:left="720"/>
      <w:contextualSpacing/>
    </w:pPr>
  </w:style>
  <w:style w:type="paragraph" w:styleId="NoSpacing">
    <w:name w:val="No Spacing"/>
    <w:uiPriority w:val="1"/>
    <w:qFormat/>
    <w:rsid w:val="00195A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B71E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71E2E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1091"/>
  </w:style>
  <w:style w:type="paragraph" w:styleId="Footer">
    <w:name w:val="footer"/>
    <w:basedOn w:val="Normal"/>
    <w:link w:val="FooterChar"/>
    <w:uiPriority w:val="99"/>
    <w:unhideWhenUsed/>
    <w:rsid w:val="00E7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C8"/>
    <w:pPr>
      <w:ind w:left="720"/>
      <w:contextualSpacing/>
    </w:pPr>
  </w:style>
  <w:style w:type="paragraph" w:styleId="NoSpacing">
    <w:name w:val="No Spacing"/>
    <w:uiPriority w:val="1"/>
    <w:qFormat/>
    <w:rsid w:val="00195A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B71E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71E2E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1091"/>
  </w:style>
  <w:style w:type="paragraph" w:styleId="Footer">
    <w:name w:val="footer"/>
    <w:basedOn w:val="Normal"/>
    <w:link w:val="FooterChar"/>
    <w:uiPriority w:val="99"/>
    <w:unhideWhenUsed/>
    <w:rsid w:val="00E71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6C78-312C-4A77-85B2-E977A50D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Hospital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Degano, Elizabeth</dc:creator>
  <cp:lastModifiedBy>Degano, Elizabeth</cp:lastModifiedBy>
  <cp:revision>14</cp:revision>
  <dcterms:created xsi:type="dcterms:W3CDTF">2014-08-14T19:45:00Z</dcterms:created>
  <dcterms:modified xsi:type="dcterms:W3CDTF">2014-08-18T12:29:00Z</dcterms:modified>
</cp:coreProperties>
</file>