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5352E8" w:rsidP="00962C5C">
      <w:pPr>
        <w:spacing w:after="120" w:line="276" w:lineRule="auto"/>
        <w:rPr>
          <w:rFonts w:ascii="Arial" w:eastAsia="MS PGothic" w:hAnsi="Arial"/>
          <w:i/>
          <w:sz w:val="22"/>
          <w:szCs w:val="22"/>
        </w:rPr>
      </w:pPr>
      <w:r>
        <w:rPr>
          <w:rFonts w:ascii="Arial" w:eastAsia="MS PGothic" w:hAnsi="Arial"/>
          <w:i/>
          <w:sz w:val="22"/>
          <w:szCs w:val="22"/>
        </w:rPr>
        <w:t>2</w:t>
      </w:r>
      <w:r w:rsidR="00962C5C" w:rsidRPr="00962C5C">
        <w:rPr>
          <w:rFonts w:ascii="Arial" w:eastAsia="MS PGothic" w:hAnsi="Arial"/>
          <w:i/>
          <w:sz w:val="22"/>
          <w:szCs w:val="22"/>
        </w:rPr>
        <w:t>/</w:t>
      </w:r>
      <w:r w:rsidR="00447B8E">
        <w:rPr>
          <w:rFonts w:ascii="Arial" w:eastAsia="MS PGothic" w:hAnsi="Arial"/>
          <w:i/>
          <w:sz w:val="22"/>
          <w:szCs w:val="22"/>
        </w:rPr>
        <w:t>08</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1E5B25" w:rsidRPr="0034692F" w:rsidRDefault="00447B8E" w:rsidP="0034692F">
      <w:pPr>
        <w:rPr>
          <w:rFonts w:eastAsiaTheme="minorHAnsi"/>
        </w:rPr>
      </w:pPr>
      <w:r>
        <w:t>Reminder:  F</w:t>
      </w:r>
      <w:r w:rsidR="00F85827">
        <w:t>or all i</w:t>
      </w:r>
      <w:r w:rsidR="001E5B25">
        <w:t>rre</w:t>
      </w:r>
      <w:r w:rsidR="00F85827">
        <w:t>trievable</w:t>
      </w:r>
      <w:r w:rsidR="001E5B25">
        <w:t xml:space="preserve"> specimen</w:t>
      </w:r>
      <w:r w:rsidR="00F85827">
        <w:t>s</w:t>
      </w:r>
      <w:r w:rsidR="001E5B25">
        <w:t xml:space="preserve"> and that includes bone marrow</w:t>
      </w:r>
      <w:r w:rsidR="00564BE5">
        <w:t>s</w:t>
      </w:r>
      <w:r w:rsidR="001E5B25">
        <w:t>, we need to send a</w:t>
      </w:r>
      <w:r w:rsidR="00F85827">
        <w:t xml:space="preserve"> completed</w:t>
      </w:r>
      <w:r w:rsidR="001E5B25">
        <w:t xml:space="preserve"> shared form to wherever it has to go</w:t>
      </w:r>
      <w:r w:rsidR="00F85827">
        <w:t xml:space="preserve"> after Heme. Note: New procedure is to scan the shared form into Media manager before it is sent along to the next lab. </w:t>
      </w:r>
      <w:r w:rsidR="001E5B25">
        <w:t xml:space="preserve"> Parveen has </w:t>
      </w:r>
      <w:r w:rsidR="00F85827">
        <w:t xml:space="preserve">a procedure for scanning and the scanner is set up near the desktop computer in the back. </w:t>
      </w:r>
      <w:r w:rsidR="001E5B25">
        <w:t xml:space="preserve"> Laura</w:t>
      </w:r>
      <w:r w:rsidR="00F85827">
        <w:t>,</w:t>
      </w:r>
      <w:r w:rsidR="001E5B25">
        <w:t xml:space="preserve"> Jerry and Denisa know how to scan so they can assist you. The scanning is going to be performed </w:t>
      </w:r>
      <w:r w:rsidR="00F85827">
        <w:t xml:space="preserve">by every lab who the sample is shared with. This is basically to keep better track of these specimens. </w:t>
      </w:r>
      <w:r w:rsidR="001E5B25">
        <w:t> </w:t>
      </w:r>
    </w:p>
    <w:p w:rsidR="001E5B25" w:rsidRDefault="001E5B25" w:rsidP="001E5B25"/>
    <w:p w:rsidR="001E5B25" w:rsidRDefault="001E5B25" w:rsidP="001E5B25">
      <w:r>
        <w:t xml:space="preserve">Bone </w:t>
      </w:r>
      <w:r w:rsidR="00447B8E">
        <w:t>Marrow</w:t>
      </w:r>
      <w:r w:rsidR="0034692F">
        <w:t>s</w:t>
      </w:r>
      <w:r>
        <w:t xml:space="preserve"> that arrive during the day shift should be processed during the day </w:t>
      </w:r>
      <w:r w:rsidR="00447B8E">
        <w:t xml:space="preserve">and </w:t>
      </w:r>
      <w:r w:rsidR="0034692F">
        <w:t>not left for the evening staff.</w:t>
      </w:r>
      <w:r w:rsidR="00447B8E">
        <w:t xml:space="preserve"> </w:t>
      </w:r>
      <w:r w:rsidR="0034692F">
        <w:t xml:space="preserve"> </w:t>
      </w:r>
      <w:r>
        <w:t> </w:t>
      </w:r>
    </w:p>
    <w:p w:rsidR="00447B8E" w:rsidRDefault="00447B8E" w:rsidP="001E5B25"/>
    <w:p w:rsidR="001E5B25" w:rsidRDefault="001E5B25" w:rsidP="001E5B25">
      <w:r w:rsidRPr="00447B8E">
        <w:rPr>
          <w:b/>
        </w:rPr>
        <w:t>Who do we make critical calls to when there is an</w:t>
      </w:r>
      <w:r w:rsidR="0034692F">
        <w:rPr>
          <w:b/>
        </w:rPr>
        <w:t xml:space="preserve"> OR patient</w:t>
      </w:r>
      <w:r w:rsidRPr="00447B8E">
        <w:rPr>
          <w:b/>
        </w:rPr>
        <w:t>? Is it the OR or is it the floor?</w:t>
      </w:r>
      <w:r>
        <w:t xml:space="preserve"> The answer is we call the OR</w:t>
      </w:r>
      <w:r w:rsidR="00564BE5">
        <w:t xml:space="preserve"> but it </w:t>
      </w:r>
      <w:r w:rsidR="0034692F">
        <w:t>usually</w:t>
      </w:r>
      <w:r w:rsidR="00564BE5">
        <w:t xml:space="preserve"> takes several phone calls beginning with Perioperative Services</w:t>
      </w:r>
      <w:r>
        <w:t>. </w:t>
      </w:r>
    </w:p>
    <w:p w:rsidR="00447B8E" w:rsidRDefault="00447B8E" w:rsidP="001E5B25"/>
    <w:p w:rsidR="00447B8E" w:rsidRPr="00447B8E" w:rsidRDefault="00564BE5" w:rsidP="001E5B25">
      <w:pPr>
        <w:rPr>
          <w:b/>
        </w:rPr>
      </w:pPr>
      <w:r>
        <w:rPr>
          <w:b/>
        </w:rPr>
        <w:t xml:space="preserve">Hematology </w:t>
      </w:r>
      <w:r w:rsidR="001E5B25" w:rsidRPr="00447B8E">
        <w:rPr>
          <w:b/>
        </w:rPr>
        <w:t>Laboratory initiatives: </w:t>
      </w:r>
    </w:p>
    <w:p w:rsidR="001E5B25" w:rsidRDefault="001E5B25" w:rsidP="001E5B25">
      <w:r>
        <w:t>We have three goals we would like to accomplish by the end of this year in September.</w:t>
      </w:r>
    </w:p>
    <w:p w:rsidR="001E5B25" w:rsidRDefault="00564BE5" w:rsidP="00564BE5">
      <w:pPr>
        <w:pStyle w:val="ListParagraph"/>
        <w:numPr>
          <w:ilvl w:val="0"/>
          <w:numId w:val="20"/>
        </w:numPr>
      </w:pPr>
      <w:r>
        <w:t>1) F</w:t>
      </w:r>
      <w:r w:rsidR="001E5B25">
        <w:t xml:space="preserve">ind three ways to enhance customer service or the quality of service or </w:t>
      </w:r>
      <w:r w:rsidR="0034692F">
        <w:t xml:space="preserve"> </w:t>
      </w:r>
      <w:r w:rsidR="001E5B25">
        <w:t>operational efficiencies</w:t>
      </w:r>
      <w:r>
        <w:t xml:space="preserve"> </w:t>
      </w:r>
      <w:r w:rsidR="001E5B25">
        <w:t>in terms of our lab.</w:t>
      </w:r>
      <w:r>
        <w:t xml:space="preserve"> </w:t>
      </w:r>
      <w:r w:rsidR="001E5B25">
        <w:t xml:space="preserve">We can look at </w:t>
      </w:r>
      <w:r>
        <w:t>customers</w:t>
      </w:r>
      <w:r w:rsidR="001E5B25">
        <w:t xml:space="preserve"> in </w:t>
      </w:r>
      <w:r>
        <w:t>two</w:t>
      </w:r>
      <w:r w:rsidR="001E5B25">
        <w:t xml:space="preserve"> ways: - </w:t>
      </w:r>
      <w:r w:rsidR="00447B8E">
        <w:t>1.The patients, 2.</w:t>
      </w:r>
      <w:r w:rsidR="001E5B25">
        <w:t xml:space="preserve"> Physicians and those who order lab test</w:t>
      </w:r>
      <w:r w:rsidR="0034692F">
        <w:t>s</w:t>
      </w:r>
      <w:r w:rsidR="001E5B25">
        <w:t>. </w:t>
      </w:r>
    </w:p>
    <w:p w:rsidR="0034692F" w:rsidRDefault="00564BE5" w:rsidP="001E5B25">
      <w:r>
        <w:t xml:space="preserve">Solutions proposed at this time are: </w:t>
      </w:r>
    </w:p>
    <w:p w:rsidR="0034692F" w:rsidRDefault="0034692F" w:rsidP="001E5B25">
      <w:r>
        <w:t xml:space="preserve">             </w:t>
      </w:r>
      <w:r w:rsidR="00564BE5">
        <w:t xml:space="preserve"> </w:t>
      </w:r>
      <w:r>
        <w:t>1.</w:t>
      </w:r>
      <w:r w:rsidR="001E5B25">
        <w:t xml:space="preserve"> </w:t>
      </w:r>
      <w:r>
        <w:t>A Dipstix reader for Urinalysis( Clinitek Status).</w:t>
      </w:r>
      <w:r w:rsidR="001E5B25">
        <w:t xml:space="preserve"> The </w:t>
      </w:r>
      <w:r>
        <w:t>sales rep</w:t>
      </w:r>
      <w:r w:rsidR="00564BE5">
        <w:t xml:space="preserve"> perform</w:t>
      </w:r>
      <w:r>
        <w:t>ed</w:t>
      </w:r>
      <w:r w:rsidR="00564BE5">
        <w:t xml:space="preserve"> a </w:t>
      </w:r>
      <w:r>
        <w:t xml:space="preserve">                 </w:t>
      </w:r>
      <w:r w:rsidR="00564BE5">
        <w:t xml:space="preserve">demonstration of </w:t>
      </w:r>
      <w:r>
        <w:t xml:space="preserve"> </w:t>
      </w:r>
      <w:r w:rsidR="00564BE5">
        <w:t xml:space="preserve"> point of care devise. It runs</w:t>
      </w:r>
      <w:r w:rsidR="001E5B25">
        <w:t xml:space="preserve"> one strip</w:t>
      </w:r>
      <w:r>
        <w:t xml:space="preserve"> at a time</w:t>
      </w:r>
      <w:r w:rsidR="001E5B25">
        <w:t xml:space="preserve"> </w:t>
      </w:r>
      <w:r w:rsidR="00564BE5">
        <w:t xml:space="preserve">and </w:t>
      </w:r>
      <w:r>
        <w:t>this will</w:t>
      </w:r>
      <w:r w:rsidR="00564BE5">
        <w:t xml:space="preserve"> standardize</w:t>
      </w:r>
      <w:r w:rsidR="001E5B25">
        <w:t xml:space="preserve"> dipstick read</w:t>
      </w:r>
      <w:r w:rsidR="00564BE5">
        <w:t>ing</w:t>
      </w:r>
      <w:r>
        <w:t>s</w:t>
      </w:r>
      <w:r w:rsidR="00564BE5">
        <w:t xml:space="preserve">. It will not be </w:t>
      </w:r>
      <w:r w:rsidR="001E5B25">
        <w:t>interfac</w:t>
      </w:r>
      <w:r w:rsidR="00564BE5">
        <w:t>ed</w:t>
      </w:r>
      <w:r>
        <w:t>, so we will still have to manual enter results.</w:t>
      </w:r>
    </w:p>
    <w:p w:rsidR="0034692F" w:rsidRDefault="0034692F" w:rsidP="001E5B25">
      <w:r>
        <w:t xml:space="preserve">              2.   </w:t>
      </w:r>
      <w:r w:rsidR="001E5B25">
        <w:t xml:space="preserve"> D-dimer </w:t>
      </w:r>
      <w:r w:rsidR="00564BE5">
        <w:t>age-</w:t>
      </w:r>
      <w:r w:rsidR="001E5B25">
        <w:t>specific</w:t>
      </w:r>
      <w:r w:rsidR="00564BE5">
        <w:t xml:space="preserve"> reference ranges are bein</w:t>
      </w:r>
      <w:r>
        <w:t>g established and in progress.</w:t>
      </w:r>
    </w:p>
    <w:p w:rsidR="001E5B25" w:rsidRDefault="0034692F" w:rsidP="001E5B25">
      <w:r>
        <w:t xml:space="preserve">              3.  Other thoughts or suggestions are encouraged.</w:t>
      </w:r>
    </w:p>
    <w:p w:rsidR="001E5B25" w:rsidRDefault="001E5B25" w:rsidP="001E5B25"/>
    <w:p w:rsidR="001E5B25" w:rsidRDefault="001E5B25" w:rsidP="00564BE5">
      <w:pPr>
        <w:pStyle w:val="ListParagraph"/>
        <w:numPr>
          <w:ilvl w:val="0"/>
          <w:numId w:val="20"/>
        </w:numPr>
      </w:pPr>
      <w:r>
        <w:t xml:space="preserve">The second goal is related to </w:t>
      </w:r>
      <w:r w:rsidR="0034692F">
        <w:t>HRO and to</w:t>
      </w:r>
      <w:r>
        <w:t xml:space="preserve"> find three safety interventions</w:t>
      </w:r>
    </w:p>
    <w:p w:rsidR="001E5B25" w:rsidRDefault="001E5B25" w:rsidP="001E5B25"/>
    <w:p w:rsidR="001E5B25" w:rsidRDefault="00234A05" w:rsidP="005D3462">
      <w:pPr>
        <w:pStyle w:val="ListParagraph"/>
        <w:numPr>
          <w:ilvl w:val="0"/>
          <w:numId w:val="18"/>
        </w:numPr>
      </w:pPr>
      <w:r>
        <w:t>T</w:t>
      </w:r>
      <w:r w:rsidR="001E5B25">
        <w:t>he labels for fluids spell</w:t>
      </w:r>
      <w:r w:rsidR="0034692F">
        <w:t>ing</w:t>
      </w:r>
      <w:r w:rsidR="001E5B25">
        <w:t xml:space="preserve"> out </w:t>
      </w:r>
      <w:r w:rsidR="0034692F">
        <w:t>“Fluid”</w:t>
      </w:r>
      <w:r w:rsidR="001E5B25">
        <w:t xml:space="preserve"> instead of FCC will help reduce </w:t>
      </w:r>
      <w:r w:rsidR="0034692F">
        <w:t xml:space="preserve"> peripheral bloods being labelled as Fluids.</w:t>
      </w:r>
      <w:r w:rsidR="001E5B25">
        <w:t xml:space="preserve"> </w:t>
      </w:r>
      <w:r>
        <w:t>I</w:t>
      </w:r>
      <w:r w:rsidR="001E5B25">
        <w:t xml:space="preserve">f we continue to </w:t>
      </w:r>
      <w:r>
        <w:t>receive</w:t>
      </w:r>
      <w:r w:rsidR="001E5B25">
        <w:t xml:space="preserve"> </w:t>
      </w:r>
      <w:r w:rsidR="0034692F">
        <w:t>CBCs</w:t>
      </w:r>
      <w:r w:rsidR="001E5B25">
        <w:t xml:space="preserve"> with</w:t>
      </w:r>
      <w:r w:rsidR="0034692F">
        <w:t xml:space="preserve"> Fluid</w:t>
      </w:r>
      <w:r>
        <w:t xml:space="preserve"> labels then enter </w:t>
      </w:r>
      <w:r w:rsidR="0034692F">
        <w:t>RLs</w:t>
      </w:r>
      <w:r>
        <w:t xml:space="preserve"> or save for a supervisor or </w:t>
      </w:r>
      <w:r w:rsidR="0034692F">
        <w:t>Pat.</w:t>
      </w:r>
    </w:p>
    <w:p w:rsidR="001E5B25" w:rsidRDefault="0034692F" w:rsidP="001E5B25">
      <w:pPr>
        <w:pStyle w:val="ListParagraph"/>
        <w:numPr>
          <w:ilvl w:val="0"/>
          <w:numId w:val="18"/>
        </w:numPr>
      </w:pPr>
      <w:r>
        <w:t>Developing that HPCA and HPC</w:t>
      </w:r>
      <w:r w:rsidR="001E5B25">
        <w:t>W</w:t>
      </w:r>
      <w:r>
        <w:t xml:space="preserve"> stem cell samples</w:t>
      </w:r>
      <w:r w:rsidR="001E5B25">
        <w:t xml:space="preserve"> so that we don't report reference ranges and no critical values</w:t>
      </w:r>
      <w:r w:rsidR="00234A05">
        <w:t>,</w:t>
      </w:r>
      <w:r w:rsidR="001E5B25">
        <w:t xml:space="preserve"> and simply report</w:t>
      </w:r>
      <w:r w:rsidR="00234A05">
        <w:t xml:space="preserve"> the results</w:t>
      </w:r>
      <w:r w:rsidR="001E5B25">
        <w:t xml:space="preserve"> that </w:t>
      </w:r>
      <w:r w:rsidR="00234A05">
        <w:t xml:space="preserve">the </w:t>
      </w:r>
      <w:r w:rsidR="001E5B25">
        <w:t>stem cell lab wants</w:t>
      </w:r>
      <w:r w:rsidR="00234A05">
        <w:t>. John is working on this change with IT and WAM.</w:t>
      </w:r>
    </w:p>
    <w:p w:rsidR="001E5B25" w:rsidRDefault="001E5B25" w:rsidP="001E5B25">
      <w:r>
        <w:t> </w:t>
      </w:r>
    </w:p>
    <w:p w:rsidR="001E5B25" w:rsidRDefault="001E5B25" w:rsidP="001E5B25">
      <w:pPr>
        <w:pStyle w:val="ListParagraph"/>
        <w:numPr>
          <w:ilvl w:val="0"/>
          <w:numId w:val="18"/>
        </w:numPr>
      </w:pPr>
      <w:r>
        <w:t xml:space="preserve"> TEG testing</w:t>
      </w:r>
      <w:r w:rsidR="0034692F">
        <w:t xml:space="preserve"> will be ordered as its own test not misc</w:t>
      </w:r>
      <w:r w:rsidR="00BC4231">
        <w:t xml:space="preserve"> soon.</w:t>
      </w:r>
      <w:r>
        <w:t xml:space="preserve"> </w:t>
      </w:r>
      <w:r w:rsidR="0034692F">
        <w:t>The</w:t>
      </w:r>
      <w:r>
        <w:t xml:space="preserve"> </w:t>
      </w:r>
      <w:r w:rsidR="0034692F">
        <w:t>SBAR</w:t>
      </w:r>
      <w:r>
        <w:t xml:space="preserve"> is in the review process and the tentative date is February 20th for that </w:t>
      </w:r>
      <w:r w:rsidR="00BC4231">
        <w:t>Go L</w:t>
      </w:r>
      <w:r>
        <w:t xml:space="preserve">ive. Teg kits will still need to be called </w:t>
      </w:r>
      <w:r w:rsidR="00234A05">
        <w:t>for</w:t>
      </w:r>
      <w:r>
        <w:t xml:space="preserve"> and </w:t>
      </w:r>
      <w:r w:rsidR="00234A05">
        <w:t>hand-delivery must continue.</w:t>
      </w:r>
      <w:r>
        <w:t> </w:t>
      </w:r>
    </w:p>
    <w:p w:rsidR="001E5B25" w:rsidRDefault="001E5B25" w:rsidP="001E5B25"/>
    <w:p w:rsidR="004C7BB1" w:rsidRPr="004C7BB1" w:rsidRDefault="004C7BB1" w:rsidP="004C7BB1">
      <w:pPr>
        <w:pStyle w:val="ListParagraph"/>
        <w:numPr>
          <w:ilvl w:val="0"/>
          <w:numId w:val="20"/>
        </w:numPr>
        <w:rPr>
          <w:rFonts w:ascii="Calibri" w:hAnsi="Calibri" w:cs="Calibri"/>
          <w:b/>
        </w:rPr>
      </w:pPr>
      <w:r>
        <w:lastRenderedPageBreak/>
        <w:t>F</w:t>
      </w:r>
      <w:r w:rsidR="001E5B25">
        <w:t xml:space="preserve">ind </w:t>
      </w:r>
      <w:r>
        <w:t xml:space="preserve">three </w:t>
      </w:r>
      <w:r w:rsidR="001E5B25">
        <w:t>new protocol</w:t>
      </w:r>
      <w:r w:rsidR="00BC4231">
        <w:t>s, procedures or change of workflow</w:t>
      </w:r>
      <w:r w:rsidR="001E5B25">
        <w:t xml:space="preserve"> that directly or indirectly improves</w:t>
      </w:r>
      <w:r w:rsidR="00BC4231">
        <w:t xml:space="preserve"> the</w:t>
      </w:r>
      <w:r w:rsidR="001E5B25">
        <w:t xml:space="preserve"> patient experience</w:t>
      </w:r>
      <w:r w:rsidR="00234A05">
        <w:t xml:space="preserve"> </w:t>
      </w:r>
      <w:r w:rsidR="00BC4231">
        <w:t xml:space="preserve">or </w:t>
      </w:r>
      <w:r w:rsidR="00BC4231">
        <w:rPr>
          <w:rFonts w:ascii="Calibri" w:hAnsi="Calibri" w:cs="Calibri"/>
        </w:rPr>
        <w:t>f</w:t>
      </w:r>
      <w:r w:rsidRPr="004C7BB1">
        <w:rPr>
          <w:rFonts w:ascii="Calibri" w:hAnsi="Calibri" w:cs="Calibri"/>
        </w:rPr>
        <w:t>ind four new strategies</w:t>
      </w:r>
      <w:r w:rsidRPr="004C7BB1">
        <w:rPr>
          <w:rFonts w:ascii="Calibri" w:hAnsi="Calibri" w:cs="Calibri"/>
          <w:b/>
          <w:i/>
        </w:rPr>
        <w:t xml:space="preserve"> </w:t>
      </w:r>
      <w:r w:rsidRPr="004C7BB1">
        <w:t>for increased employee engagement. Develop methods to enhance employee experience, satisfaction, retention, succession planning, etc.</w:t>
      </w:r>
      <w:r w:rsidR="00BC4231">
        <w:t xml:space="preserve"> </w:t>
      </w:r>
      <w:r w:rsidRPr="004C7BB1">
        <w:rPr>
          <w:rFonts w:ascii="Calibri" w:hAnsi="Calibri" w:cs="Calibri"/>
        </w:rPr>
        <w:t>aimed at providing enhanced employee relations and or enhanced work environment.</w:t>
      </w:r>
    </w:p>
    <w:p w:rsidR="001E5B25" w:rsidRPr="004C7BB1" w:rsidRDefault="001E5B25" w:rsidP="004C7BB1"/>
    <w:p w:rsidR="001E5B25" w:rsidRDefault="001206BE" w:rsidP="001E5B25">
      <w:pPr>
        <w:rPr>
          <w:rFonts w:eastAsiaTheme="minorHAnsi"/>
        </w:rPr>
      </w:pPr>
      <w:r w:rsidRPr="00705FCF">
        <w:rPr>
          <w:b/>
        </w:rPr>
        <w:br/>
        <w:t xml:space="preserve"> </w:t>
      </w:r>
    </w:p>
    <w:p w:rsidR="001E5B25" w:rsidRDefault="001E5B25" w:rsidP="001E5B25">
      <w:r w:rsidRPr="001E5B25">
        <w:rPr>
          <w:u w:val="single"/>
        </w:rPr>
        <w:t>Donna</w:t>
      </w:r>
      <w:r>
        <w:t xml:space="preserve"> </w:t>
      </w:r>
      <w:r w:rsidR="00BC4231">
        <w:t>–</w:t>
      </w:r>
      <w:r>
        <w:t xml:space="preserve"> </w:t>
      </w:r>
      <w:r w:rsidR="00BC4231">
        <w:t>See memo posted near Communication Log regarding subsequent samples with Blast Flags within 24 hours after it has been already scanned for the day. Auto diffs are never released on samples with Blast Flags.</w:t>
      </w:r>
    </w:p>
    <w:p w:rsidR="001E5B25" w:rsidRDefault="001E5B25" w:rsidP="001E5B25"/>
    <w:p w:rsidR="001E5B25" w:rsidRDefault="001E5B25" w:rsidP="001E5B25">
      <w:r w:rsidRPr="001E5B25">
        <w:rPr>
          <w:u w:val="single"/>
        </w:rPr>
        <w:t>Parveen-</w:t>
      </w:r>
      <w:r>
        <w:t xml:space="preserve"> </w:t>
      </w:r>
      <w:r w:rsidR="002A3E95">
        <w:t>Just a reminder, lab will</w:t>
      </w:r>
      <w:r w:rsidR="00742518">
        <w:t xml:space="preserve"> spinning all special coag test</w:t>
      </w:r>
      <w:r w:rsidR="00BC4231">
        <w:t xml:space="preserve">s including Thrombin Time. LAs </w:t>
      </w:r>
      <w:r w:rsidR="00742518">
        <w:t>will spin only routine coags.</w:t>
      </w:r>
    </w:p>
    <w:p w:rsidR="001E5B25" w:rsidRDefault="001E5B25" w:rsidP="001E5B25"/>
    <w:p w:rsidR="001E5B25" w:rsidRDefault="001E5B25" w:rsidP="001E5B25">
      <w:r w:rsidRPr="001E5B25">
        <w:rPr>
          <w:u w:val="single"/>
        </w:rPr>
        <w:t>Natali</w:t>
      </w:r>
      <w:r w:rsidR="00BC4231">
        <w:rPr>
          <w:u w:val="single"/>
        </w:rPr>
        <w:t>e</w:t>
      </w:r>
      <w:r w:rsidR="00BC4231">
        <w:t>– When performing crystal analysis, make sure to look at the positive reference smear first to assure the scope is aligned properly. Complete the Crystal ID IQCP Log for every joint fluid that is processed. Leave the fluid paper with your crystal results near scope if it is being left for confirmation. This is part of your competency.</w:t>
      </w:r>
      <w:r>
        <w:t xml:space="preserve">  </w:t>
      </w:r>
      <w:r w:rsidR="00BC4231">
        <w:t xml:space="preserve"> </w:t>
      </w:r>
      <w:bookmarkStart w:id="0" w:name="_GoBack"/>
      <w:bookmarkEnd w:id="0"/>
    </w:p>
    <w:p w:rsidR="001206BE" w:rsidRPr="00705FCF" w:rsidRDefault="001206BE" w:rsidP="00705FCF">
      <w:pPr>
        <w:rPr>
          <w:b/>
        </w:rPr>
      </w:pPr>
    </w:p>
    <w:p w:rsidR="006F6C16" w:rsidRDefault="006F6C16" w:rsidP="006F6C16"/>
    <w:p w:rsidR="006F6C16" w:rsidRDefault="006F6C16" w:rsidP="006F6C16">
      <w:r>
        <w:t xml:space="preserve"> </w:t>
      </w: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BE7C8B" w:rsidRDefault="00BE7C8B" w:rsidP="00BE7C8B"/>
    <w:p w:rsidR="00BE7C8B" w:rsidRDefault="00BE7C8B" w:rsidP="00BE7C8B"/>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13" w:rsidRDefault="00071913" w:rsidP="00962C5C">
      <w:r>
        <w:separator/>
      </w:r>
    </w:p>
  </w:endnote>
  <w:endnote w:type="continuationSeparator" w:id="0">
    <w:p w:rsidR="00071913" w:rsidRDefault="00071913"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13" w:rsidRDefault="00071913" w:rsidP="00962C5C">
      <w:r>
        <w:separator/>
      </w:r>
    </w:p>
  </w:footnote>
  <w:footnote w:type="continuationSeparator" w:id="0">
    <w:p w:rsidR="00071913" w:rsidRDefault="00071913"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C0882"/>
    <w:multiLevelType w:val="hybridMultilevel"/>
    <w:tmpl w:val="0968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53275"/>
    <w:multiLevelType w:val="hybridMultilevel"/>
    <w:tmpl w:val="EE64F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520D82"/>
    <w:multiLevelType w:val="hybridMultilevel"/>
    <w:tmpl w:val="C2F84424"/>
    <w:lvl w:ilvl="0" w:tplc="81D2D83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8"/>
  </w:num>
  <w:num w:numId="4">
    <w:abstractNumId w:val="13"/>
  </w:num>
  <w:num w:numId="5">
    <w:abstractNumId w:val="4"/>
  </w:num>
  <w:num w:numId="6">
    <w:abstractNumId w:val="9"/>
  </w:num>
  <w:num w:numId="7">
    <w:abstractNumId w:val="17"/>
  </w:num>
  <w:num w:numId="8">
    <w:abstractNumId w:val="1"/>
  </w:num>
  <w:num w:numId="9">
    <w:abstractNumId w:val="2"/>
  </w:num>
  <w:num w:numId="10">
    <w:abstractNumId w:val="7"/>
  </w:num>
  <w:num w:numId="11">
    <w:abstractNumId w:val="5"/>
  </w:num>
  <w:num w:numId="12">
    <w:abstractNumId w:val="15"/>
  </w:num>
  <w:num w:numId="13">
    <w:abstractNumId w:val="11"/>
  </w:num>
  <w:num w:numId="14">
    <w:abstractNumId w:val="10"/>
  </w:num>
  <w:num w:numId="15">
    <w:abstractNumId w:val="0"/>
  </w:num>
  <w:num w:numId="16">
    <w:abstractNumId w:val="19"/>
  </w:num>
  <w:num w:numId="17">
    <w:abstractNumId w:val="20"/>
  </w:num>
  <w:num w:numId="18">
    <w:abstractNumId w:val="6"/>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888"/>
    <w:rsid w:val="00071913"/>
    <w:rsid w:val="001206BE"/>
    <w:rsid w:val="0019187F"/>
    <w:rsid w:val="001A4FA0"/>
    <w:rsid w:val="001B5885"/>
    <w:rsid w:val="001E5B25"/>
    <w:rsid w:val="00234A05"/>
    <w:rsid w:val="002A3E95"/>
    <w:rsid w:val="0031291C"/>
    <w:rsid w:val="0034692F"/>
    <w:rsid w:val="003A310B"/>
    <w:rsid w:val="003B79A3"/>
    <w:rsid w:val="003E58A3"/>
    <w:rsid w:val="00400391"/>
    <w:rsid w:val="0044085B"/>
    <w:rsid w:val="00447B8E"/>
    <w:rsid w:val="0047377D"/>
    <w:rsid w:val="004C4DAB"/>
    <w:rsid w:val="004C7BB1"/>
    <w:rsid w:val="004E2911"/>
    <w:rsid w:val="005352E8"/>
    <w:rsid w:val="00564BE5"/>
    <w:rsid w:val="00572B4C"/>
    <w:rsid w:val="00635624"/>
    <w:rsid w:val="006A1D66"/>
    <w:rsid w:val="006F6C16"/>
    <w:rsid w:val="00705FCF"/>
    <w:rsid w:val="00711581"/>
    <w:rsid w:val="00742518"/>
    <w:rsid w:val="00775930"/>
    <w:rsid w:val="00862BD7"/>
    <w:rsid w:val="008D4359"/>
    <w:rsid w:val="00962C5C"/>
    <w:rsid w:val="009C28B9"/>
    <w:rsid w:val="009C7373"/>
    <w:rsid w:val="00A5504D"/>
    <w:rsid w:val="00AB6219"/>
    <w:rsid w:val="00AE7DC2"/>
    <w:rsid w:val="00BB18E3"/>
    <w:rsid w:val="00BB30F9"/>
    <w:rsid w:val="00BC4231"/>
    <w:rsid w:val="00BD6453"/>
    <w:rsid w:val="00BE16FF"/>
    <w:rsid w:val="00BE7C8B"/>
    <w:rsid w:val="00C26FD8"/>
    <w:rsid w:val="00C26FD9"/>
    <w:rsid w:val="00C53174"/>
    <w:rsid w:val="00CD1D0B"/>
    <w:rsid w:val="00E92592"/>
    <w:rsid w:val="00E9310B"/>
    <w:rsid w:val="00EA5C29"/>
    <w:rsid w:val="00EE7AEE"/>
    <w:rsid w:val="00F00BD2"/>
    <w:rsid w:val="00F85827"/>
    <w:rsid w:val="00FB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2629A4"/>
    <w:rsid w:val="00283C20"/>
    <w:rsid w:val="002A2916"/>
    <w:rsid w:val="00422688"/>
    <w:rsid w:val="00436D91"/>
    <w:rsid w:val="004A28B8"/>
    <w:rsid w:val="00572293"/>
    <w:rsid w:val="00793A83"/>
    <w:rsid w:val="007E2A28"/>
    <w:rsid w:val="008E4D35"/>
    <w:rsid w:val="00A962DB"/>
    <w:rsid w:val="00D53B0B"/>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2018-02-10T15:55:00Z</dcterms:created>
  <dcterms:modified xsi:type="dcterms:W3CDTF">2018-02-11T19:06:00Z</dcterms:modified>
</cp:coreProperties>
</file>