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71C" w:rsidRPr="008A4B3E" w:rsidRDefault="00D3271C" w:rsidP="00D3271C">
      <w:pPr>
        <w:pStyle w:val="BodyText"/>
        <w:rPr>
          <w:rFonts w:cs="Arial"/>
          <w:szCs w:val="22"/>
          <w:lang w:val="en-US" w:eastAsia="en-US"/>
        </w:rPr>
      </w:pPr>
      <w:r w:rsidRPr="008A4B3E">
        <w:rPr>
          <w:rFonts w:cs="Arial"/>
          <w:b/>
          <w:sz w:val="22"/>
          <w:szCs w:val="22"/>
          <w:u w:val="single"/>
          <w:lang w:val="en-US" w:eastAsia="en-US"/>
        </w:rPr>
        <w:t xml:space="preserve">Purpose </w:t>
      </w:r>
    </w:p>
    <w:p w:rsidR="00D3271C" w:rsidRPr="008A4B3E" w:rsidRDefault="00D3271C" w:rsidP="00D3271C">
      <w:pPr>
        <w:pStyle w:val="BodyText"/>
        <w:rPr>
          <w:rFonts w:ascii="Times New Roman" w:hAnsi="Times New Roman"/>
          <w:color w:val="auto"/>
          <w:szCs w:val="22"/>
          <w:lang w:val="en-US" w:eastAsia="en-US"/>
        </w:rPr>
      </w:pPr>
      <w:r w:rsidRPr="008A4B3E">
        <w:rPr>
          <w:rFonts w:ascii="Times New Roman" w:hAnsi="Times New Roman"/>
          <w:color w:val="auto"/>
          <w:szCs w:val="22"/>
          <w:lang w:val="en-US" w:eastAsia="en-US"/>
        </w:rPr>
        <w:t>Hemosure</w:t>
      </w:r>
      <w:r w:rsidRPr="008A4B3E">
        <w:rPr>
          <w:rFonts w:ascii="Times New Roman" w:hAnsi="Times New Roman"/>
          <w:color w:val="auto"/>
          <w:vertAlign w:val="superscript"/>
          <w:lang w:val="en-US" w:eastAsia="en-US"/>
        </w:rPr>
        <w:t>®</w:t>
      </w:r>
      <w:r w:rsidRPr="008A4B3E">
        <w:rPr>
          <w:rFonts w:ascii="Times New Roman" w:hAnsi="Times New Roman"/>
          <w:color w:val="auto"/>
          <w:szCs w:val="22"/>
          <w:lang w:val="en-US" w:eastAsia="en-US"/>
        </w:rPr>
        <w:t xml:space="preserve"> One Step Immunological Fecal Occult Blood Test is a rapid, immunochemical device for the qualitative determination of Fecal Occult Blood by laboratories.  It is useful in determining gastrointestinal (GI) bleeding in a number of GI disorders, e.g. diverticulitis, colitis, polyps, and colorectal cancer.</w:t>
      </w:r>
    </w:p>
    <w:p w:rsidR="00D3271C" w:rsidRPr="00443A76" w:rsidRDefault="00D3271C" w:rsidP="00D3271C">
      <w:pPr>
        <w:rPr>
          <w:b/>
          <w:sz w:val="20"/>
          <w:szCs w:val="20"/>
          <w:u w:val="single"/>
        </w:rPr>
      </w:pPr>
    </w:p>
    <w:p w:rsidR="00D3271C" w:rsidRPr="00443A76" w:rsidRDefault="00D3271C" w:rsidP="00D3271C">
      <w:pPr>
        <w:rPr>
          <w:sz w:val="20"/>
        </w:rPr>
      </w:pPr>
      <w:r w:rsidRPr="00443A76">
        <w:rPr>
          <w:b/>
          <w:u w:val="single"/>
        </w:rPr>
        <w:t>Principle</w:t>
      </w:r>
    </w:p>
    <w:p w:rsidR="00D3271C" w:rsidRPr="00443A76" w:rsidRDefault="00D3271C" w:rsidP="00D3271C">
      <w:pPr>
        <w:rPr>
          <w:sz w:val="20"/>
          <w:szCs w:val="21"/>
          <w:lang w:eastAsia="zh-CN"/>
        </w:rPr>
      </w:pPr>
      <w:r w:rsidRPr="00443A76">
        <w:rPr>
          <w:sz w:val="20"/>
        </w:rPr>
        <w:t>Hemosure</w:t>
      </w:r>
      <w:r w:rsidRPr="00443A76">
        <w:rPr>
          <w:sz w:val="20"/>
          <w:szCs w:val="20"/>
          <w:vertAlign w:val="superscript"/>
        </w:rPr>
        <w:t>®</w:t>
      </w:r>
      <w:r w:rsidRPr="00443A76">
        <w:rPr>
          <w:sz w:val="20"/>
        </w:rPr>
        <w:t xml:space="preserve"> One </w:t>
      </w:r>
      <w:r w:rsidRPr="00443A76">
        <w:rPr>
          <w:sz w:val="20"/>
          <w:szCs w:val="21"/>
          <w:lang w:eastAsia="zh-CN"/>
        </w:rPr>
        <w:t>Step Immunological Fecal Occult Blood Test is a qualitative, sandwich dye conjugate immunoassay and employs a unique combination of monoclonal and polyclonal antibodies (sheep or goat) to selectiv</w:t>
      </w:r>
      <w:r w:rsidRPr="00443A76">
        <w:rPr>
          <w:rFonts w:hint="eastAsia"/>
          <w:sz w:val="20"/>
          <w:szCs w:val="21"/>
          <w:lang w:eastAsia="zh-CN"/>
        </w:rPr>
        <w:t>ely</w:t>
      </w:r>
      <w:r w:rsidRPr="00443A76">
        <w:rPr>
          <w:sz w:val="20"/>
          <w:szCs w:val="21"/>
          <w:lang w:eastAsia="zh-CN"/>
        </w:rPr>
        <w:t xml:space="preserve"> identify hemoglobin in test samples with a high degree of sensitivity.  In less than five minutes, elevated levels of human hemoglobin (hHB) as low as 50ng hHb/mL can be detected and positive results for high levels of hemoglobin can be seen in the test as early as two to three minutes.</w:t>
      </w:r>
    </w:p>
    <w:p w:rsidR="00D3271C" w:rsidRPr="00443A76" w:rsidRDefault="00D3271C" w:rsidP="00D3271C">
      <w:pPr>
        <w:spacing w:before="120"/>
        <w:rPr>
          <w:sz w:val="20"/>
          <w:szCs w:val="21"/>
          <w:lang w:eastAsia="zh-CN"/>
        </w:rPr>
      </w:pPr>
      <w:r w:rsidRPr="00443A76">
        <w:rPr>
          <w:sz w:val="20"/>
          <w:szCs w:val="21"/>
          <w:lang w:eastAsia="zh-CN"/>
        </w:rPr>
        <w:t>As the test sample flows up through the absorbent device, the labeled antibody-dye conjugate binds to the hemoglobin in the specimen forming an antibody-antigen complex. This complex binds to antihemoglobin antibody in the positive test reaction zone and produces a pink-rose color band. In the absence of hemoglobin, there is no line in the positive test reaction zone. The pink-rose color bands in the control reaction zone demonstrate that the reagents and devices are functioning correctly.</w:t>
      </w:r>
    </w:p>
    <w:p w:rsidR="00D3271C" w:rsidRPr="00443A76" w:rsidRDefault="00D3271C" w:rsidP="00D3271C">
      <w:pPr>
        <w:framePr w:hSpace="180" w:wrap="around" w:vAnchor="page" w:hAnchor="page" w:x="751" w:y="6106"/>
        <w:rPr>
          <w:b/>
          <w:u w:val="single"/>
        </w:rPr>
      </w:pPr>
      <w:r w:rsidRPr="00443A76">
        <w:rPr>
          <w:b/>
          <w:u w:val="single"/>
        </w:rPr>
        <w:t>Materials</w:t>
      </w:r>
    </w:p>
    <w:p w:rsidR="00D3271C" w:rsidRPr="008A4B3E" w:rsidRDefault="00D3271C" w:rsidP="00D3271C">
      <w:pPr>
        <w:pStyle w:val="Heading1"/>
        <w:framePr w:hSpace="180" w:wrap="around" w:vAnchor="page" w:hAnchor="page" w:x="751" w:y="6106"/>
        <w:jc w:val="left"/>
        <w:rPr>
          <w:rFonts w:ascii="Times New Roman" w:hAnsi="Times New Roman"/>
          <w:color w:val="auto"/>
          <w:lang w:val="en-US" w:eastAsia="en-US"/>
        </w:rPr>
      </w:pPr>
      <w:r w:rsidRPr="008A4B3E">
        <w:rPr>
          <w:rFonts w:ascii="Times New Roman" w:hAnsi="Times New Roman"/>
          <w:color w:val="auto"/>
          <w:lang w:val="en-US" w:eastAsia="en-US"/>
        </w:rPr>
        <w:t>Storage:</w:t>
      </w:r>
    </w:p>
    <w:p w:rsidR="00D3271C" w:rsidRDefault="00D3271C" w:rsidP="00D3271C">
      <w:r w:rsidRPr="00443A76">
        <w:rPr>
          <w:sz w:val="20"/>
          <w:szCs w:val="20"/>
        </w:rPr>
        <w:t>Store test device at 39.2°F - 86°F (4°C - 30°C).  The test device is stable until the date printed on the pouch label.  If Fecal Collection Tube is not used immediately after sampling, it may be safely stored up to fourteen (14) days at ambient room temperature as high as 98.6ºF</w:t>
      </w:r>
      <w:r w:rsidRPr="00443A76">
        <w:rPr>
          <w:color w:val="FF0000"/>
          <w:sz w:val="20"/>
          <w:szCs w:val="20"/>
        </w:rPr>
        <w:t xml:space="preserve"> </w:t>
      </w:r>
      <w:r w:rsidRPr="00443A76">
        <w:rPr>
          <w:sz w:val="20"/>
          <w:szCs w:val="20"/>
        </w:rPr>
        <w:t>(37 ºC),</w:t>
      </w:r>
      <w:r w:rsidRPr="00443A76">
        <w:rPr>
          <w:color w:val="FF0000"/>
          <w:sz w:val="20"/>
          <w:szCs w:val="20"/>
        </w:rPr>
        <w:t xml:space="preserve"> </w:t>
      </w:r>
      <w:r w:rsidRPr="00443A76">
        <w:rPr>
          <w:sz w:val="20"/>
          <w:szCs w:val="20"/>
        </w:rPr>
        <w:t>up to six (6) months in refrigerator at</w:t>
      </w:r>
      <w:r w:rsidRPr="00443A76">
        <w:rPr>
          <w:color w:val="FF0000"/>
          <w:sz w:val="20"/>
          <w:szCs w:val="20"/>
        </w:rPr>
        <w:t xml:space="preserve"> </w:t>
      </w:r>
      <w:r w:rsidRPr="00443A76">
        <w:rPr>
          <w:sz w:val="20"/>
          <w:szCs w:val="20"/>
        </w:rPr>
        <w:t>39.2°F (4°C)</w:t>
      </w:r>
      <w:r w:rsidRPr="00443A76">
        <w:rPr>
          <w:color w:val="FF0000"/>
          <w:sz w:val="20"/>
          <w:szCs w:val="20"/>
        </w:rPr>
        <w:t xml:space="preserve"> </w:t>
      </w:r>
      <w:r w:rsidRPr="00443A76">
        <w:rPr>
          <w:sz w:val="20"/>
          <w:szCs w:val="20"/>
        </w:rPr>
        <w:t>or for twelve (12) months in freezer at</w:t>
      </w:r>
      <w:r w:rsidRPr="00443A76">
        <w:rPr>
          <w:color w:val="FF0000"/>
          <w:sz w:val="20"/>
          <w:szCs w:val="20"/>
        </w:rPr>
        <w:t xml:space="preserve"> </w:t>
      </w:r>
      <w:r w:rsidRPr="00443A76">
        <w:rPr>
          <w:sz w:val="20"/>
          <w:szCs w:val="20"/>
        </w:rPr>
        <w:t>-4°F (-20°C).</w:t>
      </w:r>
    </w:p>
    <w:p w:rsidR="00D3271C" w:rsidRDefault="00D3271C" w:rsidP="00D3271C"/>
    <w:tbl>
      <w:tblPr>
        <w:tblpPr w:leftFromText="180" w:rightFromText="180" w:vertAnchor="page" w:horzAnchor="margin" w:tblpY="79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4050"/>
        <w:gridCol w:w="3438"/>
      </w:tblGrid>
      <w:tr w:rsidR="00D3271C" w:rsidRPr="00443A76" w:rsidTr="00D3271C">
        <w:tc>
          <w:tcPr>
            <w:tcW w:w="3528" w:type="dxa"/>
            <w:shd w:val="clear" w:color="auto" w:fill="D9D9D9"/>
          </w:tcPr>
          <w:p w:rsidR="00D3271C" w:rsidRPr="00443A76" w:rsidRDefault="00D3271C" w:rsidP="00D3271C">
            <w:pPr>
              <w:rPr>
                <w:b/>
              </w:rPr>
            </w:pPr>
            <w:r w:rsidRPr="00443A76">
              <w:rPr>
                <w:b/>
              </w:rPr>
              <w:t>Reagents</w:t>
            </w:r>
          </w:p>
        </w:tc>
        <w:tc>
          <w:tcPr>
            <w:tcW w:w="4050" w:type="dxa"/>
            <w:shd w:val="clear" w:color="auto" w:fill="D9D9D9"/>
          </w:tcPr>
          <w:p w:rsidR="00D3271C" w:rsidRPr="00443A76" w:rsidRDefault="00D3271C" w:rsidP="00D3271C">
            <w:pPr>
              <w:rPr>
                <w:b/>
              </w:rPr>
            </w:pPr>
            <w:r w:rsidRPr="00443A76">
              <w:rPr>
                <w:b/>
              </w:rPr>
              <w:t>Supplies</w:t>
            </w:r>
          </w:p>
        </w:tc>
        <w:tc>
          <w:tcPr>
            <w:tcW w:w="3438" w:type="dxa"/>
            <w:shd w:val="clear" w:color="auto" w:fill="D9D9D9"/>
          </w:tcPr>
          <w:p w:rsidR="00D3271C" w:rsidRPr="00443A76" w:rsidRDefault="00D3271C" w:rsidP="00D3271C">
            <w:pPr>
              <w:rPr>
                <w:b/>
              </w:rPr>
            </w:pPr>
            <w:r w:rsidRPr="00443A76">
              <w:rPr>
                <w:b/>
              </w:rPr>
              <w:t>Equipment</w:t>
            </w:r>
          </w:p>
        </w:tc>
      </w:tr>
      <w:tr w:rsidR="00D3271C" w:rsidTr="00D3271C">
        <w:tc>
          <w:tcPr>
            <w:tcW w:w="3528" w:type="dxa"/>
            <w:shd w:val="clear" w:color="auto" w:fill="auto"/>
          </w:tcPr>
          <w:p w:rsidR="00D3271C" w:rsidRPr="00443A76" w:rsidRDefault="00D3271C" w:rsidP="00D3271C">
            <w:pPr>
              <w:tabs>
                <w:tab w:val="left" w:pos="360"/>
              </w:tabs>
              <w:ind w:left="360" w:hanging="360"/>
              <w:rPr>
                <w:sz w:val="20"/>
                <w:szCs w:val="21"/>
                <w:lang w:eastAsia="zh-CN"/>
              </w:rPr>
            </w:pPr>
            <w:r>
              <w:t xml:space="preserve"> </w:t>
            </w:r>
            <w:r w:rsidRPr="00443A76">
              <w:sym w:font="Symbol" w:char="F0B7"/>
            </w:r>
            <w:r w:rsidRPr="00863637">
              <w:t xml:space="preserve">   </w:t>
            </w:r>
            <w:r w:rsidRPr="00443A76">
              <w:rPr>
                <w:sz w:val="20"/>
                <w:szCs w:val="21"/>
                <w:lang w:eastAsia="zh-CN"/>
              </w:rPr>
              <w:t xml:space="preserve">Test Cassette individually sealed in a foil pouch.  Each Test Cassette contains a combination of mouse monoclonal antibodies and polyclonal antibodies </w:t>
            </w:r>
          </w:p>
          <w:p w:rsidR="00D3271C" w:rsidRPr="001277F3" w:rsidRDefault="00D3271C" w:rsidP="00D3271C">
            <w:pPr>
              <w:pStyle w:val="ListParagraph"/>
              <w:numPr>
                <w:ilvl w:val="0"/>
                <w:numId w:val="7"/>
              </w:numPr>
              <w:ind w:left="360" w:hanging="270"/>
            </w:pPr>
            <w:r w:rsidRPr="00443A76">
              <w:rPr>
                <w:sz w:val="20"/>
                <w:szCs w:val="21"/>
                <w:lang w:eastAsia="zh-CN"/>
              </w:rPr>
              <w:t>Fecal Collection Tube containing 2.0 mL of extraction buffer.</w:t>
            </w:r>
          </w:p>
          <w:p w:rsidR="00D3271C" w:rsidRPr="00863637" w:rsidRDefault="00D3271C" w:rsidP="00D3271C">
            <w:pPr>
              <w:pStyle w:val="ListParagraph"/>
              <w:numPr>
                <w:ilvl w:val="0"/>
                <w:numId w:val="7"/>
              </w:numPr>
              <w:ind w:left="360" w:hanging="270"/>
            </w:pPr>
            <w:r w:rsidRPr="00443A76">
              <w:rPr>
                <w:sz w:val="20"/>
                <w:szCs w:val="21"/>
                <w:lang w:eastAsia="zh-CN"/>
              </w:rPr>
              <w:t>iFOBT Control Set</w:t>
            </w:r>
          </w:p>
          <w:p w:rsidR="00D3271C" w:rsidRDefault="00D3271C" w:rsidP="00D3271C"/>
        </w:tc>
        <w:tc>
          <w:tcPr>
            <w:tcW w:w="4050" w:type="dxa"/>
            <w:shd w:val="clear" w:color="auto" w:fill="auto"/>
          </w:tcPr>
          <w:p w:rsidR="00D3271C" w:rsidRPr="00FB452B" w:rsidRDefault="00D3271C" w:rsidP="00D3271C">
            <w:pPr>
              <w:numPr>
                <w:ilvl w:val="0"/>
                <w:numId w:val="5"/>
              </w:numPr>
              <w:tabs>
                <w:tab w:val="clear" w:pos="780"/>
              </w:tabs>
              <w:ind w:left="342" w:hanging="270"/>
            </w:pPr>
            <w:r w:rsidRPr="00443A76">
              <w:rPr>
                <w:sz w:val="20"/>
                <w:szCs w:val="21"/>
                <w:lang w:eastAsia="zh-CN"/>
              </w:rPr>
              <w:t>Disposable gloves</w:t>
            </w:r>
          </w:p>
          <w:p w:rsidR="00D3271C" w:rsidRPr="002E3E1F" w:rsidRDefault="00D3271C" w:rsidP="00D3271C">
            <w:pPr>
              <w:numPr>
                <w:ilvl w:val="0"/>
                <w:numId w:val="5"/>
              </w:numPr>
              <w:tabs>
                <w:tab w:val="clear" w:pos="780"/>
              </w:tabs>
              <w:ind w:left="342" w:hanging="270"/>
            </w:pPr>
            <w:r w:rsidRPr="00443A76">
              <w:rPr>
                <w:sz w:val="20"/>
                <w:szCs w:val="21"/>
                <w:lang w:eastAsia="zh-CN"/>
              </w:rPr>
              <w:t>Sample collection container</w:t>
            </w:r>
          </w:p>
          <w:p w:rsidR="00D3271C" w:rsidRDefault="00D3271C" w:rsidP="00D3271C">
            <w:pPr>
              <w:numPr>
                <w:ilvl w:val="0"/>
                <w:numId w:val="5"/>
              </w:numPr>
              <w:tabs>
                <w:tab w:val="clear" w:pos="780"/>
              </w:tabs>
              <w:ind w:left="342" w:hanging="270"/>
            </w:pPr>
            <w:r w:rsidRPr="00443A76">
              <w:rPr>
                <w:sz w:val="20"/>
                <w:szCs w:val="21"/>
                <w:lang w:eastAsia="zh-CN"/>
              </w:rPr>
              <w:t>Mailers (Outpatient and Clinic specimens)</w:t>
            </w:r>
            <w:r w:rsidRPr="00443A76">
              <w:rPr>
                <w:sz w:val="20"/>
                <w:szCs w:val="21"/>
                <w:lang w:eastAsia="zh-CN"/>
              </w:rPr>
              <w:tab/>
            </w:r>
          </w:p>
        </w:tc>
        <w:tc>
          <w:tcPr>
            <w:tcW w:w="3438" w:type="dxa"/>
            <w:shd w:val="clear" w:color="auto" w:fill="auto"/>
          </w:tcPr>
          <w:p w:rsidR="00D3271C" w:rsidRPr="00443A76" w:rsidRDefault="00D3271C" w:rsidP="00D3271C">
            <w:pPr>
              <w:numPr>
                <w:ilvl w:val="0"/>
                <w:numId w:val="6"/>
              </w:numPr>
              <w:tabs>
                <w:tab w:val="clear" w:pos="780"/>
              </w:tabs>
              <w:ind w:left="342" w:hanging="270"/>
              <w:rPr>
                <w:sz w:val="20"/>
                <w:szCs w:val="20"/>
              </w:rPr>
            </w:pPr>
            <w:r w:rsidRPr="00443A76">
              <w:rPr>
                <w:sz w:val="20"/>
                <w:szCs w:val="20"/>
              </w:rPr>
              <w:t>Test Cassette</w:t>
            </w:r>
          </w:p>
          <w:p w:rsidR="00D3271C" w:rsidRPr="00443A76" w:rsidRDefault="00D3271C" w:rsidP="00D3271C">
            <w:pPr>
              <w:numPr>
                <w:ilvl w:val="0"/>
                <w:numId w:val="6"/>
              </w:numPr>
              <w:tabs>
                <w:tab w:val="clear" w:pos="780"/>
              </w:tabs>
              <w:ind w:left="342" w:hanging="270"/>
              <w:rPr>
                <w:sz w:val="20"/>
                <w:szCs w:val="20"/>
              </w:rPr>
            </w:pPr>
            <w:r w:rsidRPr="00443A76">
              <w:rPr>
                <w:sz w:val="20"/>
                <w:szCs w:val="20"/>
              </w:rPr>
              <w:t>Collection tube</w:t>
            </w:r>
          </w:p>
          <w:p w:rsidR="00D3271C" w:rsidRDefault="00D3271C" w:rsidP="00D3271C">
            <w:pPr>
              <w:numPr>
                <w:ilvl w:val="0"/>
                <w:numId w:val="6"/>
              </w:numPr>
              <w:tabs>
                <w:tab w:val="clear" w:pos="780"/>
              </w:tabs>
              <w:ind w:left="342" w:hanging="270"/>
            </w:pPr>
            <w:r w:rsidRPr="00443A76">
              <w:rPr>
                <w:sz w:val="20"/>
                <w:szCs w:val="20"/>
                <w:lang w:eastAsia="zh-CN"/>
              </w:rPr>
              <w:t>Clock or Timing Device</w:t>
            </w:r>
          </w:p>
        </w:tc>
      </w:tr>
    </w:tbl>
    <w:p w:rsidR="00D3271C" w:rsidRDefault="00D3271C" w:rsidP="00D3271C">
      <w:pPr>
        <w:pStyle w:val="Heading1"/>
        <w:jc w:val="left"/>
        <w:rPr>
          <w:rFonts w:ascii="Times New Roman" w:hAnsi="Times New Roman"/>
          <w:color w:val="auto"/>
          <w:lang w:val="en-US" w:eastAsia="en-US"/>
        </w:rPr>
      </w:pPr>
    </w:p>
    <w:p w:rsidR="00D3271C" w:rsidRPr="008A4B3E" w:rsidRDefault="00D3271C" w:rsidP="00D3271C">
      <w:pPr>
        <w:pStyle w:val="Heading1"/>
        <w:jc w:val="left"/>
        <w:rPr>
          <w:rFonts w:ascii="Times New Roman" w:hAnsi="Times New Roman"/>
          <w:color w:val="auto"/>
          <w:lang w:val="en-US" w:eastAsia="en-US"/>
        </w:rPr>
      </w:pPr>
      <w:r w:rsidRPr="008A4B3E">
        <w:rPr>
          <w:rFonts w:ascii="Times New Roman" w:hAnsi="Times New Roman"/>
          <w:color w:val="auto"/>
          <w:lang w:val="en-US" w:eastAsia="en-US"/>
        </w:rPr>
        <w:t>Warnings and Precautions:</w:t>
      </w:r>
    </w:p>
    <w:p w:rsidR="00D3271C" w:rsidRPr="00443A76" w:rsidRDefault="00D3271C" w:rsidP="00D3271C">
      <w:pPr>
        <w:pStyle w:val="ListParagraph"/>
        <w:numPr>
          <w:ilvl w:val="0"/>
          <w:numId w:val="7"/>
        </w:numPr>
        <w:jc w:val="both"/>
        <w:rPr>
          <w:sz w:val="20"/>
          <w:szCs w:val="20"/>
          <w:lang w:eastAsia="zh-CN"/>
        </w:rPr>
      </w:pPr>
      <w:r w:rsidRPr="00443A76">
        <w:rPr>
          <w:sz w:val="20"/>
          <w:szCs w:val="20"/>
          <w:lang w:eastAsia="zh-CN"/>
        </w:rPr>
        <w:t xml:space="preserve">The test is intended for </w:t>
      </w:r>
      <w:r w:rsidRPr="00443A76">
        <w:rPr>
          <w:b/>
          <w:bCs/>
          <w:sz w:val="20"/>
          <w:szCs w:val="20"/>
          <w:lang w:eastAsia="zh-CN"/>
        </w:rPr>
        <w:t>IN VITRO DIAGNOSTIC USE ONLY</w:t>
      </w:r>
      <w:r w:rsidRPr="00443A76">
        <w:rPr>
          <w:sz w:val="20"/>
          <w:szCs w:val="20"/>
          <w:lang w:eastAsia="zh-CN"/>
        </w:rPr>
        <w:t>.</w:t>
      </w:r>
    </w:p>
    <w:p w:rsidR="00D3271C" w:rsidRPr="00443A76" w:rsidRDefault="00D3271C" w:rsidP="00D3271C">
      <w:pPr>
        <w:pStyle w:val="ListParagraph"/>
        <w:numPr>
          <w:ilvl w:val="0"/>
          <w:numId w:val="7"/>
        </w:numPr>
        <w:jc w:val="both"/>
        <w:rPr>
          <w:rFonts w:eastAsia="SimSun"/>
          <w:sz w:val="20"/>
          <w:szCs w:val="20"/>
          <w:lang w:eastAsia="zh-CN"/>
        </w:rPr>
      </w:pPr>
      <w:r w:rsidRPr="00443A76">
        <w:rPr>
          <w:sz w:val="20"/>
          <w:szCs w:val="20"/>
          <w:lang w:eastAsia="zh-CN"/>
        </w:rPr>
        <w:t>Read directions for use carefully before performing this test.</w:t>
      </w:r>
    </w:p>
    <w:p w:rsidR="00D3271C" w:rsidRPr="00443A76" w:rsidRDefault="00D3271C" w:rsidP="00D3271C">
      <w:pPr>
        <w:pStyle w:val="ListParagraph"/>
        <w:numPr>
          <w:ilvl w:val="0"/>
          <w:numId w:val="7"/>
        </w:numPr>
        <w:jc w:val="both"/>
        <w:rPr>
          <w:sz w:val="20"/>
          <w:szCs w:val="20"/>
          <w:lang w:eastAsia="zh-CN"/>
        </w:rPr>
      </w:pPr>
      <w:r w:rsidRPr="00443A76">
        <w:rPr>
          <w:sz w:val="20"/>
          <w:szCs w:val="20"/>
          <w:lang w:eastAsia="zh-CN"/>
        </w:rPr>
        <w:t>Do not use the test beyond the expiration date on the pouch label.</w:t>
      </w:r>
    </w:p>
    <w:p w:rsidR="00D3271C" w:rsidRPr="00443A76" w:rsidRDefault="00D3271C" w:rsidP="00D3271C">
      <w:pPr>
        <w:pStyle w:val="ListParagraph"/>
        <w:numPr>
          <w:ilvl w:val="0"/>
          <w:numId w:val="7"/>
        </w:numPr>
        <w:jc w:val="both"/>
        <w:rPr>
          <w:sz w:val="20"/>
          <w:szCs w:val="20"/>
          <w:lang w:eastAsia="zh-CN"/>
        </w:rPr>
      </w:pPr>
      <w:r w:rsidRPr="00443A76">
        <w:rPr>
          <w:sz w:val="20"/>
          <w:szCs w:val="20"/>
          <w:lang w:eastAsia="zh-CN"/>
        </w:rPr>
        <w:t>For professional use only.</w:t>
      </w:r>
    </w:p>
    <w:p w:rsidR="00D3271C" w:rsidRPr="00443A76" w:rsidRDefault="00D3271C" w:rsidP="00D3271C">
      <w:pPr>
        <w:pStyle w:val="ListParagraph"/>
        <w:numPr>
          <w:ilvl w:val="0"/>
          <w:numId w:val="7"/>
        </w:numPr>
        <w:jc w:val="both"/>
        <w:rPr>
          <w:sz w:val="20"/>
          <w:szCs w:val="20"/>
          <w:lang w:eastAsia="zh-CN"/>
        </w:rPr>
      </w:pPr>
      <w:r w:rsidRPr="00443A76">
        <w:rPr>
          <w:sz w:val="20"/>
          <w:szCs w:val="20"/>
          <w:lang w:eastAsia="zh-CN"/>
        </w:rPr>
        <w:t xml:space="preserve">Use a new specimen collection tube for each test to avoid cross contamination of fecal samples. </w:t>
      </w:r>
    </w:p>
    <w:p w:rsidR="00D3271C" w:rsidRPr="00443A76" w:rsidRDefault="00D3271C" w:rsidP="00D3271C">
      <w:pPr>
        <w:jc w:val="both"/>
        <w:rPr>
          <w:b/>
          <w:lang w:eastAsia="zh-CN"/>
        </w:rPr>
      </w:pPr>
    </w:p>
    <w:p w:rsidR="00D3271C" w:rsidRPr="00443A76" w:rsidRDefault="00D3271C" w:rsidP="00D3271C">
      <w:pPr>
        <w:jc w:val="both"/>
        <w:rPr>
          <w:rFonts w:eastAsia="SimSun"/>
          <w:b/>
          <w:lang w:eastAsia="zh-CN"/>
        </w:rPr>
      </w:pPr>
      <w:r w:rsidRPr="00443A76">
        <w:rPr>
          <w:b/>
          <w:lang w:eastAsia="zh-CN"/>
        </w:rPr>
        <w:t>Patient Limitations:</w:t>
      </w:r>
    </w:p>
    <w:p w:rsidR="00D3271C" w:rsidRPr="00443A76" w:rsidRDefault="00D3271C" w:rsidP="00D3271C">
      <w:pPr>
        <w:pStyle w:val="Pa1"/>
        <w:spacing w:after="40"/>
        <w:jc w:val="both"/>
        <w:rPr>
          <w:sz w:val="20"/>
          <w:szCs w:val="20"/>
        </w:rPr>
      </w:pPr>
      <w:r w:rsidRPr="00443A76">
        <w:rPr>
          <w:sz w:val="20"/>
          <w:szCs w:val="20"/>
        </w:rPr>
        <w:t>A specimen should not be collected from a patient with the following conditions that may interfere with the test results:</w:t>
      </w:r>
    </w:p>
    <w:p w:rsidR="00D3271C" w:rsidRPr="00443A76" w:rsidRDefault="00D3271C" w:rsidP="00D3271C">
      <w:pPr>
        <w:pStyle w:val="Pa1"/>
        <w:numPr>
          <w:ilvl w:val="0"/>
          <w:numId w:val="8"/>
        </w:numPr>
        <w:spacing w:after="40"/>
        <w:jc w:val="both"/>
        <w:rPr>
          <w:sz w:val="20"/>
          <w:szCs w:val="20"/>
        </w:rPr>
      </w:pPr>
      <w:r w:rsidRPr="00443A76">
        <w:rPr>
          <w:sz w:val="20"/>
          <w:szCs w:val="20"/>
        </w:rPr>
        <w:t>Menstrual bleeding</w:t>
      </w:r>
    </w:p>
    <w:p w:rsidR="00D3271C" w:rsidRPr="00443A76" w:rsidRDefault="00D3271C" w:rsidP="00D3271C">
      <w:pPr>
        <w:pStyle w:val="Pa1"/>
        <w:numPr>
          <w:ilvl w:val="0"/>
          <w:numId w:val="8"/>
        </w:numPr>
        <w:spacing w:after="40"/>
        <w:jc w:val="both"/>
        <w:rPr>
          <w:sz w:val="20"/>
          <w:szCs w:val="20"/>
        </w:rPr>
      </w:pPr>
      <w:r w:rsidRPr="00443A76">
        <w:rPr>
          <w:sz w:val="20"/>
          <w:szCs w:val="20"/>
        </w:rPr>
        <w:t>Bleeding hemorrhoids</w:t>
      </w:r>
    </w:p>
    <w:p w:rsidR="00D3271C" w:rsidRPr="00443A76" w:rsidRDefault="00D3271C" w:rsidP="00D3271C">
      <w:pPr>
        <w:pStyle w:val="Pa1"/>
        <w:numPr>
          <w:ilvl w:val="0"/>
          <w:numId w:val="8"/>
        </w:numPr>
        <w:spacing w:after="40"/>
        <w:jc w:val="both"/>
        <w:rPr>
          <w:sz w:val="20"/>
          <w:szCs w:val="20"/>
        </w:rPr>
      </w:pPr>
      <w:r w:rsidRPr="00443A76">
        <w:rPr>
          <w:sz w:val="20"/>
          <w:szCs w:val="20"/>
        </w:rPr>
        <w:t>Constipation bleeding</w:t>
      </w:r>
    </w:p>
    <w:p w:rsidR="00D3271C" w:rsidRPr="00443A76" w:rsidRDefault="00D3271C" w:rsidP="00D3271C">
      <w:pPr>
        <w:pStyle w:val="ListParagraph"/>
        <w:numPr>
          <w:ilvl w:val="0"/>
          <w:numId w:val="8"/>
        </w:numPr>
        <w:jc w:val="both"/>
        <w:rPr>
          <w:sz w:val="20"/>
          <w:szCs w:val="20"/>
        </w:rPr>
      </w:pPr>
      <w:r w:rsidRPr="00443A76">
        <w:rPr>
          <w:sz w:val="20"/>
          <w:szCs w:val="20"/>
        </w:rPr>
        <w:t>Urinary bleeding</w:t>
      </w:r>
    </w:p>
    <w:p w:rsidR="00D3271C" w:rsidRDefault="00D3271C" w:rsidP="00D3271C">
      <w:pPr>
        <w:rPr>
          <w:b/>
          <w:u w:val="single"/>
        </w:rPr>
      </w:pPr>
    </w:p>
    <w:p w:rsidR="00D3271C" w:rsidRDefault="00D3271C" w:rsidP="00D3271C">
      <w:pPr>
        <w:rPr>
          <w:b/>
          <w:u w:val="single"/>
        </w:rPr>
      </w:pPr>
    </w:p>
    <w:p w:rsidR="00D3271C" w:rsidRPr="00443A76" w:rsidRDefault="00D3271C" w:rsidP="00D3271C">
      <w:pPr>
        <w:rPr>
          <w:b/>
          <w:u w:val="single"/>
        </w:rPr>
      </w:pPr>
      <w:r w:rsidRPr="00443A76">
        <w:rPr>
          <w:b/>
          <w:u w:val="single"/>
        </w:rPr>
        <w:lastRenderedPageBreak/>
        <w:t>Safety</w:t>
      </w:r>
    </w:p>
    <w:p w:rsidR="00D3271C" w:rsidRPr="00443A76" w:rsidRDefault="00D3271C" w:rsidP="00D3271C">
      <w:pPr>
        <w:pStyle w:val="ListParagraph"/>
        <w:numPr>
          <w:ilvl w:val="0"/>
          <w:numId w:val="7"/>
        </w:numPr>
        <w:rPr>
          <w:sz w:val="20"/>
          <w:szCs w:val="21"/>
          <w:lang w:eastAsia="zh-CN"/>
        </w:rPr>
      </w:pPr>
      <w:r w:rsidRPr="00443A76">
        <w:rPr>
          <w:sz w:val="20"/>
          <w:szCs w:val="21"/>
          <w:lang w:eastAsia="zh-CN"/>
        </w:rPr>
        <w:t xml:space="preserve">Handle all specimens as if potentially infectious. Proper precautions in handling should be maintained according to good laboratory practice. </w:t>
      </w:r>
    </w:p>
    <w:p w:rsidR="00D3271C" w:rsidRPr="00206831" w:rsidRDefault="00D3271C" w:rsidP="00D3271C">
      <w:pPr>
        <w:pStyle w:val="ListParagraph"/>
        <w:numPr>
          <w:ilvl w:val="0"/>
          <w:numId w:val="7"/>
        </w:numPr>
      </w:pPr>
      <w:r w:rsidRPr="00443A76">
        <w:rPr>
          <w:sz w:val="20"/>
          <w:szCs w:val="21"/>
          <w:lang w:eastAsia="zh-CN"/>
        </w:rPr>
        <w:t>Fecal samples should be collected using disposable gloves.</w:t>
      </w:r>
    </w:p>
    <w:p w:rsidR="00D3271C" w:rsidRDefault="00D3271C" w:rsidP="00D3271C">
      <w:pPr>
        <w:tabs>
          <w:tab w:val="left" w:pos="360"/>
        </w:tabs>
        <w:spacing w:before="120"/>
        <w:ind w:left="720" w:hanging="720"/>
        <w:rPr>
          <w:b/>
          <w:u w:val="single"/>
        </w:rPr>
      </w:pPr>
    </w:p>
    <w:p w:rsidR="00D3271C" w:rsidRPr="00443A76" w:rsidRDefault="00D3271C" w:rsidP="00D3271C">
      <w:pPr>
        <w:tabs>
          <w:tab w:val="left" w:pos="360"/>
        </w:tabs>
        <w:spacing w:before="120"/>
        <w:ind w:left="720" w:hanging="720"/>
        <w:rPr>
          <w:b/>
          <w:sz w:val="20"/>
          <w:szCs w:val="21"/>
          <w:lang w:eastAsia="zh-CN"/>
        </w:rPr>
      </w:pPr>
      <w:r w:rsidRPr="00443A76">
        <w:rPr>
          <w:b/>
          <w:u w:val="single"/>
        </w:rPr>
        <w:t>Specimen</w:t>
      </w:r>
      <w:r w:rsidRPr="00443A76">
        <w:rPr>
          <w:b/>
          <w:sz w:val="20"/>
          <w:szCs w:val="21"/>
          <w:lang w:eastAsia="zh-CN"/>
        </w:rPr>
        <w:t xml:space="preserve"> Sample Collection and Preparation (See Figure 1)</w:t>
      </w:r>
    </w:p>
    <w:p w:rsidR="00D3271C" w:rsidRPr="00443A76" w:rsidRDefault="00D3271C" w:rsidP="00D3271C">
      <w:pPr>
        <w:spacing w:before="120"/>
        <w:ind w:left="720" w:hanging="720"/>
        <w:rPr>
          <w:sz w:val="20"/>
          <w:szCs w:val="21"/>
          <w:lang w:eastAsia="zh-CN"/>
        </w:rPr>
      </w:pPr>
      <w:r w:rsidRPr="00443A76">
        <w:rPr>
          <w:b/>
          <w:sz w:val="20"/>
          <w:szCs w:val="21"/>
          <w:lang w:eastAsia="zh-CN"/>
        </w:rPr>
        <w:t xml:space="preserve">NOTE: </w:t>
      </w:r>
    </w:p>
    <w:p w:rsidR="00D3271C" w:rsidRPr="00443A76" w:rsidRDefault="00D3271C" w:rsidP="00D3271C">
      <w:pPr>
        <w:ind w:left="720"/>
        <w:rPr>
          <w:sz w:val="20"/>
          <w:szCs w:val="21"/>
          <w:lang w:eastAsia="zh-CN"/>
        </w:rPr>
      </w:pPr>
      <w:r w:rsidRPr="00443A76">
        <w:rPr>
          <w:sz w:val="20"/>
          <w:szCs w:val="21"/>
          <w:lang w:eastAsia="zh-CN"/>
        </w:rPr>
        <w:t>Although no interference was noted with the toilet water testing, it is advisable to avoid samples coming in contact with toilet bowl water.  If this is unavoidable, recommend that the user flush the toilet thoroughly, before sample collection, to avoid possible contamination from residual hHb, which may lead to false positive results.</w:t>
      </w:r>
    </w:p>
    <w:p w:rsidR="00D3271C" w:rsidRPr="00443A76" w:rsidRDefault="00D3271C" w:rsidP="00D3271C">
      <w:pPr>
        <w:ind w:left="720"/>
        <w:rPr>
          <w:sz w:val="20"/>
          <w:szCs w:val="21"/>
          <w:lang w:eastAsia="zh-CN"/>
        </w:rPr>
      </w:pPr>
    </w:p>
    <w:p w:rsidR="00D3271C" w:rsidRPr="006247B2" w:rsidRDefault="00D3271C" w:rsidP="00D3271C">
      <w:pPr>
        <w:keepNext/>
        <w:ind w:left="2400" w:firstLine="480"/>
      </w:pPr>
      <w:r w:rsidRPr="00443A76">
        <w:rPr>
          <w:noProof/>
          <w:sz w:val="22"/>
        </w:rPr>
        <w:pict>
          <v:rect id="_x0000_s1027" style="position:absolute;left:0;text-align:left;margin-left:45pt;margin-top:0;width:90pt;height:54pt;z-index:251657728" stroked="f">
            <v:textbox style="mso-next-textbox:#_x0000_s1027">
              <w:txbxContent>
                <w:p w:rsidR="00D3271C" w:rsidRPr="00EA7720" w:rsidRDefault="00D3271C" w:rsidP="00D3271C">
                  <w:pPr>
                    <w:rPr>
                      <w:sz w:val="16"/>
                      <w:szCs w:val="16"/>
                    </w:rPr>
                  </w:pPr>
                  <w:r w:rsidRPr="00EA7720">
                    <w:rPr>
                      <w:sz w:val="16"/>
                      <w:szCs w:val="16"/>
                    </w:rPr>
                    <w:t>Fecal Collection Tube</w:t>
                  </w:r>
                </w:p>
                <w:p w:rsidR="00D3271C" w:rsidRPr="00EA7720" w:rsidRDefault="00D3271C" w:rsidP="00D3271C">
                  <w:pPr>
                    <w:rPr>
                      <w:sz w:val="16"/>
                      <w:szCs w:val="16"/>
                    </w:rPr>
                  </w:pPr>
                  <w:r w:rsidRPr="00EA7720">
                    <w:rPr>
                      <w:sz w:val="16"/>
                      <w:szCs w:val="16"/>
                    </w:rPr>
                    <w:t>With Extraction Buffer</w:t>
                  </w:r>
                </w:p>
              </w:txbxContent>
            </v:textbox>
          </v:rect>
        </w:pict>
      </w:r>
      <w:r w:rsidR="00763284">
        <w:rPr>
          <w:noProof/>
        </w:rPr>
        <w:drawing>
          <wp:inline distT="0" distB="0" distL="0" distR="0">
            <wp:extent cx="2943225" cy="1085850"/>
            <wp:effectExtent l="19050" t="0" r="9525" b="0"/>
            <wp:docPr id="2" name="Picture 1" descr="Descripti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1"/>
                    <pic:cNvPicPr>
                      <a:picLocks noChangeAspect="1" noChangeArrowheads="1"/>
                    </pic:cNvPicPr>
                  </pic:nvPicPr>
                  <pic:blipFill>
                    <a:blip r:embed="rId8"/>
                    <a:srcRect/>
                    <a:stretch>
                      <a:fillRect/>
                    </a:stretch>
                  </pic:blipFill>
                  <pic:spPr bwMode="auto">
                    <a:xfrm>
                      <a:off x="0" y="0"/>
                      <a:ext cx="2943225" cy="1085850"/>
                    </a:xfrm>
                    <a:prstGeom prst="rect">
                      <a:avLst/>
                    </a:prstGeom>
                    <a:noFill/>
                    <a:ln w="9525">
                      <a:noFill/>
                      <a:miter lim="800000"/>
                      <a:headEnd/>
                      <a:tailEnd/>
                    </a:ln>
                  </pic:spPr>
                </pic:pic>
              </a:graphicData>
            </a:graphic>
          </wp:inline>
        </w:drawing>
      </w:r>
    </w:p>
    <w:p w:rsidR="00D3271C" w:rsidRPr="00443A76" w:rsidRDefault="00D3271C" w:rsidP="00D3271C">
      <w:pPr>
        <w:pStyle w:val="Caption"/>
        <w:ind w:left="3840"/>
        <w:jc w:val="left"/>
        <w:rPr>
          <w:rFonts w:ascii="Times New Roman" w:hAnsi="Times New Roman" w:cs="Times New Roman"/>
          <w:b w:val="0"/>
          <w:color w:val="auto"/>
          <w:sz w:val="18"/>
          <w:szCs w:val="18"/>
        </w:rPr>
      </w:pPr>
      <w:r w:rsidRPr="00443A76">
        <w:rPr>
          <w:rFonts w:ascii="Times New Roman" w:hAnsi="Times New Roman" w:cs="Times New Roman"/>
          <w:b w:val="0"/>
          <w:color w:val="auto"/>
          <w:sz w:val="18"/>
          <w:szCs w:val="18"/>
        </w:rPr>
        <w:t xml:space="preserve">Figure </w:t>
      </w:r>
      <w:r w:rsidRPr="00443A76">
        <w:rPr>
          <w:rFonts w:ascii="Times New Roman" w:hAnsi="Times New Roman" w:cs="Times New Roman"/>
          <w:b w:val="0"/>
          <w:color w:val="auto"/>
          <w:sz w:val="18"/>
          <w:szCs w:val="18"/>
        </w:rPr>
        <w:fldChar w:fldCharType="begin"/>
      </w:r>
      <w:r w:rsidRPr="00443A76">
        <w:rPr>
          <w:rFonts w:ascii="Times New Roman" w:hAnsi="Times New Roman" w:cs="Times New Roman"/>
          <w:b w:val="0"/>
          <w:color w:val="auto"/>
          <w:sz w:val="18"/>
          <w:szCs w:val="18"/>
        </w:rPr>
        <w:instrText xml:space="preserve"> SEQ Figure \* ARABIC </w:instrText>
      </w:r>
      <w:r w:rsidRPr="00443A76">
        <w:rPr>
          <w:rFonts w:ascii="Times New Roman" w:hAnsi="Times New Roman" w:cs="Times New Roman"/>
          <w:b w:val="0"/>
          <w:color w:val="auto"/>
          <w:sz w:val="18"/>
          <w:szCs w:val="18"/>
        </w:rPr>
        <w:fldChar w:fldCharType="separate"/>
      </w:r>
      <w:r>
        <w:rPr>
          <w:rFonts w:ascii="Times New Roman" w:hAnsi="Times New Roman" w:cs="Times New Roman"/>
          <w:b w:val="0"/>
          <w:noProof/>
          <w:color w:val="auto"/>
          <w:sz w:val="18"/>
          <w:szCs w:val="18"/>
        </w:rPr>
        <w:t>1</w:t>
      </w:r>
      <w:r w:rsidRPr="00443A76">
        <w:rPr>
          <w:rFonts w:ascii="Times New Roman" w:hAnsi="Times New Roman" w:cs="Times New Roman"/>
          <w:b w:val="0"/>
          <w:color w:val="auto"/>
          <w:sz w:val="18"/>
          <w:szCs w:val="18"/>
        </w:rPr>
        <w:fldChar w:fldCharType="end"/>
      </w:r>
    </w:p>
    <w:p w:rsidR="00D3271C" w:rsidRPr="00A47018" w:rsidRDefault="00D3271C" w:rsidP="00D3271C"/>
    <w:p w:rsidR="00D3271C" w:rsidRPr="00443A76" w:rsidRDefault="00D3271C" w:rsidP="00D3271C">
      <w:pPr>
        <w:pStyle w:val="ListParagraph"/>
        <w:numPr>
          <w:ilvl w:val="0"/>
          <w:numId w:val="9"/>
        </w:numPr>
        <w:jc w:val="both"/>
        <w:rPr>
          <w:sz w:val="20"/>
          <w:szCs w:val="20"/>
        </w:rPr>
      </w:pPr>
      <w:r w:rsidRPr="00443A76">
        <w:rPr>
          <w:sz w:val="20"/>
          <w:szCs w:val="20"/>
        </w:rPr>
        <w:t xml:space="preserve">Prior to collection, if Fecal Collection Tube has been refrigerated, allow to come to room temperature. </w:t>
      </w:r>
    </w:p>
    <w:p w:rsidR="00D3271C" w:rsidRPr="00443A76" w:rsidRDefault="00D3271C" w:rsidP="00D3271C">
      <w:pPr>
        <w:pStyle w:val="ListParagraph"/>
        <w:numPr>
          <w:ilvl w:val="0"/>
          <w:numId w:val="9"/>
        </w:numPr>
        <w:jc w:val="both"/>
        <w:rPr>
          <w:rFonts w:eastAsia="SimSun"/>
          <w:sz w:val="20"/>
          <w:szCs w:val="20"/>
        </w:rPr>
      </w:pPr>
      <w:r w:rsidRPr="00443A76">
        <w:rPr>
          <w:sz w:val="20"/>
          <w:szCs w:val="20"/>
        </w:rPr>
        <w:t xml:space="preserve">Unscrew cap of the Fecal Collection Tube and remove Applicator Stick. </w:t>
      </w:r>
    </w:p>
    <w:p w:rsidR="00D3271C" w:rsidRPr="00443A76" w:rsidRDefault="00D3271C" w:rsidP="00D3271C">
      <w:pPr>
        <w:pStyle w:val="ListParagraph"/>
        <w:numPr>
          <w:ilvl w:val="0"/>
          <w:numId w:val="9"/>
        </w:numPr>
        <w:jc w:val="both"/>
        <w:rPr>
          <w:sz w:val="20"/>
          <w:szCs w:val="20"/>
        </w:rPr>
      </w:pPr>
      <w:r w:rsidRPr="00443A76">
        <w:rPr>
          <w:sz w:val="20"/>
          <w:szCs w:val="20"/>
        </w:rPr>
        <w:t xml:space="preserve">Randomly insert the Applicator Stick into the fecal sample up to six (6) times to obtain ample amount of sample. </w:t>
      </w:r>
    </w:p>
    <w:p w:rsidR="00D3271C" w:rsidRPr="00443A76" w:rsidRDefault="00D3271C" w:rsidP="00D3271C">
      <w:pPr>
        <w:pStyle w:val="ListParagraph"/>
        <w:numPr>
          <w:ilvl w:val="0"/>
          <w:numId w:val="9"/>
        </w:numPr>
        <w:jc w:val="both"/>
        <w:rPr>
          <w:rFonts w:eastAsia="SimSun"/>
          <w:sz w:val="20"/>
          <w:szCs w:val="20"/>
        </w:rPr>
      </w:pPr>
      <w:r w:rsidRPr="00443A76">
        <w:rPr>
          <w:sz w:val="20"/>
          <w:szCs w:val="20"/>
        </w:rPr>
        <w:t>Do not clump, scoop, or fill the tube.</w:t>
      </w:r>
    </w:p>
    <w:p w:rsidR="00D3271C" w:rsidRPr="00443A76" w:rsidRDefault="00D3271C" w:rsidP="00D3271C">
      <w:pPr>
        <w:pStyle w:val="ListParagraph"/>
        <w:numPr>
          <w:ilvl w:val="0"/>
          <w:numId w:val="9"/>
        </w:numPr>
        <w:jc w:val="both"/>
        <w:rPr>
          <w:rFonts w:eastAsia="SimSun"/>
          <w:sz w:val="20"/>
          <w:szCs w:val="20"/>
        </w:rPr>
      </w:pPr>
      <w:r w:rsidRPr="00443A76">
        <w:rPr>
          <w:sz w:val="20"/>
          <w:szCs w:val="20"/>
        </w:rPr>
        <w:t xml:space="preserve">Return the Applicator Stick into the Fecal Collection Tube and tighten the cap thoroughly.  </w:t>
      </w:r>
    </w:p>
    <w:p w:rsidR="00D3271C" w:rsidRPr="00443A76" w:rsidRDefault="00D3271C" w:rsidP="00D3271C">
      <w:pPr>
        <w:pStyle w:val="ListParagraph"/>
        <w:numPr>
          <w:ilvl w:val="0"/>
          <w:numId w:val="9"/>
        </w:numPr>
        <w:jc w:val="both"/>
        <w:rPr>
          <w:rFonts w:eastAsia="SimSun"/>
          <w:sz w:val="20"/>
          <w:szCs w:val="20"/>
        </w:rPr>
      </w:pPr>
      <w:r w:rsidRPr="00443A76">
        <w:rPr>
          <w:sz w:val="20"/>
          <w:szCs w:val="20"/>
        </w:rPr>
        <w:t xml:space="preserve">Shake the tube to mix the sample with the Extraction Buffer. </w:t>
      </w:r>
    </w:p>
    <w:p w:rsidR="00D3271C" w:rsidRDefault="00D3271C" w:rsidP="00D3271C">
      <w:pPr>
        <w:rPr>
          <w:b/>
          <w:u w:val="single"/>
        </w:rPr>
      </w:pPr>
    </w:p>
    <w:p w:rsidR="00D3271C" w:rsidRPr="00443A76" w:rsidRDefault="00D3271C" w:rsidP="00D3271C">
      <w:pPr>
        <w:rPr>
          <w:b/>
          <w:u w:val="single"/>
        </w:rPr>
      </w:pPr>
      <w:r w:rsidRPr="00443A76">
        <w:rPr>
          <w:b/>
          <w:u w:val="single"/>
        </w:rPr>
        <w:t>Quality Control</w:t>
      </w:r>
      <w:r w:rsidRPr="00443A76">
        <w:rPr>
          <w:rFonts w:ascii="Arial" w:hAnsi="Arial" w:cs="Arial"/>
          <w:sz w:val="22"/>
        </w:rPr>
        <w:t xml:space="preserve"> (CLIA Complexity: Waived)</w:t>
      </w:r>
    </w:p>
    <w:p w:rsidR="00D3271C" w:rsidRPr="00443A76" w:rsidRDefault="00D3271C" w:rsidP="00D3271C">
      <w:pPr>
        <w:ind w:left="360"/>
        <w:rPr>
          <w:bCs/>
          <w:sz w:val="20"/>
          <w:szCs w:val="21"/>
          <w:u w:val="single"/>
          <w:lang w:eastAsia="zh-CN"/>
        </w:rPr>
      </w:pPr>
    </w:p>
    <w:p w:rsidR="00D3271C" w:rsidRPr="00443A76" w:rsidRDefault="00D3271C" w:rsidP="00D3271C">
      <w:pPr>
        <w:ind w:left="360"/>
        <w:rPr>
          <w:b/>
          <w:u w:val="single"/>
        </w:rPr>
      </w:pPr>
      <w:r w:rsidRPr="00443A76">
        <w:rPr>
          <w:bCs/>
          <w:sz w:val="20"/>
          <w:szCs w:val="21"/>
          <w:u w:val="single"/>
          <w:lang w:eastAsia="zh-CN"/>
        </w:rPr>
        <w:t>Internal Quality Control</w:t>
      </w:r>
    </w:p>
    <w:p w:rsidR="00D3271C" w:rsidRPr="00443A76" w:rsidRDefault="00D3271C" w:rsidP="00D3271C">
      <w:pPr>
        <w:pStyle w:val="ListParagraph"/>
        <w:numPr>
          <w:ilvl w:val="0"/>
          <w:numId w:val="10"/>
        </w:numPr>
        <w:tabs>
          <w:tab w:val="left" w:pos="360"/>
        </w:tabs>
        <w:rPr>
          <w:sz w:val="20"/>
          <w:szCs w:val="21"/>
          <w:lang w:eastAsia="zh-CN"/>
        </w:rPr>
      </w:pPr>
      <w:r w:rsidRPr="00443A76">
        <w:rPr>
          <w:sz w:val="20"/>
          <w:szCs w:val="21"/>
          <w:lang w:eastAsia="zh-CN"/>
        </w:rPr>
        <w:t>Hemosure iFOB test contains a built-in Control-C Line.  This line appears next to the C on the Test Window.  The presence of C line indicates that an adequate sample volume was used and that the Test Cassette worked properly.  If no C Line appears the test is invalid and must be repeated.</w:t>
      </w:r>
    </w:p>
    <w:p w:rsidR="00D3271C" w:rsidRPr="00443A76" w:rsidRDefault="00D3271C" w:rsidP="00D3271C">
      <w:pPr>
        <w:pStyle w:val="ListParagraph"/>
        <w:tabs>
          <w:tab w:val="left" w:pos="360"/>
        </w:tabs>
        <w:ind w:hanging="360"/>
        <w:rPr>
          <w:sz w:val="20"/>
          <w:szCs w:val="21"/>
          <w:u w:val="single"/>
          <w:lang w:eastAsia="zh-CN"/>
        </w:rPr>
      </w:pPr>
    </w:p>
    <w:p w:rsidR="00D3271C" w:rsidRPr="00443A76" w:rsidRDefault="00D3271C" w:rsidP="00D3271C">
      <w:pPr>
        <w:pStyle w:val="ListParagraph"/>
        <w:tabs>
          <w:tab w:val="left" w:pos="360"/>
        </w:tabs>
        <w:ind w:hanging="360"/>
        <w:rPr>
          <w:sz w:val="20"/>
          <w:szCs w:val="21"/>
          <w:u w:val="single"/>
          <w:lang w:eastAsia="zh-CN"/>
        </w:rPr>
      </w:pPr>
      <w:r w:rsidRPr="00443A76">
        <w:rPr>
          <w:sz w:val="20"/>
          <w:szCs w:val="21"/>
          <w:u w:val="single"/>
          <w:lang w:eastAsia="zh-CN"/>
        </w:rPr>
        <w:t>External Quality Control</w:t>
      </w:r>
    </w:p>
    <w:p w:rsidR="00D3271C" w:rsidRPr="00443A76" w:rsidRDefault="00D3271C" w:rsidP="00D3271C">
      <w:pPr>
        <w:pStyle w:val="ListParagraph"/>
        <w:numPr>
          <w:ilvl w:val="0"/>
          <w:numId w:val="10"/>
        </w:numPr>
        <w:tabs>
          <w:tab w:val="left" w:pos="360"/>
        </w:tabs>
        <w:rPr>
          <w:sz w:val="20"/>
          <w:szCs w:val="21"/>
          <w:lang w:eastAsia="zh-CN"/>
        </w:rPr>
      </w:pPr>
      <w:r w:rsidRPr="00443A76">
        <w:rPr>
          <w:bCs/>
          <w:sz w:val="20"/>
          <w:szCs w:val="20"/>
          <w:lang w:eastAsia="zh-CN"/>
        </w:rPr>
        <w:t xml:space="preserve">Run external controls on each new lot or shipment of Hemosure test cassettes.  </w:t>
      </w:r>
    </w:p>
    <w:p w:rsidR="00D3271C" w:rsidRPr="00443A76" w:rsidRDefault="00D3271C" w:rsidP="00D3271C">
      <w:pPr>
        <w:pStyle w:val="ListParagraph"/>
        <w:numPr>
          <w:ilvl w:val="0"/>
          <w:numId w:val="10"/>
        </w:numPr>
        <w:tabs>
          <w:tab w:val="left" w:pos="360"/>
        </w:tabs>
        <w:rPr>
          <w:sz w:val="20"/>
          <w:szCs w:val="21"/>
          <w:lang w:eastAsia="zh-CN"/>
        </w:rPr>
      </w:pPr>
      <w:r w:rsidRPr="00443A76">
        <w:rPr>
          <w:bCs/>
          <w:sz w:val="20"/>
          <w:szCs w:val="20"/>
          <w:lang w:eastAsia="zh-CN"/>
        </w:rPr>
        <w:t xml:space="preserve">Expected results:  </w:t>
      </w:r>
    </w:p>
    <w:p w:rsidR="00D3271C" w:rsidRPr="00443A76" w:rsidRDefault="00D3271C" w:rsidP="00D3271C">
      <w:pPr>
        <w:pStyle w:val="ListParagraph"/>
        <w:numPr>
          <w:ilvl w:val="0"/>
          <w:numId w:val="12"/>
        </w:numPr>
        <w:tabs>
          <w:tab w:val="left" w:pos="360"/>
        </w:tabs>
        <w:rPr>
          <w:sz w:val="20"/>
          <w:szCs w:val="21"/>
          <w:lang w:eastAsia="zh-CN"/>
        </w:rPr>
      </w:pPr>
      <w:r w:rsidRPr="00443A76">
        <w:rPr>
          <w:sz w:val="20"/>
          <w:szCs w:val="21"/>
          <w:lang w:eastAsia="zh-CN"/>
        </w:rPr>
        <w:t>The Positive Control contains purified human hemoglobin and gives a positive result.</w:t>
      </w:r>
    </w:p>
    <w:p w:rsidR="00D3271C" w:rsidRPr="00443A76" w:rsidRDefault="00D3271C" w:rsidP="00D3271C">
      <w:pPr>
        <w:pStyle w:val="ListParagraph"/>
        <w:numPr>
          <w:ilvl w:val="0"/>
          <w:numId w:val="12"/>
        </w:numPr>
        <w:tabs>
          <w:tab w:val="left" w:pos="360"/>
        </w:tabs>
        <w:rPr>
          <w:sz w:val="20"/>
          <w:szCs w:val="21"/>
          <w:lang w:eastAsia="zh-CN"/>
        </w:rPr>
      </w:pPr>
      <w:r w:rsidRPr="00443A76">
        <w:rPr>
          <w:sz w:val="20"/>
          <w:szCs w:val="21"/>
          <w:lang w:eastAsia="zh-CN"/>
        </w:rPr>
        <w:t>The Negative Control contains a buffer and no human hemoglobin and gives a negative result.</w:t>
      </w:r>
    </w:p>
    <w:p w:rsidR="00D3271C" w:rsidRPr="00443A76" w:rsidRDefault="00D3271C" w:rsidP="00D3271C">
      <w:pPr>
        <w:pStyle w:val="ListParagraph"/>
        <w:numPr>
          <w:ilvl w:val="0"/>
          <w:numId w:val="11"/>
        </w:numPr>
        <w:tabs>
          <w:tab w:val="left" w:pos="360"/>
        </w:tabs>
        <w:rPr>
          <w:sz w:val="20"/>
          <w:szCs w:val="21"/>
          <w:lang w:eastAsia="zh-CN"/>
        </w:rPr>
      </w:pPr>
      <w:r w:rsidRPr="00443A76">
        <w:rPr>
          <w:bCs/>
          <w:sz w:val="20"/>
          <w:szCs w:val="20"/>
          <w:lang w:eastAsia="zh-CN"/>
        </w:rPr>
        <w:t>The test is positive (+) if two lines (Control and Test) are visible in the viewing window. Any trace of a pink line in the Test Line area is a positive test result.</w:t>
      </w:r>
    </w:p>
    <w:p w:rsidR="00D3271C" w:rsidRPr="00443A76" w:rsidRDefault="00D3271C" w:rsidP="00D3271C">
      <w:pPr>
        <w:pStyle w:val="ListParagraph"/>
        <w:numPr>
          <w:ilvl w:val="0"/>
          <w:numId w:val="11"/>
        </w:numPr>
        <w:tabs>
          <w:tab w:val="left" w:pos="360"/>
        </w:tabs>
        <w:rPr>
          <w:sz w:val="20"/>
          <w:szCs w:val="21"/>
          <w:lang w:eastAsia="zh-CN"/>
        </w:rPr>
      </w:pPr>
      <w:r w:rsidRPr="00443A76">
        <w:rPr>
          <w:bCs/>
          <w:sz w:val="20"/>
          <w:szCs w:val="20"/>
          <w:lang w:eastAsia="zh-CN"/>
        </w:rPr>
        <w:t>The test is negative (-) if only the Control line is visible and there is no trace of a pink line in the Test line area.</w:t>
      </w:r>
    </w:p>
    <w:p w:rsidR="00D3271C" w:rsidRPr="00443A76" w:rsidRDefault="00D3271C" w:rsidP="00D3271C">
      <w:pPr>
        <w:pStyle w:val="ListParagraph"/>
        <w:numPr>
          <w:ilvl w:val="0"/>
          <w:numId w:val="11"/>
        </w:numPr>
        <w:tabs>
          <w:tab w:val="left" w:pos="360"/>
        </w:tabs>
        <w:rPr>
          <w:sz w:val="20"/>
          <w:szCs w:val="21"/>
          <w:lang w:eastAsia="zh-CN"/>
        </w:rPr>
      </w:pPr>
      <w:r w:rsidRPr="00443A76">
        <w:rPr>
          <w:bCs/>
          <w:sz w:val="20"/>
          <w:szCs w:val="20"/>
          <w:lang w:eastAsia="zh-CN"/>
        </w:rPr>
        <w:t>The test is invalid if the control line does not appear, if this occurs, the test should be repeated.</w:t>
      </w:r>
    </w:p>
    <w:p w:rsidR="00D3271C" w:rsidRPr="00443A76" w:rsidRDefault="00D3271C" w:rsidP="00D3271C">
      <w:pPr>
        <w:pStyle w:val="ListParagraph"/>
        <w:numPr>
          <w:ilvl w:val="0"/>
          <w:numId w:val="10"/>
        </w:numPr>
        <w:tabs>
          <w:tab w:val="left" w:pos="360"/>
        </w:tabs>
        <w:rPr>
          <w:sz w:val="20"/>
          <w:szCs w:val="21"/>
          <w:lang w:eastAsia="zh-CN"/>
        </w:rPr>
      </w:pPr>
      <w:r w:rsidRPr="00443A76">
        <w:rPr>
          <w:sz w:val="20"/>
          <w:szCs w:val="21"/>
          <w:lang w:eastAsia="zh-CN"/>
        </w:rPr>
        <w:t xml:space="preserve">Hemosure® iFOBT Controls includes a positive control containing stabilized human hemoglobin and negative control containing a buffer matrix.   Handle all control material as if potentially infectious.  </w:t>
      </w:r>
      <w:r w:rsidRPr="00443A76">
        <w:rPr>
          <w:sz w:val="20"/>
          <w:szCs w:val="20"/>
          <w:lang w:eastAsia="zh-CN"/>
        </w:rPr>
        <w:t xml:space="preserve">For </w:t>
      </w:r>
      <w:r w:rsidRPr="00443A76">
        <w:rPr>
          <w:b/>
          <w:bCs/>
          <w:sz w:val="20"/>
          <w:szCs w:val="20"/>
          <w:lang w:eastAsia="zh-CN"/>
        </w:rPr>
        <w:t xml:space="preserve">IN VITRO DIAGNOSTIC USE ONLY.  </w:t>
      </w:r>
    </w:p>
    <w:p w:rsidR="005B6918" w:rsidRDefault="005B6918" w:rsidP="00D3271C"/>
    <w:p w:rsidR="00D3271C" w:rsidRDefault="00D3271C" w:rsidP="00D3271C"/>
    <w:p w:rsidR="00D3271C" w:rsidRDefault="00D3271C" w:rsidP="00D3271C">
      <w:pPr>
        <w:rPr>
          <w:b/>
          <w:sz w:val="28"/>
          <w:szCs w:val="28"/>
        </w:rPr>
      </w:pPr>
      <w:r w:rsidRPr="00443A76">
        <w:rPr>
          <w:b/>
          <w:sz w:val="28"/>
          <w:szCs w:val="28"/>
        </w:rPr>
        <w:lastRenderedPageBreak/>
        <w:t>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
        <w:gridCol w:w="10098"/>
      </w:tblGrid>
      <w:tr w:rsidR="00D3271C" w:rsidTr="00055A86">
        <w:tc>
          <w:tcPr>
            <w:tcW w:w="918" w:type="dxa"/>
          </w:tcPr>
          <w:p w:rsidR="00D3271C" w:rsidRPr="00055A86" w:rsidRDefault="00D3271C" w:rsidP="00D3271C">
            <w:pPr>
              <w:rPr>
                <w:b/>
                <w:sz w:val="22"/>
                <w:szCs w:val="22"/>
              </w:rPr>
            </w:pPr>
            <w:r w:rsidRPr="00055A86">
              <w:rPr>
                <w:b/>
                <w:sz w:val="22"/>
                <w:szCs w:val="22"/>
              </w:rPr>
              <w:t>Step</w:t>
            </w:r>
          </w:p>
        </w:tc>
        <w:tc>
          <w:tcPr>
            <w:tcW w:w="10098" w:type="dxa"/>
          </w:tcPr>
          <w:p w:rsidR="00D3271C" w:rsidRPr="00055A86" w:rsidRDefault="00D3271C" w:rsidP="00055A86">
            <w:pPr>
              <w:jc w:val="center"/>
              <w:rPr>
                <w:b/>
                <w:sz w:val="22"/>
                <w:szCs w:val="22"/>
              </w:rPr>
            </w:pPr>
            <w:r w:rsidRPr="00055A86">
              <w:rPr>
                <w:b/>
                <w:sz w:val="22"/>
                <w:szCs w:val="22"/>
              </w:rPr>
              <w:t>Action</w:t>
            </w:r>
          </w:p>
        </w:tc>
      </w:tr>
      <w:tr w:rsidR="00D3271C" w:rsidTr="00055A86">
        <w:tc>
          <w:tcPr>
            <w:tcW w:w="918" w:type="dxa"/>
          </w:tcPr>
          <w:p w:rsidR="00D3271C" w:rsidRPr="00055A86" w:rsidRDefault="00D3271C" w:rsidP="00055A86">
            <w:pPr>
              <w:spacing w:before="60"/>
              <w:jc w:val="center"/>
              <w:rPr>
                <w:sz w:val="22"/>
                <w:szCs w:val="22"/>
              </w:rPr>
            </w:pPr>
            <w:r w:rsidRPr="00055A86">
              <w:rPr>
                <w:sz w:val="22"/>
                <w:szCs w:val="22"/>
              </w:rPr>
              <w:t>1</w:t>
            </w:r>
          </w:p>
        </w:tc>
        <w:tc>
          <w:tcPr>
            <w:tcW w:w="10098" w:type="dxa"/>
          </w:tcPr>
          <w:p w:rsidR="00D3271C" w:rsidRPr="00055A86" w:rsidRDefault="00D3271C" w:rsidP="00055A86">
            <w:pPr>
              <w:spacing w:before="60"/>
              <w:ind w:left="432" w:hanging="432"/>
              <w:rPr>
                <w:rFonts w:ascii="Arial" w:hAnsi="Arial" w:cs="Arial"/>
                <w:sz w:val="20"/>
                <w:szCs w:val="22"/>
              </w:rPr>
            </w:pPr>
            <w:r w:rsidRPr="00055A86">
              <w:rPr>
                <w:rFonts w:ascii="Arial" w:hAnsi="Arial" w:cs="Arial"/>
                <w:sz w:val="20"/>
                <w:szCs w:val="22"/>
              </w:rPr>
              <w:t>Remove the Test Cassette f</w:t>
            </w:r>
            <w:r w:rsidRPr="00055A86">
              <w:rPr>
                <w:rFonts w:ascii="Arial" w:hAnsi="Arial" w:cs="Arial"/>
                <w:sz w:val="20"/>
                <w:szCs w:val="22"/>
                <w:lang w:eastAsia="zh-CN"/>
              </w:rPr>
              <w:t>rom</w:t>
            </w:r>
            <w:r w:rsidRPr="00055A86">
              <w:rPr>
                <w:rFonts w:ascii="Arial" w:hAnsi="Arial" w:cs="Arial"/>
                <w:sz w:val="20"/>
                <w:szCs w:val="22"/>
              </w:rPr>
              <w:t xml:space="preserve"> its foil wrapper by tearing along the slice.</w:t>
            </w:r>
          </w:p>
          <w:p w:rsidR="00D3271C" w:rsidRPr="00055A86" w:rsidRDefault="00D3271C" w:rsidP="00055A86">
            <w:pPr>
              <w:spacing w:before="60"/>
              <w:ind w:hanging="432"/>
              <w:rPr>
                <w:rFonts w:ascii="Arial" w:hAnsi="Arial" w:cs="Arial"/>
                <w:sz w:val="22"/>
                <w:szCs w:val="22"/>
              </w:rPr>
            </w:pPr>
          </w:p>
        </w:tc>
      </w:tr>
      <w:tr w:rsidR="00D3271C" w:rsidTr="00055A86">
        <w:tc>
          <w:tcPr>
            <w:tcW w:w="918" w:type="dxa"/>
          </w:tcPr>
          <w:p w:rsidR="00D3271C" w:rsidRPr="00055A86" w:rsidRDefault="00D3271C" w:rsidP="00055A86">
            <w:pPr>
              <w:spacing w:before="60"/>
              <w:jc w:val="center"/>
              <w:rPr>
                <w:sz w:val="22"/>
                <w:szCs w:val="22"/>
              </w:rPr>
            </w:pPr>
            <w:r w:rsidRPr="00055A86">
              <w:rPr>
                <w:sz w:val="22"/>
                <w:szCs w:val="22"/>
              </w:rPr>
              <w:t>2</w:t>
            </w:r>
          </w:p>
        </w:tc>
        <w:tc>
          <w:tcPr>
            <w:tcW w:w="10098" w:type="dxa"/>
          </w:tcPr>
          <w:p w:rsidR="00D3271C" w:rsidRPr="00055A86" w:rsidRDefault="00D3271C" w:rsidP="00055A86">
            <w:pPr>
              <w:spacing w:before="60"/>
              <w:ind w:left="432" w:hanging="432"/>
              <w:rPr>
                <w:rFonts w:ascii="Arial" w:hAnsi="Arial" w:cs="Arial"/>
                <w:sz w:val="20"/>
                <w:szCs w:val="22"/>
              </w:rPr>
            </w:pPr>
            <w:r w:rsidRPr="00055A86">
              <w:rPr>
                <w:rFonts w:ascii="Arial" w:hAnsi="Arial" w:cs="Arial"/>
                <w:sz w:val="20"/>
                <w:szCs w:val="22"/>
              </w:rPr>
              <w:t xml:space="preserve">Shake the Fecal Collection Tube to ensure that the fecal sample is well mixed. </w:t>
            </w:r>
          </w:p>
          <w:p w:rsidR="00D3271C" w:rsidRPr="00055A86" w:rsidRDefault="00D3271C" w:rsidP="00055A86">
            <w:pPr>
              <w:spacing w:before="60"/>
              <w:ind w:hanging="432"/>
              <w:rPr>
                <w:rFonts w:ascii="Arial" w:hAnsi="Arial" w:cs="Arial"/>
                <w:sz w:val="22"/>
                <w:szCs w:val="22"/>
              </w:rPr>
            </w:pPr>
          </w:p>
        </w:tc>
      </w:tr>
      <w:tr w:rsidR="00D3271C" w:rsidTr="00055A86">
        <w:tc>
          <w:tcPr>
            <w:tcW w:w="918" w:type="dxa"/>
          </w:tcPr>
          <w:p w:rsidR="00D3271C" w:rsidRPr="00055A86" w:rsidRDefault="00D3271C" w:rsidP="00055A86">
            <w:pPr>
              <w:spacing w:before="60"/>
              <w:jc w:val="center"/>
              <w:rPr>
                <w:sz w:val="22"/>
                <w:szCs w:val="22"/>
              </w:rPr>
            </w:pPr>
            <w:r w:rsidRPr="00055A86">
              <w:rPr>
                <w:sz w:val="22"/>
                <w:szCs w:val="22"/>
              </w:rPr>
              <w:t>3</w:t>
            </w:r>
          </w:p>
        </w:tc>
        <w:tc>
          <w:tcPr>
            <w:tcW w:w="10098" w:type="dxa"/>
          </w:tcPr>
          <w:p w:rsidR="00D3271C" w:rsidRPr="00055A86" w:rsidRDefault="00D3271C" w:rsidP="00055A86">
            <w:pPr>
              <w:spacing w:before="60"/>
              <w:ind w:left="432" w:hanging="432"/>
              <w:rPr>
                <w:rFonts w:ascii="Arial" w:hAnsi="Arial" w:cs="Arial"/>
                <w:sz w:val="20"/>
                <w:szCs w:val="22"/>
              </w:rPr>
            </w:pPr>
            <w:r w:rsidRPr="00055A86">
              <w:rPr>
                <w:rFonts w:ascii="Arial" w:hAnsi="Arial" w:cs="Arial"/>
                <w:sz w:val="20"/>
                <w:szCs w:val="22"/>
              </w:rPr>
              <w:t xml:space="preserve">Twist off the tip of the cap on the Fecal Collection Tube. </w:t>
            </w:r>
          </w:p>
          <w:p w:rsidR="00D3271C" w:rsidRPr="00055A86" w:rsidRDefault="00D3271C" w:rsidP="00055A86">
            <w:pPr>
              <w:spacing w:before="60"/>
              <w:ind w:left="432" w:hanging="432"/>
              <w:rPr>
                <w:rFonts w:ascii="Arial" w:hAnsi="Arial" w:cs="Arial"/>
                <w:sz w:val="20"/>
                <w:szCs w:val="22"/>
              </w:rPr>
            </w:pPr>
          </w:p>
        </w:tc>
      </w:tr>
      <w:tr w:rsidR="00D3271C" w:rsidTr="00055A86">
        <w:tc>
          <w:tcPr>
            <w:tcW w:w="918" w:type="dxa"/>
          </w:tcPr>
          <w:p w:rsidR="00D3271C" w:rsidRPr="00055A86" w:rsidRDefault="00D3271C" w:rsidP="00055A86">
            <w:pPr>
              <w:spacing w:before="60"/>
              <w:jc w:val="center"/>
              <w:rPr>
                <w:sz w:val="22"/>
                <w:szCs w:val="22"/>
              </w:rPr>
            </w:pPr>
            <w:r w:rsidRPr="00055A86">
              <w:rPr>
                <w:sz w:val="22"/>
                <w:szCs w:val="22"/>
              </w:rPr>
              <w:t>4</w:t>
            </w:r>
          </w:p>
        </w:tc>
        <w:tc>
          <w:tcPr>
            <w:tcW w:w="10098" w:type="dxa"/>
          </w:tcPr>
          <w:p w:rsidR="00D3271C" w:rsidRPr="00055A86" w:rsidRDefault="00D3271C" w:rsidP="00055A86">
            <w:pPr>
              <w:spacing w:before="60"/>
              <w:ind w:left="432" w:hanging="432"/>
              <w:rPr>
                <w:rFonts w:ascii="Arial" w:hAnsi="Arial" w:cs="Arial"/>
                <w:sz w:val="20"/>
                <w:szCs w:val="22"/>
              </w:rPr>
            </w:pPr>
            <w:r w:rsidRPr="00055A86">
              <w:rPr>
                <w:rFonts w:ascii="Arial" w:hAnsi="Arial" w:cs="Arial"/>
                <w:sz w:val="20"/>
                <w:szCs w:val="22"/>
              </w:rPr>
              <w:t xml:space="preserve">Add three (3) drops of the Extraction Buffer mixture to the Sample Well. </w:t>
            </w:r>
          </w:p>
          <w:p w:rsidR="00D3271C" w:rsidRPr="00055A86" w:rsidRDefault="00D3271C" w:rsidP="00055A86">
            <w:pPr>
              <w:spacing w:before="60"/>
              <w:ind w:left="432" w:hanging="432"/>
              <w:rPr>
                <w:rFonts w:ascii="Arial" w:hAnsi="Arial" w:cs="Arial"/>
                <w:sz w:val="22"/>
                <w:szCs w:val="22"/>
              </w:rPr>
            </w:pPr>
          </w:p>
        </w:tc>
      </w:tr>
      <w:tr w:rsidR="00D3271C" w:rsidTr="00055A86">
        <w:tc>
          <w:tcPr>
            <w:tcW w:w="918" w:type="dxa"/>
          </w:tcPr>
          <w:p w:rsidR="00D3271C" w:rsidRPr="00055A86" w:rsidRDefault="00D3271C" w:rsidP="00055A86">
            <w:pPr>
              <w:spacing w:before="60"/>
              <w:jc w:val="center"/>
              <w:rPr>
                <w:sz w:val="22"/>
                <w:szCs w:val="22"/>
              </w:rPr>
            </w:pPr>
            <w:r w:rsidRPr="00055A86">
              <w:rPr>
                <w:sz w:val="22"/>
                <w:szCs w:val="22"/>
              </w:rPr>
              <w:t>5</w:t>
            </w:r>
          </w:p>
        </w:tc>
        <w:tc>
          <w:tcPr>
            <w:tcW w:w="10098" w:type="dxa"/>
          </w:tcPr>
          <w:p w:rsidR="00D3271C" w:rsidRPr="00055A86" w:rsidRDefault="00D3271C" w:rsidP="00055A86">
            <w:pPr>
              <w:spacing w:before="60"/>
              <w:ind w:left="432" w:hanging="432"/>
              <w:rPr>
                <w:rFonts w:ascii="Arial" w:hAnsi="Arial" w:cs="Arial"/>
                <w:sz w:val="20"/>
                <w:szCs w:val="22"/>
              </w:rPr>
            </w:pPr>
            <w:r w:rsidRPr="00055A86">
              <w:rPr>
                <w:rFonts w:ascii="Arial" w:hAnsi="Arial" w:cs="Arial"/>
                <w:sz w:val="20"/>
                <w:szCs w:val="22"/>
              </w:rPr>
              <w:t xml:space="preserve">Start timer. </w:t>
            </w:r>
          </w:p>
          <w:p w:rsidR="00D3271C" w:rsidRPr="00055A86" w:rsidRDefault="00D3271C" w:rsidP="00055A86">
            <w:pPr>
              <w:spacing w:before="60"/>
              <w:ind w:hanging="432"/>
              <w:rPr>
                <w:rFonts w:ascii="Arial" w:hAnsi="Arial" w:cs="Arial"/>
                <w:sz w:val="22"/>
                <w:szCs w:val="22"/>
              </w:rPr>
            </w:pPr>
          </w:p>
        </w:tc>
      </w:tr>
      <w:tr w:rsidR="00D3271C" w:rsidTr="00055A86">
        <w:tc>
          <w:tcPr>
            <w:tcW w:w="918" w:type="dxa"/>
          </w:tcPr>
          <w:p w:rsidR="00D3271C" w:rsidRPr="00055A86" w:rsidRDefault="00D3271C" w:rsidP="00055A86">
            <w:pPr>
              <w:spacing w:before="60"/>
              <w:jc w:val="center"/>
              <w:rPr>
                <w:sz w:val="22"/>
                <w:szCs w:val="22"/>
              </w:rPr>
            </w:pPr>
            <w:r w:rsidRPr="00055A86">
              <w:rPr>
                <w:sz w:val="22"/>
                <w:szCs w:val="22"/>
              </w:rPr>
              <w:t>6</w:t>
            </w:r>
          </w:p>
        </w:tc>
        <w:tc>
          <w:tcPr>
            <w:tcW w:w="10098" w:type="dxa"/>
          </w:tcPr>
          <w:p w:rsidR="00D3271C" w:rsidRPr="00055A86" w:rsidRDefault="00D3271C" w:rsidP="00055A86">
            <w:pPr>
              <w:spacing w:before="60"/>
              <w:rPr>
                <w:rFonts w:ascii="Arial" w:hAnsi="Arial" w:cs="Arial"/>
                <w:sz w:val="20"/>
                <w:szCs w:val="22"/>
                <w:lang w:eastAsia="zh-CN"/>
              </w:rPr>
            </w:pPr>
            <w:r w:rsidRPr="00055A86">
              <w:rPr>
                <w:rFonts w:ascii="Arial" w:hAnsi="Arial" w:cs="Arial"/>
                <w:sz w:val="20"/>
                <w:szCs w:val="22"/>
              </w:rPr>
              <w:t>Read results within five (5) to ten (10) minutes. Do not read after ten (10)</w:t>
            </w:r>
            <w:r w:rsidRPr="00055A86">
              <w:rPr>
                <w:rFonts w:ascii="Arial" w:hAnsi="Arial" w:cs="Arial"/>
                <w:sz w:val="20"/>
                <w:szCs w:val="22"/>
                <w:lang w:eastAsia="zh-CN"/>
              </w:rPr>
              <w:t xml:space="preserve"> minutes.</w:t>
            </w:r>
          </w:p>
          <w:p w:rsidR="00D3271C" w:rsidRPr="00055A86" w:rsidRDefault="00D3271C" w:rsidP="00055A86">
            <w:pPr>
              <w:spacing w:before="60"/>
              <w:rPr>
                <w:rFonts w:ascii="Arial" w:hAnsi="Arial" w:cs="Arial"/>
                <w:sz w:val="22"/>
                <w:szCs w:val="22"/>
              </w:rPr>
            </w:pPr>
          </w:p>
        </w:tc>
      </w:tr>
      <w:tr w:rsidR="00D3271C" w:rsidRPr="00B8235E" w:rsidTr="00EE22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11016" w:type="dxa"/>
            <w:gridSpan w:val="2"/>
            <w:shd w:val="clear" w:color="auto" w:fill="auto"/>
          </w:tcPr>
          <w:p w:rsidR="00D3271C" w:rsidRDefault="00D3271C" w:rsidP="00EE2219">
            <w:pPr>
              <w:rPr>
                <w:b/>
                <w:u w:val="single"/>
              </w:rPr>
            </w:pPr>
          </w:p>
          <w:p w:rsidR="00D3271C" w:rsidRPr="00443A76" w:rsidRDefault="00D3271C" w:rsidP="00EE2219">
            <w:pPr>
              <w:rPr>
                <w:b/>
                <w:u w:val="single"/>
              </w:rPr>
            </w:pPr>
            <w:r w:rsidRPr="00443A76">
              <w:rPr>
                <w:b/>
                <w:u w:val="single"/>
              </w:rPr>
              <w:t>Interpretation</w:t>
            </w:r>
          </w:p>
          <w:p w:rsidR="00D3271C" w:rsidRPr="00443A76" w:rsidRDefault="00D3271C" w:rsidP="00EE2219">
            <w:pPr>
              <w:tabs>
                <w:tab w:val="left" w:pos="360"/>
              </w:tabs>
              <w:rPr>
                <w:b/>
                <w:sz w:val="20"/>
                <w:szCs w:val="21"/>
                <w:lang w:eastAsia="zh-CN"/>
              </w:rPr>
            </w:pPr>
            <w:r w:rsidRPr="00443A76">
              <w:rPr>
                <w:b/>
                <w:sz w:val="20"/>
                <w:szCs w:val="21"/>
                <w:lang w:eastAsia="zh-CN"/>
              </w:rPr>
              <w:t>Interpretation of Results (See Figures 2 – 4)</w:t>
            </w:r>
          </w:p>
          <w:p w:rsidR="00D3271C" w:rsidRPr="0026283E" w:rsidRDefault="00D3271C" w:rsidP="00EE2219">
            <w:pPr>
              <w:tabs>
                <w:tab w:val="left" w:pos="360"/>
              </w:tabs>
              <w:ind w:left="960" w:firstLine="360"/>
            </w:pPr>
            <w:r w:rsidRPr="0026283E">
              <w:object w:dxaOrig="5279"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4pt;height:66pt" o:ole="">
                  <v:imagedata r:id="rId9" o:title=""/>
                </v:shape>
                <o:OLEObject Type="Embed" ProgID="PBrush" ShapeID="_x0000_i1026" DrawAspect="Content" ObjectID="_1406434706" r:id="rId10"/>
              </w:object>
            </w:r>
          </w:p>
          <w:p w:rsidR="00D3271C" w:rsidRPr="00443A76" w:rsidRDefault="00D3271C" w:rsidP="00EE2219">
            <w:pPr>
              <w:tabs>
                <w:tab w:val="left" w:pos="360"/>
              </w:tabs>
              <w:ind w:left="960" w:firstLine="360"/>
              <w:rPr>
                <w:b/>
                <w:sz w:val="18"/>
                <w:szCs w:val="18"/>
                <w:lang w:eastAsia="zh-CN"/>
              </w:rPr>
            </w:pPr>
            <w:r>
              <w:tab/>
              <w:t xml:space="preserve">      </w:t>
            </w:r>
            <w:r w:rsidRPr="00443A76">
              <w:rPr>
                <w:sz w:val="18"/>
                <w:szCs w:val="18"/>
              </w:rPr>
              <w:t xml:space="preserve">Figure 2  </w:t>
            </w:r>
            <w:r w:rsidRPr="00443A76">
              <w:rPr>
                <w:sz w:val="18"/>
                <w:szCs w:val="18"/>
              </w:rPr>
              <w:tab/>
            </w:r>
            <w:r w:rsidRPr="00443A76">
              <w:rPr>
                <w:sz w:val="18"/>
                <w:szCs w:val="18"/>
              </w:rPr>
              <w:tab/>
              <w:t xml:space="preserve">  Figure 3  </w:t>
            </w:r>
            <w:r w:rsidRPr="00443A76">
              <w:rPr>
                <w:sz w:val="18"/>
                <w:szCs w:val="18"/>
              </w:rPr>
              <w:tab/>
              <w:t xml:space="preserve">         Figure 4 </w:t>
            </w:r>
          </w:p>
          <w:p w:rsidR="00D3271C" w:rsidRPr="00443A76" w:rsidRDefault="00D3271C" w:rsidP="00EE2219">
            <w:pPr>
              <w:rPr>
                <w:sz w:val="20"/>
                <w:szCs w:val="21"/>
                <w:lang w:eastAsia="zh-CN"/>
              </w:rPr>
            </w:pPr>
          </w:p>
          <w:p w:rsidR="00D3271C" w:rsidRPr="00443A76" w:rsidRDefault="00D3271C" w:rsidP="00D3271C">
            <w:pPr>
              <w:numPr>
                <w:ilvl w:val="0"/>
                <w:numId w:val="13"/>
              </w:numPr>
              <w:rPr>
                <w:sz w:val="20"/>
                <w:szCs w:val="21"/>
                <w:lang w:eastAsia="zh-CN"/>
              </w:rPr>
            </w:pPr>
            <w:r w:rsidRPr="00443A76">
              <w:rPr>
                <w:sz w:val="20"/>
              </w:rPr>
              <w:t>Positive</w:t>
            </w:r>
            <w:r w:rsidRPr="00443A76">
              <w:rPr>
                <w:sz w:val="20"/>
                <w:szCs w:val="21"/>
                <w:lang w:eastAsia="zh-CN"/>
              </w:rPr>
              <w:t>: One band appearing in the "C" region, the other in the "T" region.</w:t>
            </w:r>
          </w:p>
          <w:p w:rsidR="00D3271C" w:rsidRPr="00443A76" w:rsidRDefault="00D3271C" w:rsidP="00D3271C">
            <w:pPr>
              <w:numPr>
                <w:ilvl w:val="0"/>
                <w:numId w:val="13"/>
              </w:numPr>
              <w:rPr>
                <w:sz w:val="20"/>
                <w:szCs w:val="21"/>
                <w:lang w:eastAsia="zh-CN"/>
              </w:rPr>
            </w:pPr>
            <w:r w:rsidRPr="00443A76">
              <w:rPr>
                <w:sz w:val="20"/>
              </w:rPr>
              <w:t>Negative</w:t>
            </w:r>
            <w:r w:rsidRPr="00443A76">
              <w:rPr>
                <w:sz w:val="20"/>
                <w:szCs w:val="21"/>
                <w:lang w:eastAsia="zh-CN"/>
              </w:rPr>
              <w:t xml:space="preserve">: Only one color band appearing in the "C" region. </w:t>
            </w:r>
          </w:p>
          <w:p w:rsidR="00D3271C" w:rsidRPr="00443A76" w:rsidRDefault="00D3271C" w:rsidP="00D3271C">
            <w:pPr>
              <w:numPr>
                <w:ilvl w:val="0"/>
                <w:numId w:val="13"/>
              </w:numPr>
              <w:rPr>
                <w:sz w:val="20"/>
                <w:szCs w:val="21"/>
                <w:lang w:eastAsia="zh-CN"/>
              </w:rPr>
            </w:pPr>
            <w:r w:rsidRPr="00443A76">
              <w:rPr>
                <w:sz w:val="20"/>
              </w:rPr>
              <w:t>Invalid</w:t>
            </w:r>
            <w:r w:rsidRPr="00443A76">
              <w:rPr>
                <w:sz w:val="20"/>
                <w:szCs w:val="21"/>
                <w:lang w:eastAsia="zh-CN"/>
              </w:rPr>
              <w:t>: No color bands appearing in the window at all, the test result is invalid. The test should be repeated with a new Test Cassette.</w:t>
            </w:r>
          </w:p>
          <w:p w:rsidR="00D3271C" w:rsidRPr="00B8235E" w:rsidRDefault="00D3271C" w:rsidP="00EE2219"/>
        </w:tc>
      </w:tr>
      <w:tr w:rsidR="00D3271C" w:rsidRPr="00A47018" w:rsidTr="00D327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11016" w:type="dxa"/>
            <w:gridSpan w:val="2"/>
            <w:shd w:val="clear" w:color="auto" w:fill="auto"/>
          </w:tcPr>
          <w:p w:rsidR="00D3271C" w:rsidRPr="00443A76" w:rsidRDefault="00D3271C" w:rsidP="00EE2219">
            <w:pPr>
              <w:rPr>
                <w:b/>
                <w:u w:val="single"/>
              </w:rPr>
            </w:pPr>
            <w:r w:rsidRPr="00443A76">
              <w:rPr>
                <w:b/>
                <w:u w:val="single"/>
              </w:rPr>
              <w:t>Result Reporting</w:t>
            </w:r>
          </w:p>
          <w:p w:rsidR="00D3271C" w:rsidRPr="00D3271C" w:rsidRDefault="00D3271C" w:rsidP="00D3271C">
            <w:pPr>
              <w:pStyle w:val="ListParagraph"/>
              <w:numPr>
                <w:ilvl w:val="0"/>
                <w:numId w:val="7"/>
              </w:numPr>
            </w:pPr>
            <w:r w:rsidRPr="00D3271C">
              <w:rPr>
                <w:b/>
              </w:rPr>
              <w:t xml:space="preserve">Positive – </w:t>
            </w:r>
            <w:r w:rsidRPr="00D3271C">
              <w:t>Screening for Human blood present</w:t>
            </w:r>
          </w:p>
          <w:p w:rsidR="00D3271C" w:rsidRPr="00D3271C" w:rsidRDefault="00D3271C" w:rsidP="00D3271C">
            <w:pPr>
              <w:pStyle w:val="ListParagraph"/>
              <w:numPr>
                <w:ilvl w:val="0"/>
                <w:numId w:val="7"/>
              </w:numPr>
              <w:rPr>
                <w:b/>
              </w:rPr>
            </w:pPr>
            <w:r w:rsidRPr="00D3271C">
              <w:rPr>
                <w:b/>
              </w:rPr>
              <w:t xml:space="preserve">Negative – </w:t>
            </w:r>
            <w:r w:rsidRPr="00D3271C">
              <w:t>Screening for Human blood absent</w:t>
            </w:r>
          </w:p>
          <w:p w:rsidR="00D3271C" w:rsidRPr="00D3271C" w:rsidRDefault="00D3271C" w:rsidP="00D3271C">
            <w:pPr>
              <w:rPr>
                <w:b/>
                <w:u w:val="single"/>
              </w:rPr>
            </w:pPr>
          </w:p>
        </w:tc>
      </w:tr>
    </w:tbl>
    <w:p w:rsidR="00D3271C" w:rsidRPr="00443A76" w:rsidRDefault="00D3271C" w:rsidP="00D3271C">
      <w:pPr>
        <w:rPr>
          <w:b/>
          <w:u w:val="single"/>
        </w:rPr>
      </w:pPr>
      <w:r w:rsidRPr="00443A76">
        <w:rPr>
          <w:b/>
          <w:u w:val="single"/>
        </w:rPr>
        <w:t>Restrictions/Limitations</w:t>
      </w:r>
    </w:p>
    <w:p w:rsidR="00D3271C" w:rsidRPr="00206831" w:rsidRDefault="00D3271C" w:rsidP="00D3271C"/>
    <w:p w:rsidR="00D3271C" w:rsidRPr="00443A76" w:rsidRDefault="00D3271C" w:rsidP="00D3271C">
      <w:pPr>
        <w:numPr>
          <w:ilvl w:val="0"/>
          <w:numId w:val="14"/>
        </w:numPr>
        <w:rPr>
          <w:sz w:val="20"/>
          <w:szCs w:val="21"/>
          <w:lang w:eastAsia="zh-CN"/>
        </w:rPr>
      </w:pPr>
      <w:r w:rsidRPr="00443A76">
        <w:rPr>
          <w:sz w:val="20"/>
          <w:szCs w:val="21"/>
          <w:lang w:eastAsia="zh-CN"/>
        </w:rPr>
        <w:t>A negative result can be obtained even when a GI disorder is present. Some bowel lesions, including some polyps and colorectal cancer, may not bleed at all or may bleed intermittently, or the blood may not be uniformly distributed in a fecal sample.</w:t>
      </w:r>
    </w:p>
    <w:p w:rsidR="00D3271C" w:rsidRPr="00443A76" w:rsidRDefault="00D3271C" w:rsidP="00D3271C">
      <w:pPr>
        <w:tabs>
          <w:tab w:val="left" w:pos="180"/>
        </w:tabs>
        <w:rPr>
          <w:sz w:val="10"/>
          <w:szCs w:val="10"/>
          <w:lang w:eastAsia="zh-CN"/>
        </w:rPr>
      </w:pPr>
    </w:p>
    <w:p w:rsidR="00D3271C" w:rsidRPr="00443A76" w:rsidRDefault="00D3271C" w:rsidP="00D3271C">
      <w:pPr>
        <w:numPr>
          <w:ilvl w:val="0"/>
          <w:numId w:val="14"/>
        </w:numPr>
        <w:rPr>
          <w:sz w:val="20"/>
          <w:szCs w:val="21"/>
          <w:lang w:eastAsia="zh-CN"/>
        </w:rPr>
      </w:pPr>
      <w:r w:rsidRPr="00443A76">
        <w:rPr>
          <w:sz w:val="20"/>
          <w:szCs w:val="21"/>
          <w:lang w:eastAsia="zh-CN"/>
        </w:rPr>
        <w:t xml:space="preserve">Certain medications may cause gastrointestinal irritation resulting in occult bleeding. This may result in a false positive test result. </w:t>
      </w:r>
    </w:p>
    <w:p w:rsidR="00D3271C" w:rsidRPr="00443A76" w:rsidRDefault="00D3271C" w:rsidP="00D3271C">
      <w:pPr>
        <w:rPr>
          <w:sz w:val="10"/>
          <w:szCs w:val="10"/>
          <w:lang w:eastAsia="zh-CN"/>
        </w:rPr>
      </w:pPr>
    </w:p>
    <w:p w:rsidR="00D3271C" w:rsidRPr="00443A76" w:rsidRDefault="00D3271C" w:rsidP="00D3271C">
      <w:pPr>
        <w:numPr>
          <w:ilvl w:val="0"/>
          <w:numId w:val="14"/>
        </w:numPr>
        <w:rPr>
          <w:sz w:val="20"/>
          <w:szCs w:val="21"/>
          <w:lang w:eastAsia="zh-CN"/>
        </w:rPr>
      </w:pPr>
      <w:r w:rsidRPr="00443A76">
        <w:rPr>
          <w:sz w:val="20"/>
          <w:szCs w:val="21"/>
          <w:lang w:eastAsia="zh-CN"/>
        </w:rPr>
        <w:t xml:space="preserve">As with any occult blood test screen, </w:t>
      </w:r>
      <w:r w:rsidRPr="00443A76">
        <w:rPr>
          <w:sz w:val="20"/>
        </w:rPr>
        <w:t>Hemosure</w:t>
      </w:r>
      <w:r w:rsidRPr="00443A76">
        <w:rPr>
          <w:sz w:val="20"/>
          <w:szCs w:val="20"/>
          <w:vertAlign w:val="superscript"/>
        </w:rPr>
        <w:t>®</w:t>
      </w:r>
      <w:r w:rsidRPr="00443A76">
        <w:rPr>
          <w:sz w:val="20"/>
        </w:rPr>
        <w:t xml:space="preserve"> One </w:t>
      </w:r>
      <w:r w:rsidRPr="00443A76">
        <w:rPr>
          <w:sz w:val="20"/>
          <w:szCs w:val="21"/>
          <w:lang w:eastAsia="zh-CN"/>
        </w:rPr>
        <w:t xml:space="preserve">Step Immunological Fecal Occult Blood Test may not be considered as a conclusive diagnostic for gastrointestinal bleeding or pathology. The test results can only be regarded as a preliminary screening or as an aid to diagnosis. It is not intended to replace other diagnostic procedures such as G.I. fibroscope, endoscopy, colonoscopy or other x-ray studies. </w:t>
      </w:r>
    </w:p>
    <w:p w:rsidR="00D3271C" w:rsidRPr="00443A76" w:rsidRDefault="00D3271C" w:rsidP="00D3271C">
      <w:pPr>
        <w:rPr>
          <w:sz w:val="10"/>
          <w:szCs w:val="10"/>
          <w:lang w:eastAsia="zh-CN"/>
        </w:rPr>
      </w:pPr>
    </w:p>
    <w:p w:rsidR="00D3271C" w:rsidRPr="00443A76" w:rsidRDefault="00D3271C" w:rsidP="00D3271C">
      <w:pPr>
        <w:numPr>
          <w:ilvl w:val="0"/>
          <w:numId w:val="14"/>
        </w:numPr>
        <w:rPr>
          <w:sz w:val="20"/>
          <w:szCs w:val="21"/>
          <w:lang w:eastAsia="zh-CN"/>
        </w:rPr>
      </w:pPr>
      <w:r w:rsidRPr="00443A76">
        <w:rPr>
          <w:sz w:val="20"/>
          <w:szCs w:val="21"/>
          <w:lang w:eastAsia="zh-CN"/>
        </w:rPr>
        <w:lastRenderedPageBreak/>
        <w:t>Abnormal hemoglobins were not tested for potential cross-reactivity.</w:t>
      </w:r>
    </w:p>
    <w:p w:rsidR="00D3271C" w:rsidRPr="00443A76" w:rsidRDefault="00D3271C" w:rsidP="00D3271C">
      <w:pPr>
        <w:rPr>
          <w:sz w:val="10"/>
          <w:szCs w:val="10"/>
          <w:lang w:eastAsia="zh-CN"/>
        </w:rPr>
      </w:pPr>
    </w:p>
    <w:p w:rsidR="00D3271C" w:rsidRPr="00443A76" w:rsidRDefault="00D3271C" w:rsidP="00D3271C">
      <w:pPr>
        <w:numPr>
          <w:ilvl w:val="0"/>
          <w:numId w:val="14"/>
        </w:numPr>
        <w:rPr>
          <w:sz w:val="20"/>
          <w:szCs w:val="21"/>
          <w:lang w:eastAsia="zh-CN"/>
        </w:rPr>
      </w:pPr>
      <w:r w:rsidRPr="00443A76">
        <w:rPr>
          <w:sz w:val="20"/>
          <w:szCs w:val="21"/>
          <w:lang w:eastAsia="zh-CN"/>
        </w:rPr>
        <w:t xml:space="preserve">Color blind users may see the Control and Test lines as gray rather than pink-rose lines. </w:t>
      </w:r>
    </w:p>
    <w:p w:rsidR="00D3271C" w:rsidRDefault="00D3271C" w:rsidP="00D3271C">
      <w:pPr>
        <w:tabs>
          <w:tab w:val="left" w:pos="3225"/>
        </w:tabs>
        <w:rPr>
          <w:b/>
          <w:u w:val="single"/>
        </w:rPr>
      </w:pPr>
    </w:p>
    <w:p w:rsidR="00D3271C" w:rsidRPr="00443A76" w:rsidRDefault="00D3271C" w:rsidP="00D3271C">
      <w:pPr>
        <w:tabs>
          <w:tab w:val="left" w:pos="3225"/>
        </w:tabs>
        <w:rPr>
          <w:b/>
          <w:u w:val="single"/>
        </w:rPr>
      </w:pPr>
      <w:r w:rsidRPr="00443A76">
        <w:rPr>
          <w:b/>
          <w:u w:val="single"/>
        </w:rPr>
        <w:t>Procedure Notes</w:t>
      </w:r>
    </w:p>
    <w:p w:rsidR="00D3271C" w:rsidRPr="00111042" w:rsidRDefault="00D3271C" w:rsidP="00D3271C">
      <w:pPr>
        <w:tabs>
          <w:tab w:val="left" w:pos="3225"/>
        </w:tabs>
      </w:pPr>
    </w:p>
    <w:p w:rsidR="00D3271C" w:rsidRPr="00443A76" w:rsidRDefault="00D3271C" w:rsidP="00D3271C">
      <w:pPr>
        <w:ind w:left="720" w:hanging="360"/>
        <w:rPr>
          <w:b/>
          <w:sz w:val="20"/>
          <w:szCs w:val="21"/>
          <w:lang w:eastAsia="zh-CN"/>
        </w:rPr>
      </w:pPr>
      <w:r w:rsidRPr="00443A76">
        <w:rPr>
          <w:b/>
          <w:sz w:val="20"/>
          <w:szCs w:val="21"/>
          <w:lang w:eastAsia="zh-CN"/>
        </w:rPr>
        <w:t>Sensitivity:</w:t>
      </w:r>
    </w:p>
    <w:p w:rsidR="00D3271C" w:rsidRPr="00443A76" w:rsidRDefault="00D3271C" w:rsidP="00D3271C">
      <w:pPr>
        <w:pStyle w:val="ListParagraph"/>
        <w:numPr>
          <w:ilvl w:val="0"/>
          <w:numId w:val="7"/>
        </w:numPr>
        <w:rPr>
          <w:sz w:val="20"/>
          <w:szCs w:val="21"/>
          <w:lang w:eastAsia="zh-CN"/>
        </w:rPr>
      </w:pPr>
      <w:r w:rsidRPr="00443A76">
        <w:rPr>
          <w:sz w:val="20"/>
          <w:szCs w:val="21"/>
          <w:lang w:eastAsia="zh-CN"/>
        </w:rPr>
        <w:t>The sensitivity of the test is 50ng hHb/mL buffer or 50 µg hHb/g feces.</w:t>
      </w:r>
    </w:p>
    <w:p w:rsidR="00D3271C" w:rsidRPr="00443A76" w:rsidRDefault="00D3271C" w:rsidP="00D3271C">
      <w:pPr>
        <w:rPr>
          <w:sz w:val="10"/>
          <w:szCs w:val="10"/>
          <w:lang w:eastAsia="zh-CN"/>
        </w:rPr>
      </w:pPr>
    </w:p>
    <w:p w:rsidR="00D3271C" w:rsidRPr="00443A76" w:rsidRDefault="00D3271C" w:rsidP="00D3271C">
      <w:pPr>
        <w:ind w:left="720" w:hanging="360"/>
        <w:rPr>
          <w:b/>
          <w:sz w:val="20"/>
          <w:szCs w:val="21"/>
          <w:lang w:eastAsia="zh-CN"/>
        </w:rPr>
      </w:pPr>
      <w:r w:rsidRPr="00443A76">
        <w:rPr>
          <w:b/>
          <w:sz w:val="20"/>
          <w:szCs w:val="21"/>
          <w:lang w:eastAsia="zh-CN"/>
        </w:rPr>
        <w:t>Specificity:</w:t>
      </w:r>
    </w:p>
    <w:p w:rsidR="00D3271C" w:rsidRPr="00443A76" w:rsidRDefault="00D3271C" w:rsidP="00D3271C">
      <w:pPr>
        <w:pStyle w:val="ListParagraph"/>
        <w:numPr>
          <w:ilvl w:val="0"/>
          <w:numId w:val="7"/>
        </w:numPr>
        <w:rPr>
          <w:sz w:val="20"/>
          <w:szCs w:val="21"/>
          <w:lang w:eastAsia="zh-CN"/>
        </w:rPr>
      </w:pPr>
      <w:r w:rsidRPr="00443A76">
        <w:rPr>
          <w:sz w:val="20"/>
        </w:rPr>
        <w:t>Hemosure</w:t>
      </w:r>
      <w:r w:rsidRPr="00443A76">
        <w:rPr>
          <w:sz w:val="20"/>
          <w:szCs w:val="20"/>
          <w:vertAlign w:val="superscript"/>
        </w:rPr>
        <w:t>®</w:t>
      </w:r>
      <w:r w:rsidRPr="00443A76">
        <w:rPr>
          <w:sz w:val="20"/>
        </w:rPr>
        <w:t xml:space="preserve"> One </w:t>
      </w:r>
      <w:r w:rsidRPr="00443A76">
        <w:rPr>
          <w:sz w:val="20"/>
          <w:szCs w:val="21"/>
          <w:lang w:eastAsia="zh-CN"/>
        </w:rPr>
        <w:t>Step Immunological Fecal Occult Blood Test is specific for human hemoglobin.  Hemoglobin from horse, pigs, fish, beef, chicken, rabbit, rat, goat, and mouse do not react with </w:t>
      </w:r>
      <w:r w:rsidRPr="00443A76">
        <w:rPr>
          <w:sz w:val="20"/>
        </w:rPr>
        <w:t>Hemosure</w:t>
      </w:r>
      <w:r w:rsidRPr="00443A76">
        <w:rPr>
          <w:sz w:val="20"/>
          <w:szCs w:val="20"/>
          <w:vertAlign w:val="superscript"/>
        </w:rPr>
        <w:t>®</w:t>
      </w:r>
      <w:r w:rsidRPr="00443A76">
        <w:rPr>
          <w:sz w:val="20"/>
        </w:rPr>
        <w:t xml:space="preserve"> One </w:t>
      </w:r>
      <w:r w:rsidRPr="00443A76">
        <w:rPr>
          <w:sz w:val="20"/>
          <w:szCs w:val="21"/>
          <w:lang w:eastAsia="zh-CN"/>
        </w:rPr>
        <w:t xml:space="preserve">Step Immunological Fecal Occult Blood Test.  Aqueous extracts of broccoli, cantaloupe, cauliflower, horseradish, parsnip, raw turnip, and red radish were tested with and without human hemoglobin present in the samples.  Additionally, a 20mg/mL solution of horseradish peroxidase, with and without human hemoglobin present, was also tested.  No interference was observed.  Toilet bowl deodorizers/fresheners, cleaners also did not interfere with </w:t>
      </w:r>
      <w:r w:rsidRPr="00443A76">
        <w:rPr>
          <w:sz w:val="20"/>
        </w:rPr>
        <w:t>Hemosure</w:t>
      </w:r>
      <w:r w:rsidRPr="00443A76">
        <w:rPr>
          <w:sz w:val="20"/>
          <w:szCs w:val="20"/>
          <w:vertAlign w:val="superscript"/>
        </w:rPr>
        <w:t>®</w:t>
      </w:r>
      <w:r w:rsidRPr="00443A76">
        <w:rPr>
          <w:sz w:val="20"/>
        </w:rPr>
        <w:t xml:space="preserve"> One </w:t>
      </w:r>
      <w:r w:rsidRPr="00443A76">
        <w:rPr>
          <w:sz w:val="20"/>
          <w:szCs w:val="21"/>
          <w:lang w:eastAsia="zh-CN"/>
        </w:rPr>
        <w:t>Step Immunological Fecal Occult Blood Test.</w:t>
      </w:r>
    </w:p>
    <w:p w:rsidR="00D3271C" w:rsidRPr="00443A76" w:rsidRDefault="00D3271C" w:rsidP="00D3271C">
      <w:pPr>
        <w:pStyle w:val="ListParagraph"/>
        <w:rPr>
          <w:sz w:val="20"/>
          <w:szCs w:val="21"/>
          <w:lang w:eastAsia="zh-CN"/>
        </w:rPr>
      </w:pPr>
    </w:p>
    <w:p w:rsidR="00D3271C" w:rsidRPr="00443A76" w:rsidRDefault="00D3271C" w:rsidP="00D3271C">
      <w:pPr>
        <w:pStyle w:val="ListParagraph"/>
        <w:ind w:hanging="270"/>
        <w:rPr>
          <w:b/>
          <w:sz w:val="20"/>
          <w:szCs w:val="21"/>
          <w:lang w:eastAsia="zh-CN"/>
        </w:rPr>
      </w:pPr>
      <w:r w:rsidRPr="00443A76">
        <w:rPr>
          <w:b/>
          <w:sz w:val="20"/>
          <w:szCs w:val="21"/>
          <w:lang w:eastAsia="zh-CN"/>
        </w:rPr>
        <w:t>Accuracy:</w:t>
      </w:r>
    </w:p>
    <w:p w:rsidR="00D3271C" w:rsidRPr="00443A76" w:rsidRDefault="00D3271C" w:rsidP="00D3271C">
      <w:pPr>
        <w:pStyle w:val="ListParagraph"/>
        <w:numPr>
          <w:ilvl w:val="0"/>
          <w:numId w:val="7"/>
        </w:numPr>
        <w:rPr>
          <w:sz w:val="20"/>
          <w:szCs w:val="21"/>
          <w:lang w:eastAsia="zh-CN"/>
        </w:rPr>
      </w:pPr>
      <w:r w:rsidRPr="00443A76">
        <w:rPr>
          <w:sz w:val="20"/>
          <w:szCs w:val="21"/>
          <w:lang w:eastAsia="zh-CN"/>
        </w:rPr>
        <w:t>Reference Laboratory and Physicians Office Laboratory (POL) Studies One hundred (100) hHb-free feces extraction specimens collected in-house were divided into five (5) groups of 20 each. The five groups of extractions sample were spiked with hHb at the following concentrations: 0, 37.5, 50, 62.5 and 2,000 ng hHb/</w:t>
      </w:r>
      <w:proofErr w:type="spellStart"/>
      <w:r w:rsidRPr="00443A76">
        <w:rPr>
          <w:sz w:val="20"/>
          <w:szCs w:val="21"/>
          <w:lang w:eastAsia="zh-CN"/>
        </w:rPr>
        <w:t>mL.</w:t>
      </w:r>
      <w:proofErr w:type="spellEnd"/>
      <w:r w:rsidRPr="00443A76">
        <w:rPr>
          <w:sz w:val="20"/>
          <w:szCs w:val="21"/>
          <w:lang w:eastAsia="zh-CN"/>
        </w:rPr>
        <w:t xml:space="preserve"> The specimens were blinded and tested with </w:t>
      </w:r>
      <w:r w:rsidRPr="00443A76">
        <w:rPr>
          <w:sz w:val="20"/>
        </w:rPr>
        <w:t>Hemosure</w:t>
      </w:r>
      <w:r w:rsidRPr="00443A76">
        <w:rPr>
          <w:sz w:val="20"/>
          <w:szCs w:val="20"/>
          <w:vertAlign w:val="superscript"/>
        </w:rPr>
        <w:t>®</w:t>
      </w:r>
      <w:r w:rsidRPr="00443A76">
        <w:rPr>
          <w:sz w:val="20"/>
        </w:rPr>
        <w:t xml:space="preserve"> One </w:t>
      </w:r>
      <w:r w:rsidRPr="00443A76">
        <w:rPr>
          <w:sz w:val="20"/>
          <w:szCs w:val="21"/>
          <w:lang w:eastAsia="zh-CN"/>
        </w:rPr>
        <w:t xml:space="preserve">Step Immunological Fecal Occult Blood Test at a </w:t>
      </w:r>
      <w:proofErr w:type="spellStart"/>
      <w:r w:rsidRPr="00443A76">
        <w:rPr>
          <w:sz w:val="20"/>
          <w:szCs w:val="21"/>
          <w:lang w:eastAsia="zh-CN"/>
        </w:rPr>
        <w:t>Physicians</w:t>
      </w:r>
      <w:proofErr w:type="spellEnd"/>
      <w:r w:rsidRPr="00443A76">
        <w:rPr>
          <w:sz w:val="20"/>
          <w:szCs w:val="21"/>
          <w:lang w:eastAsia="zh-CN"/>
        </w:rPr>
        <w:t xml:space="preserve"> Office Laboratory and a Reference Laboratory. </w:t>
      </w:r>
    </w:p>
    <w:p w:rsidR="00D3271C" w:rsidRPr="00443A76" w:rsidRDefault="00D3271C" w:rsidP="00D3271C">
      <w:pPr>
        <w:rPr>
          <w:sz w:val="10"/>
          <w:szCs w:val="10"/>
          <w:lang w:eastAsia="zh-CN"/>
        </w:rPr>
      </w:pPr>
    </w:p>
    <w:p w:rsidR="00D3271C" w:rsidRPr="00443A76" w:rsidRDefault="00D3271C" w:rsidP="00D3271C">
      <w:pPr>
        <w:pStyle w:val="ListParagraph"/>
        <w:numPr>
          <w:ilvl w:val="0"/>
          <w:numId w:val="7"/>
        </w:numPr>
        <w:rPr>
          <w:sz w:val="20"/>
          <w:szCs w:val="21"/>
          <w:lang w:eastAsia="zh-CN"/>
        </w:rPr>
      </w:pPr>
      <w:r w:rsidRPr="00443A76">
        <w:rPr>
          <w:sz w:val="20"/>
          <w:szCs w:val="21"/>
          <w:lang w:eastAsia="zh-CN"/>
        </w:rPr>
        <w:t xml:space="preserve">The results obtained from the POL site, by persons with diverse education background and work experience, agree 97% with the expected results. The result obtained from the Reference Laboratory agreed 99% with expected. Overall, the accuracy of </w:t>
      </w:r>
      <w:r w:rsidRPr="00443A76">
        <w:rPr>
          <w:sz w:val="20"/>
        </w:rPr>
        <w:t>Hemosure</w:t>
      </w:r>
      <w:r w:rsidRPr="00443A76">
        <w:rPr>
          <w:sz w:val="20"/>
          <w:szCs w:val="20"/>
          <w:vertAlign w:val="superscript"/>
        </w:rPr>
        <w:t>®</w:t>
      </w:r>
      <w:r w:rsidRPr="00443A76">
        <w:rPr>
          <w:sz w:val="20"/>
        </w:rPr>
        <w:t xml:space="preserve"> One </w:t>
      </w:r>
      <w:r w:rsidRPr="00443A76">
        <w:rPr>
          <w:sz w:val="20"/>
          <w:szCs w:val="21"/>
          <w:lang w:eastAsia="zh-CN"/>
        </w:rPr>
        <w:t xml:space="preserve">Step Immunological Fecal Occult Blood Test is 97%. </w:t>
      </w:r>
    </w:p>
    <w:p w:rsidR="00D3271C" w:rsidRPr="00443A76" w:rsidRDefault="00D3271C" w:rsidP="00D3271C">
      <w:pPr>
        <w:ind w:leftChars="176" w:left="422" w:firstLine="9"/>
        <w:rPr>
          <w:sz w:val="20"/>
          <w:szCs w:val="21"/>
          <w:lang w:eastAsia="zh-CN"/>
        </w:rPr>
      </w:pPr>
    </w:p>
    <w:p w:rsidR="00D3271C" w:rsidRPr="00443A76" w:rsidRDefault="00D3271C" w:rsidP="00D3271C">
      <w:pPr>
        <w:rPr>
          <w:b/>
          <w:u w:val="single"/>
        </w:rPr>
      </w:pPr>
      <w:r w:rsidRPr="00443A76">
        <w:rPr>
          <w:b/>
          <w:u w:val="single"/>
        </w:rPr>
        <w:t>References</w:t>
      </w:r>
    </w:p>
    <w:p w:rsidR="00D3271C" w:rsidRPr="00443A76" w:rsidRDefault="00D3271C" w:rsidP="00D3271C">
      <w:pPr>
        <w:numPr>
          <w:ilvl w:val="0"/>
          <w:numId w:val="15"/>
        </w:numPr>
        <w:rPr>
          <w:i/>
          <w:sz w:val="20"/>
          <w:szCs w:val="21"/>
          <w:lang w:eastAsia="zh-CN"/>
        </w:rPr>
      </w:pPr>
      <w:r w:rsidRPr="00443A76">
        <w:rPr>
          <w:i/>
          <w:sz w:val="20"/>
          <w:szCs w:val="21"/>
          <w:lang w:eastAsia="zh-CN"/>
        </w:rPr>
        <w:t xml:space="preserve">Hemosure Pkg insert, Hemosure, Inc., El Monte, CA. Web: </w:t>
      </w:r>
      <w:hyperlink r:id="rId11" w:history="1">
        <w:r w:rsidRPr="00443A76">
          <w:rPr>
            <w:rStyle w:val="Hyperlink"/>
            <w:i/>
            <w:sz w:val="20"/>
            <w:szCs w:val="21"/>
            <w:lang w:eastAsia="zh-CN"/>
          </w:rPr>
          <w:t>www.hemosure.com</w:t>
        </w:r>
      </w:hyperlink>
      <w:r w:rsidRPr="00443A76">
        <w:rPr>
          <w:i/>
          <w:sz w:val="20"/>
          <w:szCs w:val="21"/>
          <w:u w:val="single"/>
          <w:lang w:eastAsia="zh-CN"/>
        </w:rPr>
        <w:t>.</w:t>
      </w:r>
    </w:p>
    <w:p w:rsidR="00D3271C" w:rsidRPr="00443A76" w:rsidRDefault="00D3271C" w:rsidP="00D3271C">
      <w:pPr>
        <w:numPr>
          <w:ilvl w:val="0"/>
          <w:numId w:val="15"/>
        </w:numPr>
        <w:rPr>
          <w:i/>
          <w:sz w:val="20"/>
          <w:szCs w:val="21"/>
          <w:lang w:eastAsia="zh-CN"/>
        </w:rPr>
      </w:pPr>
      <w:r w:rsidRPr="00443A76">
        <w:rPr>
          <w:i/>
          <w:sz w:val="20"/>
          <w:szCs w:val="21"/>
          <w:lang w:eastAsia="zh-CN"/>
        </w:rPr>
        <w:t>CLSI Hemosure iFOBT Procedure, prepared in accordance with guidelines recommended by CLSI Document GP2-A4.</w:t>
      </w:r>
    </w:p>
    <w:p w:rsidR="00D3271C" w:rsidRPr="00443A76" w:rsidRDefault="00D3271C" w:rsidP="00D3271C">
      <w:pPr>
        <w:numPr>
          <w:ilvl w:val="0"/>
          <w:numId w:val="15"/>
        </w:numPr>
        <w:rPr>
          <w:i/>
          <w:sz w:val="20"/>
          <w:szCs w:val="21"/>
          <w:lang w:eastAsia="zh-CN"/>
        </w:rPr>
      </w:pPr>
      <w:r w:rsidRPr="00443A76">
        <w:rPr>
          <w:i/>
          <w:sz w:val="20"/>
          <w:szCs w:val="21"/>
          <w:lang w:eastAsia="zh-CN"/>
        </w:rPr>
        <w:t>Adams, E.C., Layman K.M. Immunochemical confirmation of gastrointestinal bleeding.  Ann.ehn. Lab. Sci. 4:343; 1974.</w:t>
      </w:r>
    </w:p>
    <w:p w:rsidR="00D3271C" w:rsidRPr="00443A76" w:rsidRDefault="00D3271C" w:rsidP="00D3271C">
      <w:pPr>
        <w:numPr>
          <w:ilvl w:val="0"/>
          <w:numId w:val="15"/>
        </w:numPr>
        <w:rPr>
          <w:i/>
          <w:sz w:val="20"/>
          <w:szCs w:val="21"/>
          <w:lang w:eastAsia="zh-CN"/>
        </w:rPr>
      </w:pPr>
      <w:r w:rsidRPr="00443A76">
        <w:rPr>
          <w:i/>
          <w:sz w:val="20"/>
          <w:szCs w:val="21"/>
          <w:lang w:eastAsia="zh-CN"/>
        </w:rPr>
        <w:t xml:space="preserve"> Salto, H., et al.  An immunological occult blood test for mass screening of colorectal cancer by reverse-passive hemagglutination (RPI-IA).  Japanese J. Gastroenterology.  61:2831; 1984.</w:t>
      </w:r>
    </w:p>
    <w:p w:rsidR="00D3271C" w:rsidRPr="00443A76" w:rsidRDefault="00D3271C" w:rsidP="00D3271C">
      <w:pPr>
        <w:numPr>
          <w:ilvl w:val="0"/>
          <w:numId w:val="15"/>
        </w:numPr>
        <w:rPr>
          <w:i/>
          <w:sz w:val="20"/>
          <w:szCs w:val="21"/>
          <w:lang w:eastAsia="zh-CN"/>
        </w:rPr>
      </w:pPr>
      <w:r w:rsidRPr="00443A76">
        <w:rPr>
          <w:i/>
          <w:sz w:val="20"/>
          <w:szCs w:val="21"/>
          <w:lang w:eastAsia="zh-CN"/>
        </w:rPr>
        <w:t xml:space="preserve">Saito H. Screening for colorectal cancer by immunochemical fecal occult blood testing (Review). </w:t>
      </w:r>
      <w:proofErr w:type="spellStart"/>
      <w:r w:rsidRPr="00443A76">
        <w:rPr>
          <w:i/>
          <w:sz w:val="20"/>
          <w:szCs w:val="21"/>
          <w:lang w:eastAsia="zh-CN"/>
        </w:rPr>
        <w:t>Jpn</w:t>
      </w:r>
      <w:proofErr w:type="spellEnd"/>
      <w:r w:rsidRPr="00443A76">
        <w:rPr>
          <w:i/>
          <w:sz w:val="20"/>
          <w:szCs w:val="21"/>
          <w:lang w:eastAsia="zh-CN"/>
        </w:rPr>
        <w:t xml:space="preserve"> J Cancer Res 1996; 87:1011-102.</w:t>
      </w:r>
    </w:p>
    <w:p w:rsidR="00D3271C" w:rsidRPr="00443A76" w:rsidRDefault="00D3271C" w:rsidP="00D3271C">
      <w:pPr>
        <w:numPr>
          <w:ilvl w:val="0"/>
          <w:numId w:val="15"/>
        </w:numPr>
        <w:rPr>
          <w:i/>
          <w:sz w:val="20"/>
          <w:szCs w:val="21"/>
          <w:lang w:eastAsia="zh-CN"/>
        </w:rPr>
      </w:pPr>
      <w:proofErr w:type="spellStart"/>
      <w:r w:rsidRPr="00443A76">
        <w:rPr>
          <w:i/>
          <w:sz w:val="20"/>
          <w:szCs w:val="21"/>
          <w:lang w:eastAsia="zh-CN"/>
        </w:rPr>
        <w:t>Ribet</w:t>
      </w:r>
      <w:proofErr w:type="spellEnd"/>
      <w:r w:rsidRPr="00443A76">
        <w:rPr>
          <w:i/>
          <w:sz w:val="20"/>
          <w:szCs w:val="21"/>
          <w:lang w:eastAsia="zh-CN"/>
        </w:rPr>
        <w:t xml:space="preserve">, A., </w:t>
      </w:r>
      <w:proofErr w:type="spellStart"/>
      <w:r w:rsidRPr="00443A76">
        <w:rPr>
          <w:i/>
          <w:sz w:val="20"/>
          <w:szCs w:val="21"/>
          <w:lang w:eastAsia="zh-CN"/>
        </w:rPr>
        <w:t>Frexinos</w:t>
      </w:r>
      <w:proofErr w:type="spellEnd"/>
      <w:r w:rsidRPr="00443A76">
        <w:rPr>
          <w:i/>
          <w:sz w:val="20"/>
          <w:szCs w:val="21"/>
          <w:lang w:eastAsia="zh-CN"/>
        </w:rPr>
        <w:t xml:space="preserve">, J., and </w:t>
      </w:r>
      <w:proofErr w:type="spellStart"/>
      <w:r w:rsidRPr="00443A76">
        <w:rPr>
          <w:i/>
          <w:sz w:val="20"/>
          <w:szCs w:val="21"/>
          <w:lang w:eastAsia="zh-CN"/>
        </w:rPr>
        <w:t>Escourrou</w:t>
      </w:r>
      <w:proofErr w:type="spellEnd"/>
      <w:r w:rsidRPr="00443A76">
        <w:rPr>
          <w:i/>
          <w:sz w:val="20"/>
          <w:szCs w:val="21"/>
          <w:lang w:eastAsia="zh-CN"/>
        </w:rPr>
        <w:t>, J. “Occult-blood test and Colorectal Tumors.” Lancet, Vol. I (1980):417.</w:t>
      </w:r>
    </w:p>
    <w:p w:rsidR="00D3271C" w:rsidRPr="00443A76" w:rsidRDefault="00D3271C" w:rsidP="00D3271C">
      <w:pPr>
        <w:numPr>
          <w:ilvl w:val="0"/>
          <w:numId w:val="15"/>
        </w:numPr>
        <w:rPr>
          <w:i/>
          <w:sz w:val="20"/>
          <w:szCs w:val="21"/>
          <w:lang w:eastAsia="zh-CN"/>
        </w:rPr>
      </w:pPr>
      <w:r w:rsidRPr="00443A76">
        <w:rPr>
          <w:i/>
          <w:sz w:val="20"/>
          <w:szCs w:val="21"/>
          <w:lang w:eastAsia="zh-CN"/>
        </w:rPr>
        <w:t xml:space="preserve">Allison JB, </w:t>
      </w:r>
      <w:proofErr w:type="spellStart"/>
      <w:r w:rsidRPr="00443A76">
        <w:rPr>
          <w:i/>
          <w:sz w:val="20"/>
          <w:szCs w:val="21"/>
          <w:lang w:eastAsia="zh-CN"/>
        </w:rPr>
        <w:t>Takawa</w:t>
      </w:r>
      <w:proofErr w:type="spellEnd"/>
      <w:r w:rsidRPr="00443A76">
        <w:rPr>
          <w:i/>
          <w:sz w:val="20"/>
          <w:szCs w:val="21"/>
          <w:lang w:eastAsia="zh-CN"/>
        </w:rPr>
        <w:t xml:space="preserve"> IS, Ransom LJ, Adrian </w:t>
      </w:r>
      <w:smartTag w:uri="urn:schemas-microsoft-com:office:smarttags" w:element="place">
        <w:smartTag w:uri="urn:schemas-microsoft-com:office:smarttags" w:element="State">
          <w:r w:rsidRPr="00443A76">
            <w:rPr>
              <w:i/>
              <w:sz w:val="20"/>
              <w:szCs w:val="21"/>
              <w:lang w:eastAsia="zh-CN"/>
            </w:rPr>
            <w:t>AL</w:t>
          </w:r>
        </w:smartTag>
      </w:smartTag>
      <w:r w:rsidRPr="00443A76">
        <w:rPr>
          <w:i/>
          <w:sz w:val="20"/>
          <w:szCs w:val="21"/>
          <w:lang w:eastAsia="zh-CN"/>
        </w:rPr>
        <w:t xml:space="preserve">. A comparison of fecal occult blood test for colorectal –cancer screening. N </w:t>
      </w:r>
      <w:proofErr w:type="spellStart"/>
      <w:r w:rsidRPr="00443A76">
        <w:rPr>
          <w:i/>
          <w:sz w:val="20"/>
          <w:szCs w:val="21"/>
          <w:lang w:eastAsia="zh-CN"/>
        </w:rPr>
        <w:t>Engl</w:t>
      </w:r>
      <w:proofErr w:type="spellEnd"/>
      <w:r w:rsidRPr="00443A76">
        <w:rPr>
          <w:i/>
          <w:sz w:val="20"/>
          <w:szCs w:val="21"/>
          <w:lang w:eastAsia="zh-CN"/>
        </w:rPr>
        <w:t xml:space="preserve"> J Med 1996; 334:155-159.</w:t>
      </w:r>
    </w:p>
    <w:p w:rsidR="00D3271C" w:rsidRPr="00D3271C" w:rsidRDefault="00D3271C" w:rsidP="00D3271C"/>
    <w:sectPr w:rsidR="00D3271C" w:rsidRPr="00D3271C" w:rsidSect="00496498">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662E" w:rsidRDefault="0033662E" w:rsidP="00AD3770">
      <w:r>
        <w:separator/>
      </w:r>
    </w:p>
  </w:endnote>
  <w:endnote w:type="continuationSeparator" w:id="1">
    <w:p w:rsidR="0033662E" w:rsidRDefault="0033662E" w:rsidP="00AD37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3E8" w:rsidRDefault="00BF43E8" w:rsidP="00224E72">
    <w:pPr>
      <w:pStyle w:val="Footer"/>
    </w:pPr>
    <w:bookmarkStart w:id="0" w:name="_GoBack"/>
    <w:bookmarkEnd w:id="0"/>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662E" w:rsidRDefault="0033662E" w:rsidP="00AD3770">
      <w:r>
        <w:separator/>
      </w:r>
    </w:p>
  </w:footnote>
  <w:footnote w:type="continuationSeparator" w:id="1">
    <w:p w:rsidR="0033662E" w:rsidRDefault="0033662E" w:rsidP="00AD37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918" w:rsidRDefault="00763284">
    <w:pPr>
      <w:pStyle w:val="Header"/>
      <w:rPr>
        <w:b/>
        <w:bCs/>
      </w:rPr>
    </w:pPr>
    <w:r>
      <w:rPr>
        <w:noProof/>
      </w:rPr>
      <w:drawing>
        <wp:anchor distT="0" distB="0" distL="114300" distR="114300" simplePos="0" relativeHeight="251657728" behindDoc="0" locked="0" layoutInCell="1" allowOverlap="1">
          <wp:simplePos x="0" y="0"/>
          <wp:positionH relativeFrom="column">
            <wp:posOffset>-85725</wp:posOffset>
          </wp:positionH>
          <wp:positionV relativeFrom="paragraph">
            <wp:posOffset>9525</wp:posOffset>
          </wp:positionV>
          <wp:extent cx="2400300" cy="300990"/>
          <wp:effectExtent l="19050" t="0" r="0" b="0"/>
          <wp:wrapNone/>
          <wp:docPr id="1" name="Picture 2" descr="Logo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lr"/>
                  <pic:cNvPicPr>
                    <a:picLocks noChangeAspect="1" noChangeArrowheads="1"/>
                  </pic:cNvPicPr>
                </pic:nvPicPr>
                <pic:blipFill>
                  <a:blip r:embed="rId1"/>
                  <a:srcRect/>
                  <a:stretch>
                    <a:fillRect/>
                  </a:stretch>
                </pic:blipFill>
                <pic:spPr bwMode="auto">
                  <a:xfrm>
                    <a:off x="0" y="0"/>
                    <a:ext cx="2400300" cy="300990"/>
                  </a:xfrm>
                  <a:prstGeom prst="rect">
                    <a:avLst/>
                  </a:prstGeom>
                  <a:noFill/>
                  <a:ln w="9525">
                    <a:noFill/>
                    <a:miter lim="800000"/>
                    <a:headEnd/>
                    <a:tailEnd/>
                  </a:ln>
                </pic:spPr>
              </pic:pic>
            </a:graphicData>
          </a:graphic>
        </wp:anchor>
      </w:drawing>
    </w:r>
    <w:r w:rsidR="005B6918">
      <w:t xml:space="preserve">                                                                                                                             </w:t>
    </w:r>
    <w:r w:rsidR="00055A86">
      <w:t xml:space="preserve">                              </w:t>
    </w:r>
    <w:r w:rsidR="005B6918">
      <w:t xml:space="preserve">      Page </w:t>
    </w:r>
    <w:r w:rsidR="00F4089E">
      <w:rPr>
        <w:b/>
        <w:bCs/>
      </w:rPr>
      <w:fldChar w:fldCharType="begin"/>
    </w:r>
    <w:r w:rsidR="005B6918">
      <w:rPr>
        <w:b/>
        <w:bCs/>
      </w:rPr>
      <w:instrText xml:space="preserve"> PAGE </w:instrText>
    </w:r>
    <w:r w:rsidR="00F4089E">
      <w:rPr>
        <w:b/>
        <w:bCs/>
      </w:rPr>
      <w:fldChar w:fldCharType="separate"/>
    </w:r>
    <w:r w:rsidR="00150AC4">
      <w:rPr>
        <w:b/>
        <w:bCs/>
        <w:noProof/>
      </w:rPr>
      <w:t>3</w:t>
    </w:r>
    <w:r w:rsidR="00F4089E">
      <w:rPr>
        <w:b/>
        <w:bCs/>
      </w:rPr>
      <w:fldChar w:fldCharType="end"/>
    </w:r>
    <w:r w:rsidR="005B6918">
      <w:t xml:space="preserve"> of </w:t>
    </w:r>
    <w:r w:rsidR="00F4089E">
      <w:rPr>
        <w:b/>
        <w:bCs/>
      </w:rPr>
      <w:fldChar w:fldCharType="begin"/>
    </w:r>
    <w:r w:rsidR="005B6918">
      <w:rPr>
        <w:b/>
        <w:bCs/>
      </w:rPr>
      <w:instrText xml:space="preserve"> NUMPAGES  </w:instrText>
    </w:r>
    <w:r w:rsidR="00F4089E">
      <w:rPr>
        <w:b/>
        <w:bCs/>
      </w:rPr>
      <w:fldChar w:fldCharType="separate"/>
    </w:r>
    <w:r w:rsidR="00150AC4">
      <w:rPr>
        <w:b/>
        <w:bCs/>
        <w:noProof/>
      </w:rPr>
      <w:t>4</w:t>
    </w:r>
    <w:r w:rsidR="00F4089E">
      <w:rPr>
        <w:b/>
        <w:bCs/>
      </w:rPr>
      <w:fldChar w:fldCharType="end"/>
    </w:r>
  </w:p>
  <w:p w:rsidR="005B6918" w:rsidRDefault="005B6918">
    <w:pPr>
      <w:pStyle w:val="Header"/>
    </w:pPr>
  </w:p>
  <w:tbl>
    <w:tblPr>
      <w:tblW w:w="11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5514"/>
      <w:gridCol w:w="3144"/>
      <w:gridCol w:w="2371"/>
    </w:tblGrid>
    <w:tr w:rsidR="00A9075C" w:rsidTr="00A9075C">
      <w:trPr>
        <w:trHeight w:val="570"/>
      </w:trPr>
      <w:tc>
        <w:tcPr>
          <w:tcW w:w="8658" w:type="dxa"/>
          <w:gridSpan w:val="2"/>
          <w:shd w:val="clear" w:color="auto" w:fill="E0E0E0"/>
        </w:tcPr>
        <w:p w:rsidR="00A9075C" w:rsidRDefault="00A9075C" w:rsidP="00EE2219">
          <w:pPr>
            <w:rPr>
              <w:b/>
              <w:sz w:val="28"/>
              <w:szCs w:val="28"/>
            </w:rPr>
          </w:pPr>
          <w:r w:rsidRPr="00CA27B4">
            <w:rPr>
              <w:b/>
              <w:sz w:val="28"/>
              <w:szCs w:val="28"/>
            </w:rPr>
            <w:t>Procedure</w:t>
          </w:r>
        </w:p>
        <w:p w:rsidR="00D3271C" w:rsidRPr="005B6918" w:rsidRDefault="00055A86" w:rsidP="00702021">
          <w:pPr>
            <w:rPr>
              <w:b/>
              <w:sz w:val="28"/>
              <w:szCs w:val="28"/>
            </w:rPr>
          </w:pPr>
          <w:r>
            <w:rPr>
              <w:b/>
              <w:sz w:val="28"/>
              <w:szCs w:val="28"/>
            </w:rPr>
            <w:t>Feca</w:t>
          </w:r>
          <w:r w:rsidR="00702021">
            <w:rPr>
              <w:b/>
              <w:sz w:val="28"/>
              <w:szCs w:val="28"/>
            </w:rPr>
            <w:t>l Occult Blood, Hemosure iFOBT</w:t>
          </w:r>
        </w:p>
      </w:tc>
      <w:tc>
        <w:tcPr>
          <w:tcW w:w="2371" w:type="dxa"/>
          <w:shd w:val="clear" w:color="auto" w:fill="E0E0E0"/>
        </w:tcPr>
        <w:p w:rsidR="00A9075C" w:rsidRPr="00055A86" w:rsidRDefault="00A9075C" w:rsidP="00EE2219">
          <w:pPr>
            <w:rPr>
              <w:b/>
            </w:rPr>
          </w:pPr>
          <w:r w:rsidRPr="00055A86">
            <w:rPr>
              <w:b/>
            </w:rPr>
            <w:t>CODE:</w:t>
          </w:r>
        </w:p>
        <w:p w:rsidR="00055A86" w:rsidRPr="005B6918" w:rsidRDefault="00055A86" w:rsidP="00EE2219">
          <w:pPr>
            <w:rPr>
              <w:b/>
              <w:sz w:val="28"/>
              <w:szCs w:val="28"/>
            </w:rPr>
          </w:pPr>
          <w:r>
            <w:rPr>
              <w:b/>
              <w:sz w:val="28"/>
              <w:szCs w:val="28"/>
            </w:rPr>
            <w:t>OCCFE</w:t>
          </w:r>
        </w:p>
      </w:tc>
    </w:tr>
    <w:tr w:rsidR="005B6918" w:rsidTr="00496498">
      <w:trPr>
        <w:trHeight w:val="368"/>
      </w:trPr>
      <w:tc>
        <w:tcPr>
          <w:tcW w:w="5514" w:type="dxa"/>
          <w:shd w:val="clear" w:color="auto" w:fill="E0E0E0"/>
        </w:tcPr>
        <w:p w:rsidR="005B6918" w:rsidRPr="00914A80" w:rsidRDefault="005B6918" w:rsidP="00EE2219">
          <w:pPr>
            <w:rPr>
              <w:b/>
            </w:rPr>
          </w:pPr>
          <w:r w:rsidRPr="00914A80">
            <w:rPr>
              <w:b/>
            </w:rPr>
            <w:t>Ridgeview</w:t>
          </w:r>
          <w:r w:rsidR="00055A86">
            <w:rPr>
              <w:b/>
            </w:rPr>
            <w:t xml:space="preserve"> </w:t>
          </w:r>
          <w:r w:rsidRPr="00914A80">
            <w:rPr>
              <w:b/>
            </w:rPr>
            <w:t>Medical</w:t>
          </w:r>
          <w:r w:rsidR="00055A86">
            <w:rPr>
              <w:b/>
            </w:rPr>
            <w:t xml:space="preserve"> </w:t>
          </w:r>
          <w:r w:rsidRPr="00914A80">
            <w:rPr>
              <w:b/>
            </w:rPr>
            <w:t>Center Laboratory Services</w:t>
          </w:r>
        </w:p>
      </w:tc>
      <w:tc>
        <w:tcPr>
          <w:tcW w:w="5515" w:type="dxa"/>
          <w:gridSpan w:val="2"/>
          <w:shd w:val="clear" w:color="auto" w:fill="E0E0E0"/>
        </w:tcPr>
        <w:p w:rsidR="005B6918" w:rsidRDefault="005B6918" w:rsidP="00EE2219">
          <w:pPr>
            <w:rPr>
              <w:b/>
            </w:rPr>
          </w:pPr>
          <w:r w:rsidRPr="00914A80">
            <w:rPr>
              <w:b/>
            </w:rPr>
            <w:t>Department of Origin</w:t>
          </w:r>
        </w:p>
        <w:p w:rsidR="00055A86" w:rsidRPr="00914A80" w:rsidRDefault="00055A86" w:rsidP="00EE2219">
          <w:pPr>
            <w:rPr>
              <w:b/>
            </w:rPr>
          </w:pPr>
          <w:r>
            <w:rPr>
              <w:b/>
            </w:rPr>
            <w:t>UA</w:t>
          </w:r>
        </w:p>
      </w:tc>
    </w:tr>
  </w:tbl>
  <w:p w:rsidR="005B6918" w:rsidRPr="005B6918" w:rsidRDefault="005B6918" w:rsidP="005B691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C0475"/>
    <w:multiLevelType w:val="hybridMultilevel"/>
    <w:tmpl w:val="34ACF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5F15C6"/>
    <w:multiLevelType w:val="hybridMultilevel"/>
    <w:tmpl w:val="DF7650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45E12FF"/>
    <w:multiLevelType w:val="multilevel"/>
    <w:tmpl w:val="E7A68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5620B7"/>
    <w:multiLevelType w:val="hybridMultilevel"/>
    <w:tmpl w:val="BEF66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897141"/>
    <w:multiLevelType w:val="hybridMultilevel"/>
    <w:tmpl w:val="4DA8B57E"/>
    <w:lvl w:ilvl="0" w:tplc="E9E46EC2">
      <w:start w:val="1"/>
      <w:numFmt w:val="decimal"/>
      <w:lvlText w:val="%1."/>
      <w:lvlJc w:val="left"/>
      <w:pPr>
        <w:tabs>
          <w:tab w:val="num" w:pos="432"/>
        </w:tabs>
        <w:ind w:left="432" w:hanging="432"/>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270F197A"/>
    <w:multiLevelType w:val="multilevel"/>
    <w:tmpl w:val="23362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062D0C"/>
    <w:multiLevelType w:val="hybridMultilevel"/>
    <w:tmpl w:val="D6CE3404"/>
    <w:lvl w:ilvl="0" w:tplc="E9E46EC2">
      <w:start w:val="1"/>
      <w:numFmt w:val="decimal"/>
      <w:lvlText w:val="%1."/>
      <w:lvlJc w:val="left"/>
      <w:pPr>
        <w:tabs>
          <w:tab w:val="num" w:pos="432"/>
        </w:tabs>
        <w:ind w:left="432" w:hanging="432"/>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47F07948"/>
    <w:multiLevelType w:val="hybridMultilevel"/>
    <w:tmpl w:val="D94CFA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601115"/>
    <w:multiLevelType w:val="hybridMultilevel"/>
    <w:tmpl w:val="AE988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651B14"/>
    <w:multiLevelType w:val="hybridMultilevel"/>
    <w:tmpl w:val="FF8AEF32"/>
    <w:lvl w:ilvl="0" w:tplc="A85C3A8A">
      <w:start w:val="1"/>
      <w:numFmt w:val="bullet"/>
      <w:lvlText w:val=""/>
      <w:lvlJc w:val="left"/>
      <w:pPr>
        <w:tabs>
          <w:tab w:val="num" w:pos="780"/>
        </w:tabs>
        <w:ind w:left="78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CD76A9A"/>
    <w:multiLevelType w:val="hybridMultilevel"/>
    <w:tmpl w:val="BAB444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C43990"/>
    <w:multiLevelType w:val="hybridMultilevel"/>
    <w:tmpl w:val="2EEEB888"/>
    <w:lvl w:ilvl="0" w:tplc="8ED06EDA">
      <w:start w:val="1"/>
      <w:numFmt w:val="decimal"/>
      <w:lvlText w:val="%1)"/>
      <w:lvlJc w:val="left"/>
      <w:pPr>
        <w:tabs>
          <w:tab w:val="num" w:pos="432"/>
        </w:tabs>
        <w:ind w:left="432" w:hanging="432"/>
      </w:pPr>
      <w:rPr>
        <w:rFonts w:hint="default"/>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6FC8142F"/>
    <w:multiLevelType w:val="multilevel"/>
    <w:tmpl w:val="E6366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62E1DC2"/>
    <w:multiLevelType w:val="hybridMultilevel"/>
    <w:tmpl w:val="C20CED38"/>
    <w:lvl w:ilvl="0" w:tplc="A85C3A8A">
      <w:start w:val="1"/>
      <w:numFmt w:val="bullet"/>
      <w:lvlText w:val=""/>
      <w:lvlJc w:val="left"/>
      <w:pPr>
        <w:tabs>
          <w:tab w:val="num" w:pos="780"/>
        </w:tabs>
        <w:ind w:left="78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DED309C"/>
    <w:multiLevelType w:val="hybridMultilevel"/>
    <w:tmpl w:val="29BA3F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2"/>
  </w:num>
  <w:num w:numId="3">
    <w:abstractNumId w:val="12"/>
  </w:num>
  <w:num w:numId="4">
    <w:abstractNumId w:val="3"/>
  </w:num>
  <w:num w:numId="5">
    <w:abstractNumId w:val="13"/>
  </w:num>
  <w:num w:numId="6">
    <w:abstractNumId w:val="9"/>
  </w:num>
  <w:num w:numId="7">
    <w:abstractNumId w:val="8"/>
  </w:num>
  <w:num w:numId="8">
    <w:abstractNumId w:val="0"/>
  </w:num>
  <w:num w:numId="9">
    <w:abstractNumId w:val="10"/>
  </w:num>
  <w:num w:numId="10">
    <w:abstractNumId w:val="7"/>
  </w:num>
  <w:num w:numId="11">
    <w:abstractNumId w:val="1"/>
  </w:num>
  <w:num w:numId="12">
    <w:abstractNumId w:val="14"/>
  </w:num>
  <w:num w:numId="13">
    <w:abstractNumId w:val="11"/>
  </w:num>
  <w:num w:numId="14">
    <w:abstractNumId w:val="6"/>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hdrShapeDefaults>
    <o:shapedefaults v:ext="edit" spidmax="5122"/>
  </w:hdrShapeDefaults>
  <w:footnotePr>
    <w:footnote w:id="0"/>
    <w:footnote w:id="1"/>
  </w:footnotePr>
  <w:endnotePr>
    <w:endnote w:id="0"/>
    <w:endnote w:id="1"/>
  </w:endnotePr>
  <w:compat/>
  <w:rsids>
    <w:rsidRoot w:val="00055A86"/>
    <w:rsid w:val="00055A86"/>
    <w:rsid w:val="00142A32"/>
    <w:rsid w:val="00145EB3"/>
    <w:rsid w:val="00150AC4"/>
    <w:rsid w:val="001A7792"/>
    <w:rsid w:val="00224E72"/>
    <w:rsid w:val="00284D43"/>
    <w:rsid w:val="0033662E"/>
    <w:rsid w:val="00496498"/>
    <w:rsid w:val="00545D0A"/>
    <w:rsid w:val="00583080"/>
    <w:rsid w:val="005B6918"/>
    <w:rsid w:val="00702021"/>
    <w:rsid w:val="00763284"/>
    <w:rsid w:val="00952249"/>
    <w:rsid w:val="00A2752D"/>
    <w:rsid w:val="00A374B8"/>
    <w:rsid w:val="00A9075C"/>
    <w:rsid w:val="00AD3770"/>
    <w:rsid w:val="00B46D36"/>
    <w:rsid w:val="00BF43E8"/>
    <w:rsid w:val="00D3271C"/>
    <w:rsid w:val="00E2451D"/>
    <w:rsid w:val="00EE2219"/>
    <w:rsid w:val="00F408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71C"/>
    <w:rPr>
      <w:rFonts w:ascii="Times New Roman" w:eastAsia="Times New Roman" w:hAnsi="Times New Roman"/>
      <w:sz w:val="24"/>
      <w:szCs w:val="24"/>
    </w:rPr>
  </w:style>
  <w:style w:type="paragraph" w:styleId="Heading1">
    <w:name w:val="heading 1"/>
    <w:basedOn w:val="Normal"/>
    <w:next w:val="Normal"/>
    <w:link w:val="Heading1Char"/>
    <w:qFormat/>
    <w:rsid w:val="00D3271C"/>
    <w:pPr>
      <w:keepNext/>
      <w:widowControl w:val="0"/>
      <w:autoSpaceDE w:val="0"/>
      <w:autoSpaceDN w:val="0"/>
      <w:adjustRightInd w:val="0"/>
      <w:jc w:val="center"/>
      <w:outlineLvl w:val="0"/>
    </w:pPr>
    <w:rPr>
      <w:rFonts w:ascii="Arial" w:eastAsia="PMingLiU" w:hAnsi="Arial"/>
      <w:b/>
      <w:bCs/>
      <w:color w:val="00000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770"/>
    <w:pPr>
      <w:tabs>
        <w:tab w:val="center" w:pos="4680"/>
        <w:tab w:val="right" w:pos="9360"/>
      </w:tabs>
    </w:pPr>
  </w:style>
  <w:style w:type="character" w:customStyle="1" w:styleId="HeaderChar">
    <w:name w:val="Header Char"/>
    <w:basedOn w:val="DefaultParagraphFont"/>
    <w:link w:val="Header"/>
    <w:uiPriority w:val="99"/>
    <w:rsid w:val="00AD3770"/>
  </w:style>
  <w:style w:type="paragraph" w:styleId="Footer">
    <w:name w:val="footer"/>
    <w:basedOn w:val="Normal"/>
    <w:link w:val="FooterChar"/>
    <w:unhideWhenUsed/>
    <w:rsid w:val="00AD3770"/>
    <w:pPr>
      <w:tabs>
        <w:tab w:val="center" w:pos="4680"/>
        <w:tab w:val="right" w:pos="9360"/>
      </w:tabs>
    </w:pPr>
  </w:style>
  <w:style w:type="character" w:customStyle="1" w:styleId="FooterChar">
    <w:name w:val="Footer Char"/>
    <w:basedOn w:val="DefaultParagraphFont"/>
    <w:link w:val="Footer"/>
    <w:rsid w:val="00AD3770"/>
  </w:style>
  <w:style w:type="character" w:styleId="PlaceholderText">
    <w:name w:val="Placeholder Text"/>
    <w:basedOn w:val="DefaultParagraphFont"/>
    <w:uiPriority w:val="99"/>
    <w:semiHidden/>
    <w:rsid w:val="00AD3770"/>
    <w:rPr>
      <w:color w:val="808080"/>
    </w:rPr>
  </w:style>
  <w:style w:type="paragraph" w:styleId="BalloonText">
    <w:name w:val="Balloon Text"/>
    <w:basedOn w:val="Normal"/>
    <w:link w:val="BalloonTextChar"/>
    <w:uiPriority w:val="99"/>
    <w:semiHidden/>
    <w:unhideWhenUsed/>
    <w:rsid w:val="00AD3770"/>
    <w:rPr>
      <w:rFonts w:ascii="Tahoma" w:hAnsi="Tahoma" w:cs="Tahoma"/>
      <w:sz w:val="16"/>
      <w:szCs w:val="16"/>
    </w:rPr>
  </w:style>
  <w:style w:type="character" w:customStyle="1" w:styleId="BalloonTextChar">
    <w:name w:val="Balloon Text Char"/>
    <w:basedOn w:val="DefaultParagraphFont"/>
    <w:link w:val="BalloonText"/>
    <w:uiPriority w:val="99"/>
    <w:semiHidden/>
    <w:rsid w:val="00AD3770"/>
    <w:rPr>
      <w:rFonts w:ascii="Tahoma" w:hAnsi="Tahoma" w:cs="Tahoma"/>
      <w:sz w:val="16"/>
      <w:szCs w:val="16"/>
    </w:rPr>
  </w:style>
  <w:style w:type="character" w:styleId="Hyperlink">
    <w:name w:val="Hyperlink"/>
    <w:basedOn w:val="DefaultParagraphFont"/>
    <w:uiPriority w:val="99"/>
    <w:unhideWhenUsed/>
    <w:rsid w:val="00AD3770"/>
    <w:rPr>
      <w:color w:val="0000FF"/>
      <w:u w:val="single"/>
    </w:rPr>
  </w:style>
  <w:style w:type="paragraph" w:styleId="NormalWeb">
    <w:name w:val="Normal (Web)"/>
    <w:basedOn w:val="Normal"/>
    <w:uiPriority w:val="99"/>
    <w:semiHidden/>
    <w:unhideWhenUsed/>
    <w:rsid w:val="00AD3770"/>
    <w:pPr>
      <w:spacing w:before="100" w:beforeAutospacing="1" w:after="100" w:afterAutospacing="1"/>
    </w:pPr>
  </w:style>
  <w:style w:type="table" w:styleId="TableGrid">
    <w:name w:val="Table Grid"/>
    <w:basedOn w:val="TableNormal"/>
    <w:uiPriority w:val="59"/>
    <w:rsid w:val="00B46D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D3271C"/>
    <w:pPr>
      <w:widowControl w:val="0"/>
      <w:autoSpaceDE w:val="0"/>
      <w:autoSpaceDN w:val="0"/>
      <w:adjustRightInd w:val="0"/>
    </w:pPr>
    <w:rPr>
      <w:rFonts w:ascii="Arial" w:eastAsia="PMingLiU" w:hAnsi="Arial"/>
      <w:color w:val="000000"/>
      <w:sz w:val="20"/>
      <w:szCs w:val="20"/>
      <w:lang/>
    </w:rPr>
  </w:style>
  <w:style w:type="character" w:customStyle="1" w:styleId="BodyTextChar">
    <w:name w:val="Body Text Char"/>
    <w:basedOn w:val="DefaultParagraphFont"/>
    <w:link w:val="BodyText"/>
    <w:rsid w:val="00D3271C"/>
    <w:rPr>
      <w:rFonts w:ascii="Arial" w:eastAsia="PMingLiU" w:hAnsi="Arial" w:cs="Times New Roman"/>
      <w:color w:val="000000"/>
      <w:sz w:val="20"/>
      <w:szCs w:val="20"/>
      <w:lang/>
    </w:rPr>
  </w:style>
  <w:style w:type="character" w:customStyle="1" w:styleId="Heading1Char">
    <w:name w:val="Heading 1 Char"/>
    <w:basedOn w:val="DefaultParagraphFont"/>
    <w:link w:val="Heading1"/>
    <w:rsid w:val="00D3271C"/>
    <w:rPr>
      <w:rFonts w:ascii="Arial" w:eastAsia="PMingLiU" w:hAnsi="Arial" w:cs="Times New Roman"/>
      <w:b/>
      <w:bCs/>
      <w:color w:val="000000"/>
      <w:sz w:val="24"/>
      <w:szCs w:val="24"/>
      <w:lang/>
    </w:rPr>
  </w:style>
  <w:style w:type="paragraph" w:styleId="ListParagraph">
    <w:name w:val="List Paragraph"/>
    <w:basedOn w:val="Normal"/>
    <w:uiPriority w:val="34"/>
    <w:qFormat/>
    <w:rsid w:val="00D3271C"/>
    <w:pPr>
      <w:ind w:left="720"/>
      <w:contextualSpacing/>
    </w:pPr>
  </w:style>
  <w:style w:type="paragraph" w:customStyle="1" w:styleId="Pa1">
    <w:name w:val="Pa1"/>
    <w:basedOn w:val="Normal"/>
    <w:next w:val="Normal"/>
    <w:rsid w:val="00D3271C"/>
    <w:pPr>
      <w:autoSpaceDE w:val="0"/>
      <w:autoSpaceDN w:val="0"/>
      <w:adjustRightInd w:val="0"/>
      <w:spacing w:line="157" w:lineRule="atLeast"/>
    </w:pPr>
  </w:style>
  <w:style w:type="paragraph" w:styleId="Caption">
    <w:name w:val="caption"/>
    <w:basedOn w:val="Normal"/>
    <w:next w:val="Normal"/>
    <w:qFormat/>
    <w:rsid w:val="00D3271C"/>
    <w:pPr>
      <w:widowControl w:val="0"/>
      <w:autoSpaceDE w:val="0"/>
      <w:autoSpaceDN w:val="0"/>
      <w:adjustRightInd w:val="0"/>
      <w:jc w:val="both"/>
    </w:pPr>
    <w:rPr>
      <w:rFonts w:ascii="Arial" w:eastAsia="PMingLiU" w:hAnsi="Arial" w:cs="Arial"/>
      <w:b/>
      <w:bCs/>
      <w:color w:val="000000"/>
    </w:rPr>
  </w:style>
</w:styles>
</file>

<file path=word/webSettings.xml><?xml version="1.0" encoding="utf-8"?>
<w:webSettings xmlns:r="http://schemas.openxmlformats.org/officeDocument/2006/relationships" xmlns:w="http://schemas.openxmlformats.org/wordprocessingml/2006/main">
  <w:divs>
    <w:div w:id="213601748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93062671">
          <w:marLeft w:val="0"/>
          <w:marRight w:val="0"/>
          <w:marTop w:val="0"/>
          <w:marBottom w:val="0"/>
          <w:divBdr>
            <w:top w:val="none" w:sz="0" w:space="0" w:color="auto"/>
            <w:left w:val="none" w:sz="0" w:space="0" w:color="auto"/>
            <w:bottom w:val="none" w:sz="0" w:space="0" w:color="auto"/>
            <w:right w:val="none" w:sz="0" w:space="0" w:color="auto"/>
          </w:divBdr>
        </w:div>
        <w:div w:id="500241050">
          <w:marLeft w:val="0"/>
          <w:marRight w:val="0"/>
          <w:marTop w:val="0"/>
          <w:marBottom w:val="0"/>
          <w:divBdr>
            <w:top w:val="none" w:sz="0" w:space="0" w:color="auto"/>
            <w:left w:val="none" w:sz="0" w:space="0" w:color="auto"/>
            <w:bottom w:val="none" w:sz="0" w:space="0" w:color="auto"/>
            <w:right w:val="none" w:sz="0" w:space="0" w:color="auto"/>
          </w:divBdr>
        </w:div>
        <w:div w:id="520900183">
          <w:marLeft w:val="0"/>
          <w:marRight w:val="0"/>
          <w:marTop w:val="0"/>
          <w:marBottom w:val="0"/>
          <w:divBdr>
            <w:top w:val="none" w:sz="0" w:space="0" w:color="auto"/>
            <w:left w:val="none" w:sz="0" w:space="0" w:color="auto"/>
            <w:bottom w:val="none" w:sz="0" w:space="0" w:color="auto"/>
            <w:right w:val="none" w:sz="0" w:space="0" w:color="auto"/>
          </w:divBdr>
        </w:div>
        <w:div w:id="880363459">
          <w:marLeft w:val="0"/>
          <w:marRight w:val="0"/>
          <w:marTop w:val="0"/>
          <w:marBottom w:val="0"/>
          <w:divBdr>
            <w:top w:val="none" w:sz="0" w:space="0" w:color="auto"/>
            <w:left w:val="none" w:sz="0" w:space="0" w:color="auto"/>
            <w:bottom w:val="none" w:sz="0" w:space="0" w:color="auto"/>
            <w:right w:val="none" w:sz="0" w:space="0" w:color="auto"/>
          </w:divBdr>
        </w:div>
        <w:div w:id="1837842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mosur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nt%20Management%20Project\RMC%20Doc%20TEMPLATE%20%232%20with%20CO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1A580-D424-4F63-BE32-2727BF079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RMC Doc TEMPLATE #2 with CODE</Template>
  <TotalTime>2</TotalTime>
  <Pages>4</Pages>
  <Words>1440</Words>
  <Characters>8208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9629</CharactersWithSpaces>
  <SharedDoc>false</SharedDoc>
  <HLinks>
    <vt:vector size="6" baseType="variant">
      <vt:variant>
        <vt:i4>4259908</vt:i4>
      </vt:variant>
      <vt:variant>
        <vt:i4>6</vt:i4>
      </vt:variant>
      <vt:variant>
        <vt:i4>0</vt:i4>
      </vt:variant>
      <vt:variant>
        <vt:i4>5</vt:i4>
      </vt:variant>
      <vt:variant>
        <vt:lpwstr>http://www.hemosure.com/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RMC</dc:creator>
  <cp:keywords/>
  <cp:lastModifiedBy>RMC</cp:lastModifiedBy>
  <cp:revision>3</cp:revision>
  <dcterms:created xsi:type="dcterms:W3CDTF">2012-08-14T12:32:00Z</dcterms:created>
  <dcterms:modified xsi:type="dcterms:W3CDTF">2012-08-14T12:32:00Z</dcterms:modified>
</cp:coreProperties>
</file>