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0F7A6B" w:rsidP="00684A1E">
      <w:pPr>
        <w:jc w:val="center"/>
        <w:rPr>
          <w:b/>
          <w:color w:val="17365D" w:themeColor="text2" w:themeShade="BF"/>
          <w:sz w:val="48"/>
          <w:szCs w:val="48"/>
        </w:rPr>
      </w:pPr>
      <w:r>
        <w:rPr>
          <w:b/>
          <w:color w:val="17365D" w:themeColor="text2" w:themeShade="BF"/>
          <w:sz w:val="48"/>
          <w:szCs w:val="48"/>
        </w:rPr>
        <w:t>Octo</w:t>
      </w:r>
      <w:r w:rsidR="00BB5D22">
        <w:rPr>
          <w:b/>
          <w:color w:val="17365D" w:themeColor="text2" w:themeShade="BF"/>
          <w:sz w:val="48"/>
          <w:szCs w:val="48"/>
        </w:rPr>
        <w:t xml:space="preserve">ber </w:t>
      </w:r>
      <w:r w:rsidR="00EC6230">
        <w:rPr>
          <w:b/>
          <w:color w:val="17365D" w:themeColor="text2" w:themeShade="BF"/>
          <w:sz w:val="48"/>
          <w:szCs w:val="48"/>
        </w:rPr>
        <w:t>18</w:t>
      </w:r>
      <w:r w:rsidR="00BB5D22">
        <w:rPr>
          <w:b/>
          <w:color w:val="17365D" w:themeColor="text2" w:themeShade="BF"/>
          <w:sz w:val="48"/>
          <w:szCs w:val="48"/>
        </w:rPr>
        <w:t>, 2012</w:t>
      </w:r>
    </w:p>
    <w:tbl>
      <w:tblPr>
        <w:tblStyle w:val="MediumShading1-Accent1"/>
        <w:tblW w:w="13788" w:type="dxa"/>
        <w:tblLook w:val="04A0" w:firstRow="1" w:lastRow="0" w:firstColumn="1" w:lastColumn="0" w:noHBand="0" w:noVBand="1"/>
      </w:tblPr>
      <w:tblGrid>
        <w:gridCol w:w="1886"/>
        <w:gridCol w:w="8696"/>
        <w:gridCol w:w="3206"/>
      </w:tblGrid>
      <w:tr w:rsidR="00211D87" w:rsidTr="00A4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rsidR="00684A1E" w:rsidRPr="007D17DE" w:rsidRDefault="00684A1E" w:rsidP="00684A1E">
            <w:pPr>
              <w:jc w:val="center"/>
              <w:rPr>
                <w:sz w:val="28"/>
                <w:szCs w:val="28"/>
              </w:rPr>
            </w:pPr>
            <w:r w:rsidRPr="007D17DE">
              <w:rPr>
                <w:sz w:val="28"/>
                <w:szCs w:val="28"/>
              </w:rPr>
              <w:t>Test</w:t>
            </w:r>
          </w:p>
        </w:tc>
        <w:tc>
          <w:tcPr>
            <w:tcW w:w="8696"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3206"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254167" w:rsidP="00254167">
            <w:pPr>
              <w:jc w:val="center"/>
              <w:rPr>
                <w:sz w:val="28"/>
                <w:szCs w:val="28"/>
              </w:rPr>
            </w:pPr>
            <w:r>
              <w:rPr>
                <w:sz w:val="28"/>
                <w:szCs w:val="28"/>
              </w:rPr>
              <w:t>Hennepin County Health Assessment for Reduced Co-pay</w:t>
            </w:r>
          </w:p>
        </w:tc>
        <w:tc>
          <w:tcPr>
            <w:tcW w:w="8696" w:type="dxa"/>
          </w:tcPr>
          <w:p w:rsidR="001D6EE1" w:rsidRDefault="00254167" w:rsidP="00BB3F5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You have until October 31, 2012 to perform the health assessment to receive reduced co-pay for 2013.  Remember you must also go to the Preferred One website and document your wellness activities.</w:t>
            </w:r>
          </w:p>
          <w:p w:rsidR="00254167" w:rsidRDefault="00254167" w:rsidP="00BB3F5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Here is the link: </w:t>
            </w:r>
            <w:hyperlink r:id="rId6" w:history="1">
              <w:r w:rsidRPr="00254167">
                <w:rPr>
                  <w:rStyle w:val="Hyperlink"/>
                  <w:sz w:val="28"/>
                  <w:szCs w:val="28"/>
                </w:rPr>
                <w:t>Health assessment</w:t>
              </w:r>
            </w:hyperlink>
          </w:p>
          <w:p w:rsidR="00254167" w:rsidRPr="00B56D81" w:rsidRDefault="00254167" w:rsidP="00BB3F5D">
            <w:pPr>
              <w:cnfStyle w:val="000000100000" w:firstRow="0" w:lastRow="0" w:firstColumn="0" w:lastColumn="0" w:oddVBand="0" w:evenVBand="0" w:oddHBand="1" w:evenHBand="0" w:firstRowFirstColumn="0" w:firstRowLastColumn="0" w:lastRowFirstColumn="0" w:lastRowLastColumn="0"/>
              <w:rPr>
                <w:sz w:val="28"/>
                <w:szCs w:val="28"/>
              </w:rPr>
            </w:pPr>
          </w:p>
        </w:tc>
        <w:tc>
          <w:tcPr>
            <w:tcW w:w="3206" w:type="dxa"/>
            <w:vAlign w:val="center"/>
          </w:tcPr>
          <w:p w:rsidR="00684A1E" w:rsidRPr="007D17DE" w:rsidRDefault="00E7629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EE0836"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254167" w:rsidP="007D17DE">
            <w:pPr>
              <w:jc w:val="center"/>
              <w:rPr>
                <w:sz w:val="28"/>
                <w:szCs w:val="28"/>
              </w:rPr>
            </w:pPr>
            <w:r>
              <w:rPr>
                <w:sz w:val="28"/>
                <w:szCs w:val="28"/>
              </w:rPr>
              <w:t>Phlebotomy Changes</w:t>
            </w:r>
          </w:p>
        </w:tc>
        <w:tc>
          <w:tcPr>
            <w:tcW w:w="8696" w:type="dxa"/>
          </w:tcPr>
          <w:p w:rsidR="0002152B" w:rsidRPr="0082123E" w:rsidRDefault="00254167" w:rsidP="00254167">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We will be transitioning to </w:t>
            </w:r>
            <w:r w:rsidRPr="00AB178A">
              <w:rPr>
                <w:sz w:val="28"/>
                <w:szCs w:val="28"/>
                <w:u w:val="single"/>
              </w:rPr>
              <w:t>alcohol prep pads</w:t>
            </w:r>
            <w:r>
              <w:rPr>
                <w:sz w:val="28"/>
                <w:szCs w:val="28"/>
              </w:rPr>
              <w:t xml:space="preserve"> in place of cotton balls and bottles of alcohol once </w:t>
            </w:r>
            <w:r w:rsidR="00F23EAB">
              <w:rPr>
                <w:sz w:val="28"/>
                <w:szCs w:val="28"/>
              </w:rPr>
              <w:t xml:space="preserve">we </w:t>
            </w:r>
            <w:r>
              <w:rPr>
                <w:sz w:val="28"/>
                <w:szCs w:val="28"/>
              </w:rPr>
              <w:t>use up our stock of cotton balls.</w:t>
            </w:r>
            <w:r w:rsidR="00F23EAB">
              <w:rPr>
                <w:sz w:val="28"/>
                <w:szCs w:val="28"/>
              </w:rPr>
              <w:t xml:space="preserve"> Because infection control</w:t>
            </w:r>
          </w:p>
        </w:tc>
        <w:tc>
          <w:tcPr>
            <w:tcW w:w="3206" w:type="dxa"/>
            <w:vAlign w:val="center"/>
          </w:tcPr>
          <w:p w:rsidR="00684A1E" w:rsidRPr="007D17DE" w:rsidRDefault="00B56D81"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FF48CB"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254167" w:rsidP="00BB5D22">
            <w:pPr>
              <w:jc w:val="center"/>
              <w:rPr>
                <w:sz w:val="28"/>
                <w:szCs w:val="28"/>
              </w:rPr>
            </w:pPr>
            <w:r>
              <w:rPr>
                <w:sz w:val="28"/>
                <w:szCs w:val="28"/>
              </w:rPr>
              <w:t>Staff Meeting next Tuesday 10/23/12</w:t>
            </w:r>
          </w:p>
        </w:tc>
        <w:tc>
          <w:tcPr>
            <w:tcW w:w="8696" w:type="dxa"/>
          </w:tcPr>
          <w:p w:rsidR="0082123E" w:rsidRPr="000A2191" w:rsidRDefault="00254167" w:rsidP="0002152B">
            <w:pPr>
              <w:cnfStyle w:val="000000100000" w:firstRow="0" w:lastRow="0" w:firstColumn="0" w:lastColumn="0" w:oddVBand="0" w:evenVBand="0" w:oddHBand="1" w:evenHBand="0" w:firstRowFirstColumn="0" w:firstRowLastColumn="0" w:lastRowFirstColumn="0" w:lastRowLastColumn="0"/>
              <w:rPr>
                <w:i/>
                <w:sz w:val="20"/>
                <w:szCs w:val="20"/>
              </w:rPr>
            </w:pPr>
            <w:r>
              <w:rPr>
                <w:sz w:val="28"/>
                <w:szCs w:val="28"/>
              </w:rPr>
              <w:t xml:space="preserve">Just a reminder the staff meeting is next Tuesday </w:t>
            </w:r>
            <w:r w:rsidR="00DA5F75">
              <w:rPr>
                <w:sz w:val="28"/>
                <w:szCs w:val="28"/>
              </w:rPr>
              <w:t xml:space="preserve">10/23/12.  </w:t>
            </w:r>
            <w:r w:rsidRPr="00254167">
              <w:rPr>
                <w:sz w:val="28"/>
                <w:szCs w:val="28"/>
              </w:rPr>
              <w:sym w:font="Wingdings" w:char="F04A"/>
            </w:r>
          </w:p>
        </w:tc>
        <w:tc>
          <w:tcPr>
            <w:tcW w:w="3206" w:type="dxa"/>
            <w:vAlign w:val="center"/>
          </w:tcPr>
          <w:p w:rsidR="00FF48CB" w:rsidRPr="007D17DE" w:rsidRDefault="00254167"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B178A"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AB178A" w:rsidRDefault="00AB178A" w:rsidP="00BB5D22">
            <w:pPr>
              <w:jc w:val="center"/>
              <w:rPr>
                <w:sz w:val="28"/>
                <w:szCs w:val="28"/>
              </w:rPr>
            </w:pPr>
            <w:r>
              <w:rPr>
                <w:sz w:val="28"/>
                <w:szCs w:val="28"/>
              </w:rPr>
              <w:t>Expired Tubes</w:t>
            </w:r>
          </w:p>
        </w:tc>
        <w:tc>
          <w:tcPr>
            <w:tcW w:w="8696" w:type="dxa"/>
          </w:tcPr>
          <w:p w:rsidR="00AB178A" w:rsidRDefault="00AB178A" w:rsidP="0002152B">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In order to use the oldest stock first, always pull your blood tubes from the bottom.  The new stock will be on the top when we refill, so pulling from the bottom ensures no expired tubes linger.</w:t>
            </w:r>
          </w:p>
        </w:tc>
        <w:tc>
          <w:tcPr>
            <w:tcW w:w="3206" w:type="dxa"/>
            <w:vAlign w:val="center"/>
          </w:tcPr>
          <w:p w:rsidR="00AB178A" w:rsidRDefault="00AB178A"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AB178A"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AB178A" w:rsidRDefault="00AB178A" w:rsidP="00BB5D22">
            <w:pPr>
              <w:jc w:val="center"/>
              <w:rPr>
                <w:sz w:val="28"/>
                <w:szCs w:val="28"/>
              </w:rPr>
            </w:pPr>
            <w:r>
              <w:rPr>
                <w:sz w:val="28"/>
                <w:szCs w:val="28"/>
              </w:rPr>
              <w:t xml:space="preserve">ACE </w:t>
            </w:r>
            <w:proofErr w:type="spellStart"/>
            <w:r>
              <w:rPr>
                <w:sz w:val="28"/>
                <w:szCs w:val="28"/>
              </w:rPr>
              <w:t>Alera</w:t>
            </w:r>
            <w:proofErr w:type="spellEnd"/>
            <w:r>
              <w:rPr>
                <w:sz w:val="28"/>
                <w:szCs w:val="28"/>
              </w:rPr>
              <w:t xml:space="preserve"> QC change</w:t>
            </w:r>
          </w:p>
        </w:tc>
        <w:tc>
          <w:tcPr>
            <w:tcW w:w="8696" w:type="dxa"/>
          </w:tcPr>
          <w:p w:rsidR="00AB178A" w:rsidRDefault="00AB178A" w:rsidP="00AB178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Always let the QC test results print before running any necessary repeats.  This gives us a printed hard copy of the data for proper documentation and troubleshooting purposes.</w:t>
            </w:r>
          </w:p>
        </w:tc>
        <w:tc>
          <w:tcPr>
            <w:tcW w:w="3206" w:type="dxa"/>
            <w:vAlign w:val="center"/>
          </w:tcPr>
          <w:p w:rsidR="00AB178A" w:rsidRDefault="00AB178A"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Bench Techs</w:t>
            </w:r>
          </w:p>
        </w:tc>
      </w:tr>
      <w:tr w:rsidR="00AB178A" w:rsidTr="000F55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AB178A" w:rsidRDefault="00AB178A" w:rsidP="00BB5D22">
            <w:pPr>
              <w:jc w:val="center"/>
              <w:rPr>
                <w:sz w:val="28"/>
                <w:szCs w:val="28"/>
              </w:rPr>
            </w:pPr>
            <w:r>
              <w:rPr>
                <w:sz w:val="28"/>
                <w:szCs w:val="28"/>
              </w:rPr>
              <w:t xml:space="preserve">ACE </w:t>
            </w:r>
            <w:proofErr w:type="spellStart"/>
            <w:r>
              <w:rPr>
                <w:sz w:val="28"/>
                <w:szCs w:val="28"/>
              </w:rPr>
              <w:t>Alera</w:t>
            </w:r>
            <w:proofErr w:type="spellEnd"/>
            <w:r>
              <w:rPr>
                <w:sz w:val="28"/>
                <w:szCs w:val="28"/>
              </w:rPr>
              <w:t xml:space="preserve"> </w:t>
            </w:r>
            <w:r>
              <w:rPr>
                <w:sz w:val="28"/>
                <w:szCs w:val="28"/>
              </w:rPr>
              <w:lastRenderedPageBreak/>
              <w:t>Reagents</w:t>
            </w:r>
          </w:p>
        </w:tc>
        <w:tc>
          <w:tcPr>
            <w:tcW w:w="8696" w:type="dxa"/>
          </w:tcPr>
          <w:p w:rsidR="00AB178A" w:rsidRDefault="00AB178A" w:rsidP="00AB178A">
            <w:pPr>
              <w:shd w:val="clear" w:color="auto" w:fill="FFFFFF"/>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sz w:val="28"/>
                <w:szCs w:val="28"/>
              </w:rPr>
            </w:pPr>
            <w:r w:rsidRPr="00AB178A">
              <w:rPr>
                <w:sz w:val="28"/>
                <w:szCs w:val="28"/>
              </w:rPr>
              <w:lastRenderedPageBreak/>
              <w:t xml:space="preserve">When opening a box of reagents, pull the insert, date it and put in Sherry’s </w:t>
            </w:r>
            <w:r w:rsidRPr="00AB178A">
              <w:rPr>
                <w:sz w:val="28"/>
                <w:szCs w:val="28"/>
              </w:rPr>
              <w:lastRenderedPageBreak/>
              <w:t xml:space="preserve">basket.  </w:t>
            </w:r>
            <w:r>
              <w:rPr>
                <w:rFonts w:eastAsia="Times New Roman" w:cstheme="minorHAnsi"/>
                <w:sz w:val="28"/>
                <w:szCs w:val="28"/>
              </w:rPr>
              <w:t>G</w:t>
            </w:r>
            <w:r w:rsidRPr="00AB178A">
              <w:rPr>
                <w:rFonts w:eastAsia="Times New Roman" w:cstheme="minorHAnsi"/>
                <w:sz w:val="28"/>
                <w:szCs w:val="28"/>
              </w:rPr>
              <w:t xml:space="preserve">ive special attention when opening </w:t>
            </w:r>
            <w:r w:rsidRPr="00AB178A">
              <w:rPr>
                <w:rFonts w:eastAsia="Times New Roman" w:cstheme="minorHAnsi"/>
                <w:b/>
                <w:sz w:val="28"/>
                <w:szCs w:val="28"/>
                <w:highlight w:val="yellow"/>
                <w:u w:val="single"/>
              </w:rPr>
              <w:t>stickered boxes</w:t>
            </w:r>
            <w:r w:rsidRPr="00AB178A">
              <w:rPr>
                <w:rFonts w:eastAsia="Times New Roman" w:cstheme="minorHAnsi"/>
                <w:sz w:val="28"/>
                <w:szCs w:val="28"/>
              </w:rPr>
              <w:t xml:space="preserve"> - the insert and other papers </w:t>
            </w:r>
            <w:r>
              <w:rPr>
                <w:rFonts w:eastAsia="Times New Roman" w:cstheme="minorHAnsi"/>
                <w:sz w:val="28"/>
                <w:szCs w:val="28"/>
              </w:rPr>
              <w:t xml:space="preserve">in these boxes </w:t>
            </w:r>
            <w:r w:rsidRPr="00AB178A">
              <w:rPr>
                <w:rFonts w:eastAsia="Times New Roman" w:cstheme="minorHAnsi"/>
                <w:sz w:val="28"/>
                <w:szCs w:val="28"/>
              </w:rPr>
              <w:t xml:space="preserve">should go to </w:t>
            </w:r>
            <w:proofErr w:type="spellStart"/>
            <w:r w:rsidRPr="00AB178A">
              <w:rPr>
                <w:rFonts w:eastAsia="Times New Roman" w:cstheme="minorHAnsi"/>
                <w:sz w:val="28"/>
                <w:szCs w:val="28"/>
              </w:rPr>
              <w:t>Denelle</w:t>
            </w:r>
            <w:proofErr w:type="spellEnd"/>
            <w:r w:rsidRPr="00AB178A">
              <w:rPr>
                <w:rFonts w:eastAsia="Times New Roman" w:cstheme="minorHAnsi"/>
                <w:sz w:val="28"/>
                <w:szCs w:val="28"/>
              </w:rPr>
              <w:t xml:space="preserve"> ASAP for action</w:t>
            </w:r>
            <w:r>
              <w:rPr>
                <w:rFonts w:eastAsia="Times New Roman" w:cstheme="minorHAnsi"/>
                <w:sz w:val="28"/>
                <w:szCs w:val="28"/>
              </w:rPr>
              <w:t>.</w:t>
            </w:r>
          </w:p>
        </w:tc>
        <w:tc>
          <w:tcPr>
            <w:tcW w:w="3206" w:type="dxa"/>
            <w:vAlign w:val="center"/>
          </w:tcPr>
          <w:p w:rsidR="00AB178A" w:rsidRDefault="00AB178A" w:rsidP="000F552D">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Bench Techs</w:t>
            </w:r>
          </w:p>
        </w:tc>
      </w:tr>
      <w:tr w:rsidR="000F552D" w:rsidTr="000F5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0F552D" w:rsidRDefault="000F552D" w:rsidP="00BB5D22">
            <w:pPr>
              <w:jc w:val="center"/>
              <w:rPr>
                <w:sz w:val="28"/>
                <w:szCs w:val="28"/>
              </w:rPr>
            </w:pPr>
            <w:r>
              <w:rPr>
                <w:sz w:val="28"/>
                <w:szCs w:val="28"/>
              </w:rPr>
              <w:lastRenderedPageBreak/>
              <w:t>Testing on parents for children</w:t>
            </w:r>
          </w:p>
        </w:tc>
        <w:tc>
          <w:tcPr>
            <w:tcW w:w="8696" w:type="dxa"/>
          </w:tcPr>
          <w:p w:rsidR="000F552D" w:rsidRPr="00AB178A" w:rsidRDefault="000F552D" w:rsidP="00AB178A">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This testing must always be ordered on the person whose blood we are actually testing.  If necessary, work with the provider to get orders entered in EPIC and/or</w:t>
            </w:r>
            <w:bookmarkStart w:id="0" w:name="_GoBack"/>
            <w:bookmarkEnd w:id="0"/>
            <w:r>
              <w:rPr>
                <w:sz w:val="28"/>
                <w:szCs w:val="28"/>
              </w:rPr>
              <w:t xml:space="preserve"> send the patient to be registered.</w:t>
            </w:r>
          </w:p>
        </w:tc>
        <w:tc>
          <w:tcPr>
            <w:tcW w:w="3206" w:type="dxa"/>
            <w:vAlign w:val="center"/>
          </w:tcPr>
          <w:p w:rsidR="000F552D" w:rsidRDefault="000F552D" w:rsidP="000F552D">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02152B" w:rsidRPr="0002152B" w:rsidRDefault="00AB178A" w:rsidP="00D06160">
      <w:pPr>
        <w:pStyle w:val="ListParagraph"/>
        <w:numPr>
          <w:ilvl w:val="0"/>
          <w:numId w:val="10"/>
        </w:numPr>
        <w:rPr>
          <w:rStyle w:val="Hyperlink"/>
          <w:b/>
          <w:color w:val="auto"/>
          <w:sz w:val="28"/>
          <w:szCs w:val="28"/>
          <w:u w:val="none"/>
        </w:rPr>
      </w:pPr>
      <w:hyperlink r:id="rId7" w:history="1">
        <w:r w:rsidR="0002152B" w:rsidRPr="0050305D">
          <w:rPr>
            <w:rStyle w:val="Hyperlink"/>
            <w:b/>
            <w:sz w:val="28"/>
            <w:szCs w:val="28"/>
          </w:rPr>
          <w:t>RSV Pr</w:t>
        </w:r>
        <w:r w:rsidR="0002152B" w:rsidRPr="0050305D">
          <w:rPr>
            <w:rStyle w:val="Hyperlink"/>
            <w:b/>
            <w:sz w:val="28"/>
            <w:szCs w:val="28"/>
          </w:rPr>
          <w:t>o</w:t>
        </w:r>
        <w:r w:rsidR="0002152B" w:rsidRPr="0050305D">
          <w:rPr>
            <w:rStyle w:val="Hyperlink"/>
            <w:b/>
            <w:sz w:val="28"/>
            <w:szCs w:val="28"/>
          </w:rPr>
          <w:t>cedure</w:t>
        </w:r>
      </w:hyperlink>
    </w:p>
    <w:sectPr w:rsidR="0002152B" w:rsidRPr="0002152B"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
  </w:num>
  <w:num w:numId="5">
    <w:abstractNumId w:val="9"/>
  </w:num>
  <w:num w:numId="6">
    <w:abstractNumId w:val="0"/>
  </w:num>
  <w:num w:numId="7">
    <w:abstractNumId w:val="13"/>
  </w:num>
  <w:num w:numId="8">
    <w:abstractNumId w:val="16"/>
  </w:num>
  <w:num w:numId="9">
    <w:abstractNumId w:val="17"/>
  </w:num>
  <w:num w:numId="10">
    <w:abstractNumId w:val="15"/>
  </w:num>
  <w:num w:numId="11">
    <w:abstractNumId w:val="3"/>
  </w:num>
  <w:num w:numId="12">
    <w:abstractNumId w:val="4"/>
  </w:num>
  <w:num w:numId="13">
    <w:abstractNumId w:val="5"/>
  </w:num>
  <w:num w:numId="14">
    <w:abstractNumId w:val="2"/>
  </w:num>
  <w:num w:numId="15">
    <w:abstractNumId w:val="7"/>
  </w:num>
  <w:num w:numId="16">
    <w:abstractNumId w:val="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62446"/>
    <w:rsid w:val="0007086A"/>
    <w:rsid w:val="00083B7E"/>
    <w:rsid w:val="000A2191"/>
    <w:rsid w:val="000F0186"/>
    <w:rsid w:val="000F552D"/>
    <w:rsid w:val="000F7A6B"/>
    <w:rsid w:val="00102931"/>
    <w:rsid w:val="00122CE8"/>
    <w:rsid w:val="001336C5"/>
    <w:rsid w:val="001947FF"/>
    <w:rsid w:val="001D313C"/>
    <w:rsid w:val="001D6EE1"/>
    <w:rsid w:val="00211D87"/>
    <w:rsid w:val="00243F19"/>
    <w:rsid w:val="00254167"/>
    <w:rsid w:val="002642E1"/>
    <w:rsid w:val="003106C1"/>
    <w:rsid w:val="003216E3"/>
    <w:rsid w:val="00332AED"/>
    <w:rsid w:val="0038621F"/>
    <w:rsid w:val="003E1DF4"/>
    <w:rsid w:val="003F5D6D"/>
    <w:rsid w:val="004325F8"/>
    <w:rsid w:val="00437D72"/>
    <w:rsid w:val="004647FE"/>
    <w:rsid w:val="00492BAB"/>
    <w:rsid w:val="004E3DC7"/>
    <w:rsid w:val="004F48EE"/>
    <w:rsid w:val="004F755B"/>
    <w:rsid w:val="0050305D"/>
    <w:rsid w:val="00581D01"/>
    <w:rsid w:val="005A6E0A"/>
    <w:rsid w:val="005E2AF9"/>
    <w:rsid w:val="005F1CDC"/>
    <w:rsid w:val="005F3DE9"/>
    <w:rsid w:val="006111DA"/>
    <w:rsid w:val="00614D6C"/>
    <w:rsid w:val="00684A1E"/>
    <w:rsid w:val="006E5F2D"/>
    <w:rsid w:val="00786E28"/>
    <w:rsid w:val="007D17DE"/>
    <w:rsid w:val="00807E2F"/>
    <w:rsid w:val="0082123E"/>
    <w:rsid w:val="00867401"/>
    <w:rsid w:val="00882664"/>
    <w:rsid w:val="00882902"/>
    <w:rsid w:val="008859E1"/>
    <w:rsid w:val="008F261F"/>
    <w:rsid w:val="00901630"/>
    <w:rsid w:val="00965F5F"/>
    <w:rsid w:val="009712F0"/>
    <w:rsid w:val="00975755"/>
    <w:rsid w:val="0098184F"/>
    <w:rsid w:val="0098301B"/>
    <w:rsid w:val="0098505D"/>
    <w:rsid w:val="009E7DA5"/>
    <w:rsid w:val="00A12BCF"/>
    <w:rsid w:val="00A44555"/>
    <w:rsid w:val="00A77473"/>
    <w:rsid w:val="00A95EF6"/>
    <w:rsid w:val="00AB178A"/>
    <w:rsid w:val="00AB4310"/>
    <w:rsid w:val="00AC3515"/>
    <w:rsid w:val="00AF007B"/>
    <w:rsid w:val="00AF19A5"/>
    <w:rsid w:val="00B27A4E"/>
    <w:rsid w:val="00B525DB"/>
    <w:rsid w:val="00B56D81"/>
    <w:rsid w:val="00BB1631"/>
    <w:rsid w:val="00BB3F5D"/>
    <w:rsid w:val="00BB5D22"/>
    <w:rsid w:val="00BC04D9"/>
    <w:rsid w:val="00BC45E2"/>
    <w:rsid w:val="00BD7141"/>
    <w:rsid w:val="00BE0681"/>
    <w:rsid w:val="00C14735"/>
    <w:rsid w:val="00C418A7"/>
    <w:rsid w:val="00C6062C"/>
    <w:rsid w:val="00C97449"/>
    <w:rsid w:val="00CB7F80"/>
    <w:rsid w:val="00CD4063"/>
    <w:rsid w:val="00CE610A"/>
    <w:rsid w:val="00D06160"/>
    <w:rsid w:val="00D16062"/>
    <w:rsid w:val="00D37604"/>
    <w:rsid w:val="00D51524"/>
    <w:rsid w:val="00D5438D"/>
    <w:rsid w:val="00D726AD"/>
    <w:rsid w:val="00D97A0D"/>
    <w:rsid w:val="00DA5F75"/>
    <w:rsid w:val="00E43B4D"/>
    <w:rsid w:val="00E7629A"/>
    <w:rsid w:val="00E76793"/>
    <w:rsid w:val="00E848E1"/>
    <w:rsid w:val="00E92F99"/>
    <w:rsid w:val="00E97B29"/>
    <w:rsid w:val="00EC6230"/>
    <w:rsid w:val="00EE0836"/>
    <w:rsid w:val="00F00CCA"/>
    <w:rsid w:val="00F10D73"/>
    <w:rsid w:val="00F23EAB"/>
    <w:rsid w:val="00F251B6"/>
    <w:rsid w:val="00F37684"/>
    <w:rsid w:val="00F376FA"/>
    <w:rsid w:val="00F6056F"/>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yonkers\pchcteam\Lab\Procedure%20Manual\RSV.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nepin.us/portal/site/HennepinUS/menuitem.b1ab75471750e40fa01dfb47ccf06498/?vgnextoid=3ee601ccb1192310VgnVCM20000098fe4689RC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4</cp:revision>
  <cp:lastPrinted>2012-09-13T19:04:00Z</cp:lastPrinted>
  <dcterms:created xsi:type="dcterms:W3CDTF">2012-10-17T20:23:00Z</dcterms:created>
  <dcterms:modified xsi:type="dcterms:W3CDTF">2012-10-18T18:41:00Z</dcterms:modified>
</cp:coreProperties>
</file>