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5141F2" w:rsidP="00684A1E">
      <w:pPr>
        <w:jc w:val="center"/>
        <w:rPr>
          <w:b/>
          <w:color w:val="17365D" w:themeColor="text2" w:themeShade="BF"/>
          <w:sz w:val="48"/>
          <w:szCs w:val="48"/>
        </w:rPr>
      </w:pPr>
      <w:r>
        <w:rPr>
          <w:b/>
          <w:color w:val="17365D" w:themeColor="text2" w:themeShade="BF"/>
          <w:sz w:val="48"/>
          <w:szCs w:val="48"/>
        </w:rPr>
        <w:t>November 1</w:t>
      </w:r>
      <w:r w:rsidR="00BB5D22">
        <w:rPr>
          <w:b/>
          <w:color w:val="17365D" w:themeColor="text2" w:themeShade="BF"/>
          <w:sz w:val="48"/>
          <w:szCs w:val="48"/>
        </w:rPr>
        <w:t>, 2012</w:t>
      </w:r>
    </w:p>
    <w:tbl>
      <w:tblPr>
        <w:tblStyle w:val="MediumShading1-Accent1"/>
        <w:tblW w:w="14202" w:type="dxa"/>
        <w:tblLook w:val="04A0" w:firstRow="1" w:lastRow="0" w:firstColumn="1" w:lastColumn="0" w:noHBand="0" w:noVBand="1"/>
      </w:tblPr>
      <w:tblGrid>
        <w:gridCol w:w="1894"/>
        <w:gridCol w:w="9104"/>
        <w:gridCol w:w="3204"/>
      </w:tblGrid>
      <w:tr w:rsidR="00211D87" w:rsidTr="00FD0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rsidR="00684A1E" w:rsidRPr="007D17DE" w:rsidRDefault="00684A1E" w:rsidP="00684A1E">
            <w:pPr>
              <w:jc w:val="center"/>
              <w:rPr>
                <w:sz w:val="28"/>
                <w:szCs w:val="28"/>
              </w:rPr>
            </w:pPr>
            <w:r w:rsidRPr="007D17DE">
              <w:rPr>
                <w:sz w:val="28"/>
                <w:szCs w:val="28"/>
              </w:rPr>
              <w:t>Test</w:t>
            </w:r>
          </w:p>
        </w:tc>
        <w:tc>
          <w:tcPr>
            <w:tcW w:w="9104"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3204"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FD0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684A1E" w:rsidRPr="007D17DE" w:rsidRDefault="005141F2" w:rsidP="00254167">
            <w:pPr>
              <w:jc w:val="center"/>
              <w:rPr>
                <w:sz w:val="28"/>
                <w:szCs w:val="28"/>
              </w:rPr>
            </w:pPr>
            <w:r>
              <w:rPr>
                <w:sz w:val="28"/>
                <w:szCs w:val="28"/>
              </w:rPr>
              <w:t>Sofia QC Changes</w:t>
            </w:r>
          </w:p>
        </w:tc>
        <w:tc>
          <w:tcPr>
            <w:tcW w:w="9104" w:type="dxa"/>
          </w:tcPr>
          <w:p w:rsidR="00254167" w:rsidRPr="00B56D81" w:rsidRDefault="005141F2" w:rsidP="005141F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For the first 30 days, we will be performing external QC daily on the Sofia.  Once our equivalent QC study is complete, then QC will be performed weekly on Thursdays, training new operators, with new kits and if results are questioned.</w:t>
            </w:r>
          </w:p>
        </w:tc>
        <w:tc>
          <w:tcPr>
            <w:tcW w:w="3204" w:type="dxa"/>
            <w:vAlign w:val="center"/>
          </w:tcPr>
          <w:p w:rsidR="00684A1E" w:rsidRPr="007D17DE" w:rsidRDefault="00E7629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D07E8" w:rsidTr="00FD0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FD07E8" w:rsidRDefault="00FA4C80" w:rsidP="007D17DE">
            <w:pPr>
              <w:jc w:val="center"/>
              <w:rPr>
                <w:sz w:val="28"/>
                <w:szCs w:val="28"/>
              </w:rPr>
            </w:pPr>
            <w:r>
              <w:rPr>
                <w:sz w:val="28"/>
                <w:szCs w:val="28"/>
              </w:rPr>
              <w:t>Flu GO Live Date</w:t>
            </w:r>
          </w:p>
        </w:tc>
        <w:tc>
          <w:tcPr>
            <w:tcW w:w="9104" w:type="dxa"/>
          </w:tcPr>
          <w:p w:rsidR="00FD07E8" w:rsidRDefault="00FA4C80" w:rsidP="00254167">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We will </w:t>
            </w:r>
            <w:r w:rsidRPr="00FA4C80">
              <w:rPr>
                <w:b/>
                <w:sz w:val="28"/>
                <w:szCs w:val="28"/>
                <w:u w:val="single"/>
              </w:rPr>
              <w:t>NOT</w:t>
            </w:r>
            <w:r>
              <w:rPr>
                <w:sz w:val="28"/>
                <w:szCs w:val="28"/>
              </w:rPr>
              <w:t xml:space="preserve"> be going live with Sofia Influenza testin</w:t>
            </w:r>
            <w:r w:rsidR="00E861FF">
              <w:rPr>
                <w:sz w:val="28"/>
                <w:szCs w:val="28"/>
              </w:rPr>
              <w:t xml:space="preserve">g on November 1, 2012.  We are </w:t>
            </w:r>
            <w:r>
              <w:rPr>
                <w:sz w:val="28"/>
                <w:szCs w:val="28"/>
              </w:rPr>
              <w:t>waiting on HCMC to finish creating the test in Cerner and for the prevalence to increase.  Please stay tuned to future developments.</w:t>
            </w:r>
          </w:p>
        </w:tc>
        <w:tc>
          <w:tcPr>
            <w:tcW w:w="3204" w:type="dxa"/>
            <w:vAlign w:val="center"/>
          </w:tcPr>
          <w:p w:rsidR="00FD07E8" w:rsidRDefault="00FA4C80"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EE0836" w:rsidTr="00FD0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684A1E" w:rsidRPr="007D17DE" w:rsidRDefault="0022133C" w:rsidP="007D17DE">
            <w:pPr>
              <w:jc w:val="center"/>
              <w:rPr>
                <w:sz w:val="28"/>
                <w:szCs w:val="28"/>
              </w:rPr>
            </w:pPr>
            <w:r>
              <w:rPr>
                <w:sz w:val="28"/>
                <w:szCs w:val="28"/>
              </w:rPr>
              <w:t>Identifying patients</w:t>
            </w:r>
          </w:p>
        </w:tc>
        <w:tc>
          <w:tcPr>
            <w:tcW w:w="9104" w:type="dxa"/>
          </w:tcPr>
          <w:p w:rsidR="0002152B" w:rsidRDefault="000F750F" w:rsidP="00254167">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Always identify the </w:t>
            </w:r>
            <w:r w:rsidR="0022133C">
              <w:rPr>
                <w:sz w:val="28"/>
                <w:szCs w:val="28"/>
              </w:rPr>
              <w:t>patient using two identifiers prior to giving any specimen cup/stool cup/</w:t>
            </w:r>
            <w:proofErr w:type="spellStart"/>
            <w:r w:rsidR="0022133C">
              <w:rPr>
                <w:sz w:val="28"/>
                <w:szCs w:val="28"/>
              </w:rPr>
              <w:t>etc</w:t>
            </w:r>
            <w:proofErr w:type="spellEnd"/>
            <w:r w:rsidR="0022133C">
              <w:rPr>
                <w:sz w:val="28"/>
                <w:szCs w:val="28"/>
              </w:rPr>
              <w:t xml:space="preserve"> or </w:t>
            </w:r>
            <w:r>
              <w:rPr>
                <w:sz w:val="28"/>
                <w:szCs w:val="28"/>
              </w:rPr>
              <w:t xml:space="preserve">before </w:t>
            </w:r>
            <w:r w:rsidR="0022133C">
              <w:rPr>
                <w:sz w:val="28"/>
                <w:szCs w:val="28"/>
              </w:rPr>
              <w:t>drawing blood.</w:t>
            </w:r>
          </w:p>
          <w:p w:rsidR="000F750F" w:rsidRDefault="00894F85" w:rsidP="000F750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Full </w:t>
            </w:r>
            <w:r w:rsidR="000F750F">
              <w:rPr>
                <w:sz w:val="28"/>
                <w:szCs w:val="28"/>
              </w:rPr>
              <w:t>Name</w:t>
            </w:r>
          </w:p>
          <w:p w:rsidR="000F750F" w:rsidRDefault="000F750F" w:rsidP="000F750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DOB</w:t>
            </w:r>
          </w:p>
          <w:p w:rsidR="00894F85" w:rsidRPr="00894F85" w:rsidRDefault="00894F85" w:rsidP="00894F8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We need to confirm the patient’s identity because, as we know, yellow sheets are often wrong or misidentified.  Within the last week </w:t>
            </w:r>
            <w:r w:rsidRPr="00894F85">
              <w:rPr>
                <w:sz w:val="28"/>
                <w:szCs w:val="28"/>
              </w:rPr>
              <w:t xml:space="preserve">a lab labeled stool culture and O&amp;P </w:t>
            </w:r>
            <w:r>
              <w:rPr>
                <w:sz w:val="28"/>
                <w:szCs w:val="28"/>
              </w:rPr>
              <w:t xml:space="preserve">were </w:t>
            </w:r>
            <w:r w:rsidRPr="00894F85">
              <w:rPr>
                <w:sz w:val="28"/>
                <w:szCs w:val="28"/>
              </w:rPr>
              <w:t>mislabeled.</w:t>
            </w:r>
          </w:p>
        </w:tc>
        <w:tc>
          <w:tcPr>
            <w:tcW w:w="3204" w:type="dxa"/>
            <w:vAlign w:val="center"/>
          </w:tcPr>
          <w:p w:rsidR="00684A1E" w:rsidRPr="007D17DE" w:rsidRDefault="0022133C"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F48CB" w:rsidTr="00FD0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FF48CB" w:rsidRPr="007D17DE" w:rsidRDefault="000F750F" w:rsidP="00BB5D22">
            <w:pPr>
              <w:jc w:val="center"/>
              <w:rPr>
                <w:sz w:val="28"/>
                <w:szCs w:val="28"/>
              </w:rPr>
            </w:pPr>
            <w:r>
              <w:rPr>
                <w:sz w:val="28"/>
                <w:szCs w:val="28"/>
              </w:rPr>
              <w:t>Hennepin County Password Requirements</w:t>
            </w:r>
          </w:p>
        </w:tc>
        <w:tc>
          <w:tcPr>
            <w:tcW w:w="9104" w:type="dxa"/>
          </w:tcPr>
          <w:p w:rsidR="0082123E" w:rsidRPr="00FD07E8" w:rsidRDefault="00FD07E8" w:rsidP="00FA4C80">
            <w:pPr>
              <w:ind w:right="162"/>
              <w:cnfStyle w:val="000000010000" w:firstRow="0" w:lastRow="0" w:firstColumn="0" w:lastColumn="0" w:oddVBand="0" w:evenVBand="0" w:oddHBand="0" w:evenHBand="1" w:firstRowFirstColumn="0" w:firstRowLastColumn="0" w:lastRowFirstColumn="0" w:lastRowLastColumn="0"/>
              <w:rPr>
                <w:sz w:val="20"/>
                <w:szCs w:val="20"/>
              </w:rPr>
            </w:pPr>
            <w:r w:rsidRPr="00FD07E8">
              <w:rPr>
                <w:rFonts w:ascii="Calibri" w:hAnsi="Calibri" w:cs="Calibri"/>
              </w:rPr>
              <w:t>The following requirements and changes will be in affect:</w:t>
            </w:r>
            <w:r>
              <w:t xml:space="preserve"> </w:t>
            </w:r>
            <w:r>
              <w:br/>
            </w:r>
            <w:r w:rsidRPr="00FD07E8">
              <w:rPr>
                <w:rFonts w:ascii="Calibri" w:hAnsi="Calibri" w:cs="Calibri"/>
              </w:rPr>
              <w:t>1.      All passwords must be a minimum of 8 characters in length (no change to the current requirement)</w:t>
            </w:r>
            <w:r>
              <w:t xml:space="preserve"> </w:t>
            </w:r>
            <w:r>
              <w:br/>
            </w:r>
            <w:r w:rsidRPr="00FD07E8">
              <w:rPr>
                <w:rFonts w:ascii="Calibri" w:hAnsi="Calibri" w:cs="Calibri"/>
              </w:rPr>
              <w:t>2.      All passwords are required to have the following:</w:t>
            </w:r>
            <w:r>
              <w:t xml:space="preserve"> </w:t>
            </w:r>
            <w:r>
              <w:br/>
            </w:r>
            <w:r w:rsidRPr="00FD07E8">
              <w:rPr>
                <w:rFonts w:ascii="Calibri" w:hAnsi="Calibri" w:cs="Calibri"/>
              </w:rPr>
              <w:t>a.      At least one upper case letter</w:t>
            </w:r>
            <w:r>
              <w:t xml:space="preserve"> </w:t>
            </w:r>
            <w:r>
              <w:br/>
            </w:r>
            <w:r w:rsidRPr="00FD07E8">
              <w:rPr>
                <w:rFonts w:ascii="Calibri" w:hAnsi="Calibri" w:cs="Calibri"/>
              </w:rPr>
              <w:t>b.      At least one lower case letter</w:t>
            </w:r>
            <w:r>
              <w:t xml:space="preserve"> </w:t>
            </w:r>
            <w:r>
              <w:br/>
            </w:r>
            <w:r w:rsidRPr="00FD07E8">
              <w:rPr>
                <w:rFonts w:ascii="Calibri" w:hAnsi="Calibri" w:cs="Calibri"/>
              </w:rPr>
              <w:t>c.       At least one number or one special character like this</w:t>
            </w:r>
            <w:proofErr w:type="gramStart"/>
            <w:r w:rsidRPr="00FD07E8">
              <w:rPr>
                <w:rFonts w:ascii="Calibri" w:hAnsi="Calibri" w:cs="Calibri"/>
              </w:rPr>
              <w:t>; !</w:t>
            </w:r>
            <w:proofErr w:type="gramEnd"/>
            <w:r w:rsidRPr="00FD07E8">
              <w:rPr>
                <w:rFonts w:ascii="Calibri" w:hAnsi="Calibri" w:cs="Calibri"/>
              </w:rPr>
              <w:t>@#$%^&amp;*()</w:t>
            </w:r>
            <w:r>
              <w:t xml:space="preserve"> </w:t>
            </w:r>
            <w:r>
              <w:br/>
            </w:r>
            <w:r w:rsidRPr="00FD07E8">
              <w:rPr>
                <w:rFonts w:ascii="Calibri" w:hAnsi="Calibri" w:cs="Calibri"/>
              </w:rPr>
              <w:t>3.      The account lockout threshold has been increased from 3 failed attempts to 5 failed attempts</w:t>
            </w:r>
            <w:r>
              <w:t xml:space="preserve"> </w:t>
            </w:r>
            <w:r>
              <w:br/>
            </w:r>
            <w:r w:rsidRPr="00FD07E8">
              <w:rPr>
                <w:rFonts w:ascii="Calibri" w:hAnsi="Calibri" w:cs="Calibri"/>
              </w:rPr>
              <w:t>4.      Account lockout length of 60 minutes has been added (this means that a locked out account will automatically unlock itself after 60 min)</w:t>
            </w:r>
            <w:r>
              <w:t xml:space="preserve"> </w:t>
            </w:r>
            <w:r>
              <w:br/>
            </w:r>
            <w:r w:rsidRPr="00FD07E8">
              <w:rPr>
                <w:rFonts w:ascii="Calibri" w:hAnsi="Calibri" w:cs="Calibri"/>
              </w:rPr>
              <w:t xml:space="preserve">5.      The number of notification days that it is time to change your password again has decreased from </w:t>
            </w:r>
            <w:r w:rsidRPr="00FD07E8">
              <w:rPr>
                <w:rFonts w:ascii="Calibri" w:hAnsi="Calibri" w:cs="Calibri"/>
              </w:rPr>
              <w:lastRenderedPageBreak/>
              <w:t>14 days to 7 days</w:t>
            </w:r>
          </w:p>
        </w:tc>
        <w:tc>
          <w:tcPr>
            <w:tcW w:w="3204" w:type="dxa"/>
            <w:vAlign w:val="center"/>
          </w:tcPr>
          <w:p w:rsidR="00FF48CB" w:rsidRPr="007D17DE" w:rsidRDefault="00FA4C80"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2A568E" w:rsidTr="00FD0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2A568E" w:rsidRDefault="000F750F" w:rsidP="00BB5D22">
            <w:pPr>
              <w:jc w:val="center"/>
              <w:rPr>
                <w:sz w:val="28"/>
                <w:szCs w:val="28"/>
              </w:rPr>
            </w:pPr>
            <w:r>
              <w:rPr>
                <w:rFonts w:cstheme="minorHAnsi"/>
                <w:sz w:val="28"/>
                <w:szCs w:val="28"/>
              </w:rPr>
              <w:lastRenderedPageBreak/>
              <w:t>↑</w:t>
            </w:r>
            <w:r>
              <w:rPr>
                <w:sz w:val="28"/>
                <w:szCs w:val="28"/>
              </w:rPr>
              <w:t xml:space="preserve"> </w:t>
            </w:r>
            <w:proofErr w:type="spellStart"/>
            <w:r>
              <w:rPr>
                <w:sz w:val="28"/>
                <w:szCs w:val="28"/>
              </w:rPr>
              <w:t>Dbili</w:t>
            </w:r>
            <w:proofErr w:type="spellEnd"/>
            <w:r>
              <w:rPr>
                <w:sz w:val="28"/>
                <w:szCs w:val="28"/>
              </w:rPr>
              <w:t xml:space="preserve"> results</w:t>
            </w:r>
          </w:p>
        </w:tc>
        <w:tc>
          <w:tcPr>
            <w:tcW w:w="9104" w:type="dxa"/>
          </w:tcPr>
          <w:p w:rsidR="002A568E" w:rsidRDefault="000F750F" w:rsidP="0002152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If the result is </w:t>
            </w:r>
            <w:r w:rsidRPr="000F750F">
              <w:rPr>
                <w:rFonts w:cstheme="minorHAnsi"/>
                <w:b/>
                <w:sz w:val="28"/>
                <w:szCs w:val="28"/>
                <w:highlight w:val="yellow"/>
                <w:u w:val="single"/>
              </w:rPr>
              <w:t>≥</w:t>
            </w:r>
            <w:r w:rsidRPr="000F750F">
              <w:rPr>
                <w:b/>
                <w:sz w:val="28"/>
                <w:szCs w:val="28"/>
                <w:highlight w:val="yellow"/>
                <w:u w:val="single"/>
              </w:rPr>
              <w:t xml:space="preserve"> 0.4 for </w:t>
            </w:r>
            <w:proofErr w:type="spellStart"/>
            <w:r w:rsidRPr="000F750F">
              <w:rPr>
                <w:b/>
                <w:sz w:val="28"/>
                <w:szCs w:val="28"/>
                <w:highlight w:val="yellow"/>
                <w:u w:val="single"/>
              </w:rPr>
              <w:t>dbili</w:t>
            </w:r>
            <w:proofErr w:type="spellEnd"/>
            <w:r>
              <w:rPr>
                <w:sz w:val="28"/>
                <w:szCs w:val="28"/>
              </w:rPr>
              <w:t xml:space="preserve">, then do not result the </w:t>
            </w:r>
            <w:proofErr w:type="spellStart"/>
            <w:r>
              <w:rPr>
                <w:sz w:val="28"/>
                <w:szCs w:val="28"/>
              </w:rPr>
              <w:t>dbili</w:t>
            </w:r>
            <w:proofErr w:type="spellEnd"/>
            <w:r>
              <w:rPr>
                <w:sz w:val="28"/>
                <w:szCs w:val="28"/>
              </w:rPr>
              <w:t xml:space="preserve"> or the </w:t>
            </w:r>
            <w:proofErr w:type="spellStart"/>
            <w:r>
              <w:rPr>
                <w:sz w:val="28"/>
                <w:szCs w:val="28"/>
              </w:rPr>
              <w:t>tbili</w:t>
            </w:r>
            <w:proofErr w:type="spellEnd"/>
            <w:r>
              <w:rPr>
                <w:sz w:val="28"/>
                <w:szCs w:val="28"/>
              </w:rPr>
              <w:t xml:space="preserve">.  Instead send to HCMC for testing.  This will require the total and direct </w:t>
            </w:r>
            <w:proofErr w:type="spellStart"/>
            <w:r>
              <w:rPr>
                <w:sz w:val="28"/>
                <w:szCs w:val="28"/>
              </w:rPr>
              <w:t>bili</w:t>
            </w:r>
            <w:proofErr w:type="spellEnd"/>
            <w:r>
              <w:rPr>
                <w:sz w:val="28"/>
                <w:szCs w:val="28"/>
              </w:rPr>
              <w:t xml:space="preserve"> tests to be transferred to Roche DNLD.  </w:t>
            </w:r>
          </w:p>
        </w:tc>
        <w:tc>
          <w:tcPr>
            <w:tcW w:w="3204" w:type="dxa"/>
            <w:vAlign w:val="center"/>
          </w:tcPr>
          <w:p w:rsidR="002A568E" w:rsidRDefault="002A568E"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9506E0" w:rsidTr="00FD0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9506E0" w:rsidRDefault="000F750F" w:rsidP="00BB5D22">
            <w:pPr>
              <w:jc w:val="center"/>
              <w:rPr>
                <w:sz w:val="28"/>
                <w:szCs w:val="28"/>
              </w:rPr>
            </w:pPr>
            <w:r>
              <w:rPr>
                <w:sz w:val="28"/>
                <w:szCs w:val="28"/>
              </w:rPr>
              <w:t>Calculator</w:t>
            </w:r>
          </w:p>
        </w:tc>
        <w:tc>
          <w:tcPr>
            <w:tcW w:w="9104" w:type="dxa"/>
          </w:tcPr>
          <w:p w:rsidR="009506E0" w:rsidRDefault="000F750F" w:rsidP="000F750F">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Please return the calculator to the drawer under the scope when you are finished with it.  </w:t>
            </w:r>
            <w:r w:rsidRPr="000F750F">
              <w:rPr>
                <w:sz w:val="28"/>
                <w:szCs w:val="28"/>
              </w:rPr>
              <w:sym w:font="Wingdings" w:char="F04A"/>
            </w:r>
          </w:p>
        </w:tc>
        <w:tc>
          <w:tcPr>
            <w:tcW w:w="3204" w:type="dxa"/>
            <w:vAlign w:val="center"/>
          </w:tcPr>
          <w:p w:rsidR="009506E0" w:rsidRDefault="009506E0"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9506E0" w:rsidTr="00FD0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9506E0" w:rsidRDefault="001574DE" w:rsidP="00BB5D22">
            <w:pPr>
              <w:jc w:val="center"/>
              <w:rPr>
                <w:sz w:val="28"/>
                <w:szCs w:val="28"/>
              </w:rPr>
            </w:pPr>
            <w:r>
              <w:rPr>
                <w:sz w:val="28"/>
                <w:szCs w:val="28"/>
              </w:rPr>
              <w:t>Lab/Radiology Post-it Notes</w:t>
            </w:r>
          </w:p>
        </w:tc>
        <w:tc>
          <w:tcPr>
            <w:tcW w:w="9104" w:type="dxa"/>
          </w:tcPr>
          <w:p w:rsidR="009506E0" w:rsidRDefault="00E861FF" w:rsidP="0002152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post-</w:t>
            </w:r>
            <w:proofErr w:type="spellStart"/>
            <w:r>
              <w:rPr>
                <w:sz w:val="28"/>
                <w:szCs w:val="28"/>
              </w:rPr>
              <w:t>its</w:t>
            </w:r>
            <w:proofErr w:type="spellEnd"/>
            <w:r>
              <w:rPr>
                <w:sz w:val="28"/>
                <w:szCs w:val="28"/>
              </w:rPr>
              <w:t xml:space="preserve"> are here.  Please think about the workflow up front and how we can utilize these.  We will discuss at the next staff meeting.</w:t>
            </w:r>
          </w:p>
        </w:tc>
        <w:tc>
          <w:tcPr>
            <w:tcW w:w="3204" w:type="dxa"/>
            <w:vAlign w:val="center"/>
          </w:tcPr>
          <w:p w:rsidR="009506E0" w:rsidRDefault="00077199"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077199" w:rsidTr="00FD07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vAlign w:val="center"/>
          </w:tcPr>
          <w:p w:rsidR="00077199" w:rsidRDefault="00FD07E8" w:rsidP="00BB5D22">
            <w:pPr>
              <w:jc w:val="center"/>
              <w:rPr>
                <w:sz w:val="28"/>
                <w:szCs w:val="28"/>
              </w:rPr>
            </w:pPr>
            <w:r>
              <w:rPr>
                <w:sz w:val="28"/>
                <w:szCs w:val="28"/>
              </w:rPr>
              <w:t>Open Enrollment</w:t>
            </w:r>
          </w:p>
        </w:tc>
        <w:tc>
          <w:tcPr>
            <w:tcW w:w="9104" w:type="dxa"/>
          </w:tcPr>
          <w:p w:rsidR="00077199" w:rsidRPr="00FD07E8" w:rsidRDefault="00FD07E8" w:rsidP="0002152B">
            <w:pPr>
              <w:cnfStyle w:val="000000010000" w:firstRow="0" w:lastRow="0" w:firstColumn="0" w:lastColumn="0" w:oddVBand="0" w:evenVBand="0" w:oddHBand="0" w:evenHBand="1" w:firstRowFirstColumn="0" w:firstRowLastColumn="0" w:lastRowFirstColumn="0" w:lastRowLastColumn="0"/>
              <w:rPr>
                <w:rFonts w:cstheme="minorHAnsi"/>
                <w:sz w:val="28"/>
                <w:szCs w:val="28"/>
              </w:rPr>
            </w:pPr>
            <w:r w:rsidRPr="00FD07E8">
              <w:rPr>
                <w:rFonts w:cstheme="minorHAnsi"/>
                <w:bCs/>
                <w:sz w:val="28"/>
                <w:szCs w:val="28"/>
              </w:rPr>
              <w:t>Hennepin County</w:t>
            </w:r>
            <w:r>
              <w:rPr>
                <w:rFonts w:cstheme="minorHAnsi"/>
                <w:bCs/>
                <w:sz w:val="28"/>
                <w:szCs w:val="28"/>
              </w:rPr>
              <w:t xml:space="preserve"> employees: open enrollment is November 1-16.  During this time you can drop/add insurance.  If you have questions or want more details, please check your e-mail inbox.</w:t>
            </w:r>
          </w:p>
        </w:tc>
        <w:tc>
          <w:tcPr>
            <w:tcW w:w="3204" w:type="dxa"/>
            <w:vAlign w:val="center"/>
          </w:tcPr>
          <w:p w:rsidR="00077199" w:rsidRDefault="00FD07E8"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02152B" w:rsidRPr="00E861FF" w:rsidRDefault="00FD07E8" w:rsidP="00D06160">
      <w:pPr>
        <w:pStyle w:val="ListParagraph"/>
        <w:numPr>
          <w:ilvl w:val="0"/>
          <w:numId w:val="10"/>
        </w:numPr>
        <w:rPr>
          <w:rStyle w:val="Hyperlink"/>
          <w:b/>
          <w:color w:val="auto"/>
          <w:sz w:val="28"/>
          <w:szCs w:val="28"/>
          <w:u w:val="none"/>
        </w:rPr>
      </w:pPr>
      <w:hyperlink r:id="rId6" w:history="1">
        <w:r w:rsidR="00E861FF" w:rsidRPr="00E861FF">
          <w:rPr>
            <w:rStyle w:val="Hyperlink"/>
            <w:b/>
            <w:color w:val="auto"/>
            <w:sz w:val="28"/>
            <w:szCs w:val="28"/>
            <w:u w:val="none"/>
          </w:rPr>
          <w:t>None</w:t>
        </w:r>
      </w:hyperlink>
      <w:bookmarkStart w:id="0" w:name="_GoBack"/>
      <w:bookmarkEnd w:id="0"/>
    </w:p>
    <w:sectPr w:rsidR="0002152B" w:rsidRPr="00E861FF"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1"/>
  </w:num>
  <w:num w:numId="5">
    <w:abstractNumId w:val="10"/>
  </w:num>
  <w:num w:numId="6">
    <w:abstractNumId w:val="0"/>
  </w:num>
  <w:num w:numId="7">
    <w:abstractNumId w:val="14"/>
  </w:num>
  <w:num w:numId="8">
    <w:abstractNumId w:val="18"/>
  </w:num>
  <w:num w:numId="9">
    <w:abstractNumId w:val="19"/>
  </w:num>
  <w:num w:numId="10">
    <w:abstractNumId w:val="16"/>
  </w:num>
  <w:num w:numId="11">
    <w:abstractNumId w:val="4"/>
  </w:num>
  <w:num w:numId="12">
    <w:abstractNumId w:val="5"/>
  </w:num>
  <w:num w:numId="13">
    <w:abstractNumId w:val="6"/>
  </w:num>
  <w:num w:numId="14">
    <w:abstractNumId w:val="3"/>
  </w:num>
  <w:num w:numId="15">
    <w:abstractNumId w:val="8"/>
  </w:num>
  <w:num w:numId="16">
    <w:abstractNumId w:val="7"/>
  </w:num>
  <w:num w:numId="17">
    <w:abstractNumId w:val="11"/>
  </w:num>
  <w:num w:numId="18">
    <w:abstractNumId w:val="9"/>
  </w:num>
  <w:num w:numId="19">
    <w:abstractNumId w:val="20"/>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62446"/>
    <w:rsid w:val="0007086A"/>
    <w:rsid w:val="00077199"/>
    <w:rsid w:val="00083B7E"/>
    <w:rsid w:val="000A2191"/>
    <w:rsid w:val="000F0186"/>
    <w:rsid w:val="000F552D"/>
    <w:rsid w:val="000F750F"/>
    <w:rsid w:val="000F7A6B"/>
    <w:rsid w:val="00102931"/>
    <w:rsid w:val="00122CE8"/>
    <w:rsid w:val="001336C5"/>
    <w:rsid w:val="001574DE"/>
    <w:rsid w:val="00160154"/>
    <w:rsid w:val="00166C6A"/>
    <w:rsid w:val="001947FF"/>
    <w:rsid w:val="001D313C"/>
    <w:rsid w:val="001D6EE1"/>
    <w:rsid w:val="00211D87"/>
    <w:rsid w:val="0022133C"/>
    <w:rsid w:val="00243F19"/>
    <w:rsid w:val="00254167"/>
    <w:rsid w:val="002642E1"/>
    <w:rsid w:val="002A568E"/>
    <w:rsid w:val="003106C1"/>
    <w:rsid w:val="003216E3"/>
    <w:rsid w:val="00332AED"/>
    <w:rsid w:val="0038621F"/>
    <w:rsid w:val="003E1DF4"/>
    <w:rsid w:val="003F5D6D"/>
    <w:rsid w:val="004325F8"/>
    <w:rsid w:val="00437D72"/>
    <w:rsid w:val="004647FE"/>
    <w:rsid w:val="00492BAB"/>
    <w:rsid w:val="004E3DC7"/>
    <w:rsid w:val="004F48EE"/>
    <w:rsid w:val="004F755B"/>
    <w:rsid w:val="0050305D"/>
    <w:rsid w:val="005141F2"/>
    <w:rsid w:val="00581D01"/>
    <w:rsid w:val="005A6E0A"/>
    <w:rsid w:val="005E2AF9"/>
    <w:rsid w:val="005F1CDC"/>
    <w:rsid w:val="005F3DE9"/>
    <w:rsid w:val="006111DA"/>
    <w:rsid w:val="00614D6C"/>
    <w:rsid w:val="00684A1E"/>
    <w:rsid w:val="006E5F2D"/>
    <w:rsid w:val="00785349"/>
    <w:rsid w:val="00786E28"/>
    <w:rsid w:val="007D17DE"/>
    <w:rsid w:val="00807E2F"/>
    <w:rsid w:val="0082123E"/>
    <w:rsid w:val="00867401"/>
    <w:rsid w:val="00882664"/>
    <w:rsid w:val="00882902"/>
    <w:rsid w:val="008859E1"/>
    <w:rsid w:val="00894F85"/>
    <w:rsid w:val="008F261F"/>
    <w:rsid w:val="00901630"/>
    <w:rsid w:val="009506E0"/>
    <w:rsid w:val="00965F5F"/>
    <w:rsid w:val="009712F0"/>
    <w:rsid w:val="00975755"/>
    <w:rsid w:val="0098184F"/>
    <w:rsid w:val="0098301B"/>
    <w:rsid w:val="0098505D"/>
    <w:rsid w:val="009E7DA5"/>
    <w:rsid w:val="00A12BCF"/>
    <w:rsid w:val="00A35B55"/>
    <w:rsid w:val="00A44555"/>
    <w:rsid w:val="00A77473"/>
    <w:rsid w:val="00A95EF6"/>
    <w:rsid w:val="00AB178A"/>
    <w:rsid w:val="00AB4310"/>
    <w:rsid w:val="00AC3515"/>
    <w:rsid w:val="00AF007B"/>
    <w:rsid w:val="00AF19A5"/>
    <w:rsid w:val="00B27A4E"/>
    <w:rsid w:val="00B525DB"/>
    <w:rsid w:val="00B56D81"/>
    <w:rsid w:val="00BB1631"/>
    <w:rsid w:val="00BB3F5D"/>
    <w:rsid w:val="00BB5D22"/>
    <w:rsid w:val="00BC04D9"/>
    <w:rsid w:val="00BC45E2"/>
    <w:rsid w:val="00BD7141"/>
    <w:rsid w:val="00BE0681"/>
    <w:rsid w:val="00C14735"/>
    <w:rsid w:val="00C418A7"/>
    <w:rsid w:val="00C6062C"/>
    <w:rsid w:val="00C97449"/>
    <w:rsid w:val="00CB7F80"/>
    <w:rsid w:val="00CD4063"/>
    <w:rsid w:val="00CE610A"/>
    <w:rsid w:val="00D06160"/>
    <w:rsid w:val="00D16062"/>
    <w:rsid w:val="00D37604"/>
    <w:rsid w:val="00D51524"/>
    <w:rsid w:val="00D5438D"/>
    <w:rsid w:val="00D726AD"/>
    <w:rsid w:val="00D97A0D"/>
    <w:rsid w:val="00DA5F75"/>
    <w:rsid w:val="00E43B4D"/>
    <w:rsid w:val="00E7629A"/>
    <w:rsid w:val="00E76793"/>
    <w:rsid w:val="00E848E1"/>
    <w:rsid w:val="00E861FF"/>
    <w:rsid w:val="00E92F99"/>
    <w:rsid w:val="00E97B29"/>
    <w:rsid w:val="00EC6230"/>
    <w:rsid w:val="00EE0836"/>
    <w:rsid w:val="00F00CCA"/>
    <w:rsid w:val="00F10D73"/>
    <w:rsid w:val="00F23EAB"/>
    <w:rsid w:val="00F251B6"/>
    <w:rsid w:val="00F37684"/>
    <w:rsid w:val="00F376FA"/>
    <w:rsid w:val="00F6056F"/>
    <w:rsid w:val="00F772C6"/>
    <w:rsid w:val="00FA4C80"/>
    <w:rsid w:val="00FD07E8"/>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20Manual\Sofia%20Influenza%20A%20and%20B.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6</cp:revision>
  <cp:lastPrinted>2012-11-01T16:11:00Z</cp:lastPrinted>
  <dcterms:created xsi:type="dcterms:W3CDTF">2012-10-26T20:44:00Z</dcterms:created>
  <dcterms:modified xsi:type="dcterms:W3CDTF">2012-11-01T17:47:00Z</dcterms:modified>
</cp:coreProperties>
</file>