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5141F2" w:rsidP="00684A1E">
      <w:pPr>
        <w:jc w:val="center"/>
        <w:rPr>
          <w:b/>
          <w:color w:val="17365D" w:themeColor="text2" w:themeShade="BF"/>
          <w:sz w:val="48"/>
          <w:szCs w:val="48"/>
        </w:rPr>
      </w:pPr>
      <w:r>
        <w:rPr>
          <w:b/>
          <w:color w:val="17365D" w:themeColor="text2" w:themeShade="BF"/>
          <w:sz w:val="48"/>
          <w:szCs w:val="48"/>
        </w:rPr>
        <w:t xml:space="preserve">November </w:t>
      </w:r>
      <w:r w:rsidR="00624B5B">
        <w:rPr>
          <w:b/>
          <w:color w:val="17365D" w:themeColor="text2" w:themeShade="BF"/>
          <w:sz w:val="48"/>
          <w:szCs w:val="48"/>
        </w:rPr>
        <w:t>15</w:t>
      </w:r>
      <w:r w:rsidR="00BB5D22">
        <w:rPr>
          <w:b/>
          <w:color w:val="17365D" w:themeColor="text2" w:themeShade="BF"/>
          <w:sz w:val="48"/>
          <w:szCs w:val="48"/>
        </w:rPr>
        <w:t>, 2012</w:t>
      </w:r>
    </w:p>
    <w:tbl>
      <w:tblPr>
        <w:tblStyle w:val="MediumShading1-Accent1"/>
        <w:tblW w:w="14202" w:type="dxa"/>
        <w:tblLook w:val="04A0" w:firstRow="1" w:lastRow="0" w:firstColumn="1" w:lastColumn="0" w:noHBand="0" w:noVBand="1"/>
      </w:tblPr>
      <w:tblGrid>
        <w:gridCol w:w="1641"/>
        <w:gridCol w:w="10296"/>
        <w:gridCol w:w="2265"/>
      </w:tblGrid>
      <w:tr w:rsidR="00211D87" w:rsidTr="00C550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rsidR="00684A1E" w:rsidRPr="007D17DE" w:rsidRDefault="00684A1E" w:rsidP="00684A1E">
            <w:pPr>
              <w:jc w:val="center"/>
              <w:rPr>
                <w:sz w:val="28"/>
                <w:szCs w:val="28"/>
              </w:rPr>
            </w:pPr>
            <w:r w:rsidRPr="007D17DE">
              <w:rPr>
                <w:sz w:val="28"/>
                <w:szCs w:val="28"/>
              </w:rPr>
              <w:t>Test</w:t>
            </w:r>
          </w:p>
        </w:tc>
        <w:tc>
          <w:tcPr>
            <w:tcW w:w="10296"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65"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211D87" w:rsidTr="00C5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684A1E" w:rsidRPr="007D17DE" w:rsidRDefault="00624B5B" w:rsidP="00254167">
            <w:pPr>
              <w:jc w:val="center"/>
              <w:rPr>
                <w:sz w:val="28"/>
                <w:szCs w:val="28"/>
              </w:rPr>
            </w:pPr>
            <w:r>
              <w:rPr>
                <w:sz w:val="28"/>
                <w:szCs w:val="28"/>
              </w:rPr>
              <w:t xml:space="preserve">Slides for </w:t>
            </w:r>
            <w:proofErr w:type="spellStart"/>
            <w:r>
              <w:rPr>
                <w:sz w:val="28"/>
                <w:szCs w:val="28"/>
              </w:rPr>
              <w:t>Heme</w:t>
            </w:r>
            <w:proofErr w:type="spellEnd"/>
          </w:p>
        </w:tc>
        <w:tc>
          <w:tcPr>
            <w:tcW w:w="10296" w:type="dxa"/>
          </w:tcPr>
          <w:p w:rsidR="00254167" w:rsidRPr="00B56D81" w:rsidRDefault="00624B5B" w:rsidP="0005626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Only pencil on the frosted end of the slide is acceptable for identification purposes.  Label the slide with patient name, MRN and the date.  Permanent marker</w:t>
            </w:r>
            <w:r w:rsidR="00C55034">
              <w:rPr>
                <w:sz w:val="28"/>
                <w:szCs w:val="28"/>
              </w:rPr>
              <w:t>, ink pen or a handwritten paper label</w:t>
            </w:r>
            <w:r>
              <w:rPr>
                <w:sz w:val="28"/>
                <w:szCs w:val="28"/>
              </w:rPr>
              <w:t xml:space="preserve"> is not acceptable as it is removed by the methanol during staining.  Labels are also destroyed by the methanol during staining.</w:t>
            </w:r>
          </w:p>
        </w:tc>
        <w:tc>
          <w:tcPr>
            <w:tcW w:w="2265" w:type="dxa"/>
            <w:vAlign w:val="center"/>
          </w:tcPr>
          <w:p w:rsidR="00684A1E" w:rsidRPr="007D17DE" w:rsidRDefault="00E7629A"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FD07E8" w:rsidTr="00C5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FD07E8" w:rsidRDefault="003A2D93" w:rsidP="007D17DE">
            <w:pPr>
              <w:jc w:val="center"/>
              <w:rPr>
                <w:sz w:val="28"/>
                <w:szCs w:val="28"/>
              </w:rPr>
            </w:pPr>
            <w:r>
              <w:rPr>
                <w:sz w:val="28"/>
                <w:szCs w:val="28"/>
              </w:rPr>
              <w:t>High A1C</w:t>
            </w:r>
          </w:p>
        </w:tc>
        <w:tc>
          <w:tcPr>
            <w:tcW w:w="10296" w:type="dxa"/>
          </w:tcPr>
          <w:p w:rsidR="003A2D93" w:rsidRDefault="003A2D93" w:rsidP="003A2D93">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 reminder of the ranges for A1C’s, as described in the procedure.</w:t>
            </w:r>
          </w:p>
          <w:p w:rsidR="003A2D93" w:rsidRDefault="003A2D93" w:rsidP="003A2D93">
            <w:pPr>
              <w:cnfStyle w:val="000000010000" w:firstRow="0" w:lastRow="0" w:firstColumn="0" w:lastColumn="0" w:oddVBand="0" w:evenVBand="0" w:oddHBand="0" w:evenHBand="1" w:firstRowFirstColumn="0" w:firstRowLastColumn="0" w:lastRowFirstColumn="0" w:lastRowLastColumn="0"/>
              <w:rPr>
                <w:rFonts w:ascii="Calibri" w:hAnsi="Calibri" w:cs="Calibri"/>
                <w:b/>
              </w:rPr>
            </w:pPr>
            <w:r>
              <w:rPr>
                <w:rFonts w:ascii="Calibri" w:hAnsi="Calibri" w:cs="Calibri"/>
                <w:b/>
              </w:rPr>
              <w:t>Linear Range</w:t>
            </w:r>
          </w:p>
          <w:p w:rsidR="003A2D93" w:rsidRDefault="003A2D93" w:rsidP="003A2D93">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b/>
              </w:rPr>
              <w:tab/>
            </w:r>
            <w:r>
              <w:rPr>
                <w:rFonts w:ascii="Calibri" w:hAnsi="Calibri" w:cs="Calibri"/>
                <w:b/>
              </w:rPr>
              <w:tab/>
            </w:r>
            <w:r>
              <w:rPr>
                <w:rFonts w:ascii="Calibri" w:hAnsi="Calibri" w:cs="Calibri"/>
              </w:rPr>
              <w:t>4.0%-15.0%</w:t>
            </w:r>
          </w:p>
          <w:p w:rsidR="003A2D93" w:rsidRPr="00675472" w:rsidRDefault="003A2D93" w:rsidP="003A2D93">
            <w:pPr>
              <w:pStyle w:val="Header"/>
              <w:numPr>
                <w:ilvl w:val="0"/>
                <w:numId w:val="23"/>
              </w:numPr>
              <w:tabs>
                <w:tab w:val="clear" w:pos="4320"/>
                <w:tab w:val="clear" w:pos="8640"/>
              </w:tabs>
              <w:cnfStyle w:val="000000010000" w:firstRow="0" w:lastRow="0" w:firstColumn="0" w:lastColumn="0" w:oddVBand="0" w:evenVBand="0" w:oddHBand="0" w:evenHBand="1" w:firstRowFirstColumn="0" w:firstRowLastColumn="0" w:lastRowFirstColumn="0" w:lastRowLastColumn="0"/>
              <w:rPr>
                <w:rFonts w:ascii="Calibri" w:hAnsi="Calibri"/>
                <w:color w:val="000000"/>
              </w:rPr>
            </w:pPr>
            <w:r w:rsidRPr="00675472">
              <w:rPr>
                <w:rFonts w:ascii="Calibri" w:hAnsi="Calibri"/>
                <w:color w:val="000000"/>
              </w:rPr>
              <w:t xml:space="preserve">A result displayed as information code “105” indicates a concentration below the lower limit (4.0%). Result should be reported as &lt;4.0% </w:t>
            </w:r>
            <w:r>
              <w:rPr>
                <w:rFonts w:ascii="Calibri" w:hAnsi="Calibri"/>
                <w:color w:val="000000"/>
              </w:rPr>
              <w:t>Hb</w:t>
            </w:r>
            <w:r w:rsidRPr="00675472">
              <w:rPr>
                <w:rFonts w:ascii="Calibri" w:hAnsi="Calibri"/>
                <w:color w:val="000000"/>
              </w:rPr>
              <w:t>A1c.</w:t>
            </w:r>
          </w:p>
          <w:p w:rsidR="00AE236C" w:rsidRDefault="003A2D93" w:rsidP="003A2D93">
            <w:pPr>
              <w:pStyle w:val="Header"/>
              <w:numPr>
                <w:ilvl w:val="0"/>
                <w:numId w:val="23"/>
              </w:numPr>
              <w:tabs>
                <w:tab w:val="clear" w:pos="4320"/>
                <w:tab w:val="clear" w:pos="8640"/>
              </w:tabs>
              <w:cnfStyle w:val="000000010000" w:firstRow="0" w:lastRow="0" w:firstColumn="0" w:lastColumn="0" w:oddVBand="0" w:evenVBand="0" w:oddHBand="0" w:evenHBand="1" w:firstRowFirstColumn="0" w:firstRowLastColumn="0" w:lastRowFirstColumn="0" w:lastRowLastColumn="0"/>
              <w:rPr>
                <w:sz w:val="28"/>
                <w:szCs w:val="28"/>
              </w:rPr>
            </w:pPr>
            <w:r w:rsidRPr="00675472">
              <w:rPr>
                <w:rFonts w:ascii="Calibri" w:hAnsi="Calibri"/>
                <w:color w:val="000000"/>
              </w:rPr>
              <w:t xml:space="preserve">A result displayed as information code “106” indicates a concentration above the upper limit (15.0%). Result should be reported as &gt;15.0% </w:t>
            </w:r>
            <w:r>
              <w:rPr>
                <w:rFonts w:ascii="Calibri" w:hAnsi="Calibri"/>
                <w:color w:val="000000"/>
              </w:rPr>
              <w:t>Hb</w:t>
            </w:r>
            <w:r w:rsidRPr="00675472">
              <w:rPr>
                <w:rFonts w:ascii="Calibri" w:hAnsi="Calibri"/>
                <w:color w:val="000000"/>
              </w:rPr>
              <w:t>A1c.</w:t>
            </w:r>
          </w:p>
        </w:tc>
        <w:tc>
          <w:tcPr>
            <w:tcW w:w="2265" w:type="dxa"/>
            <w:vAlign w:val="center"/>
          </w:tcPr>
          <w:p w:rsidR="00FD07E8" w:rsidRDefault="003A2D93"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Bench Techs</w:t>
            </w:r>
          </w:p>
        </w:tc>
      </w:tr>
      <w:tr w:rsidR="00EE0836" w:rsidTr="00C5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684A1E" w:rsidRPr="007D17DE" w:rsidRDefault="003A2D93" w:rsidP="003B7A6D">
            <w:pPr>
              <w:jc w:val="center"/>
              <w:rPr>
                <w:sz w:val="28"/>
                <w:szCs w:val="28"/>
              </w:rPr>
            </w:pPr>
            <w:r>
              <w:rPr>
                <w:sz w:val="28"/>
                <w:szCs w:val="28"/>
              </w:rPr>
              <w:t>Cerner</w:t>
            </w:r>
            <w:r w:rsidR="003B7A6D">
              <w:rPr>
                <w:sz w:val="28"/>
                <w:szCs w:val="28"/>
              </w:rPr>
              <w:t xml:space="preserve"> </w:t>
            </w:r>
            <w:r>
              <w:rPr>
                <w:sz w:val="28"/>
                <w:szCs w:val="28"/>
              </w:rPr>
              <w:t>Changes</w:t>
            </w:r>
          </w:p>
        </w:tc>
        <w:tc>
          <w:tcPr>
            <w:tcW w:w="10296" w:type="dxa"/>
          </w:tcPr>
          <w:p w:rsidR="00894F85" w:rsidRDefault="003A2D93" w:rsidP="003A2D9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28"/>
                <w:szCs w:val="28"/>
              </w:rPr>
            </w:pPr>
            <w:r w:rsidRPr="003A2D93">
              <w:rPr>
                <w:sz w:val="28"/>
                <w:szCs w:val="28"/>
              </w:rPr>
              <w:t xml:space="preserve">The collection time </w:t>
            </w:r>
            <w:r w:rsidRPr="003A2D93">
              <w:rPr>
                <w:b/>
                <w:sz w:val="28"/>
                <w:szCs w:val="28"/>
                <w:u w:val="single"/>
              </w:rPr>
              <w:t>MUST</w:t>
            </w:r>
            <w:r w:rsidRPr="003A2D93">
              <w:rPr>
                <w:sz w:val="28"/>
                <w:szCs w:val="28"/>
              </w:rPr>
              <w:t xml:space="preserve"> be before the receive time.  The receive time defaults to the current time when you are logging specimens in.  The easiest way to fix this is to decrease the collection time by several minutes by hitting the down arrow when logging specimens in.  See Denelle or Sue Johnson if you have questions.</w:t>
            </w:r>
          </w:p>
          <w:p w:rsidR="003A2D93" w:rsidRDefault="003A2D93" w:rsidP="003A2D9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If you get a </w:t>
            </w:r>
            <w:r w:rsidR="00C55034">
              <w:rPr>
                <w:sz w:val="28"/>
                <w:szCs w:val="28"/>
              </w:rPr>
              <w:t>“</w:t>
            </w:r>
            <w:r>
              <w:rPr>
                <w:sz w:val="28"/>
                <w:szCs w:val="28"/>
              </w:rPr>
              <w:t>netting error</w:t>
            </w:r>
            <w:r w:rsidR="00C55034">
              <w:rPr>
                <w:sz w:val="28"/>
                <w:szCs w:val="28"/>
              </w:rPr>
              <w:t>”</w:t>
            </w:r>
            <w:r>
              <w:rPr>
                <w:sz w:val="28"/>
                <w:szCs w:val="28"/>
              </w:rPr>
              <w:t xml:space="preserve">, this means the accession number has assigned right in the middle of logging the specimen in.  To proceed, select ok.   Then hit the button with the “glasses” to refresh.  The accession number will populate the </w:t>
            </w:r>
            <w:r>
              <w:rPr>
                <w:sz w:val="28"/>
                <w:szCs w:val="28"/>
              </w:rPr>
              <w:lastRenderedPageBreak/>
              <w:t>field, print the labels and then proceed to log in the specimen as usual.</w:t>
            </w:r>
          </w:p>
          <w:p w:rsidR="003B7A6D" w:rsidRDefault="003B7A6D" w:rsidP="003A2D9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Using a coded comment in the cancel field does not translate using F9 anymore.  Instead search for the cancel comment using F2.  Make sure activity type is General Lab and in the name field type NPH.</w:t>
            </w:r>
            <w:r w:rsidR="00C55034">
              <w:rPr>
                <w:sz w:val="28"/>
                <w:szCs w:val="28"/>
              </w:rPr>
              <w:t xml:space="preserve"> Then highlight the code you want and select OK.</w:t>
            </w:r>
          </w:p>
          <w:p w:rsidR="003B7A6D" w:rsidRDefault="008B7CD3" w:rsidP="003B7A6D">
            <w:pPr>
              <w:pStyle w:val="ListParagraph"/>
              <w:cnfStyle w:val="000000100000" w:firstRow="0" w:lastRow="0" w:firstColumn="0" w:lastColumn="0" w:oddVBand="0" w:evenVBand="0" w:oddHBand="1" w:evenHBand="0" w:firstRowFirstColumn="0" w:firstRowLastColumn="0" w:lastRowFirstColumn="0" w:lastRowLastColumn="0"/>
              <w:rPr>
                <w:sz w:val="28"/>
                <w:szCs w:val="28"/>
              </w:rPr>
            </w:pPr>
            <w:r>
              <w:rPr>
                <w:noProof/>
              </w:rPr>
              <mc:AlternateContent>
                <mc:Choice Requires="wps">
                  <w:drawing>
                    <wp:anchor distT="0" distB="0" distL="114300" distR="114300" simplePos="0" relativeHeight="251663360" behindDoc="0" locked="0" layoutInCell="1" allowOverlap="1" wp14:anchorId="2F99252D" wp14:editId="2133F868">
                      <wp:simplePos x="0" y="0"/>
                      <wp:positionH relativeFrom="column">
                        <wp:posOffset>996315</wp:posOffset>
                      </wp:positionH>
                      <wp:positionV relativeFrom="paragraph">
                        <wp:posOffset>616585</wp:posOffset>
                      </wp:positionV>
                      <wp:extent cx="2257425" cy="276225"/>
                      <wp:effectExtent l="0" t="0" r="28575" b="28575"/>
                      <wp:wrapNone/>
                      <wp:docPr id="4" name="Oval 4"/>
                      <wp:cNvGraphicFramePr/>
                      <a:graphic xmlns:a="http://schemas.openxmlformats.org/drawingml/2006/main">
                        <a:graphicData uri="http://schemas.microsoft.com/office/word/2010/wordprocessingShape">
                          <wps:wsp>
                            <wps:cNvSpPr/>
                            <wps:spPr>
                              <a:xfrm>
                                <a:off x="0" y="0"/>
                                <a:ext cx="2257425" cy="27622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78.45pt;margin-top:48.55pt;width:17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" filled="f" strokecolor="#c00000" strokeweight="2pt"/>
                  </w:pict>
                </mc:Fallback>
              </mc:AlternateContent>
            </w:r>
            <w:r>
              <w:rPr>
                <w:noProof/>
              </w:rPr>
              <mc:AlternateContent>
                <mc:Choice Requires="wps">
                  <w:drawing>
                    <wp:anchor distT="0" distB="0" distL="114300" distR="114300" simplePos="0" relativeHeight="251661312" behindDoc="0" locked="0" layoutInCell="1" allowOverlap="1" wp14:anchorId="29E3E6AB" wp14:editId="2714F6E1">
                      <wp:simplePos x="0" y="0"/>
                      <wp:positionH relativeFrom="column">
                        <wp:posOffset>3253740</wp:posOffset>
                      </wp:positionH>
                      <wp:positionV relativeFrom="paragraph">
                        <wp:posOffset>378460</wp:posOffset>
                      </wp:positionV>
                      <wp:extent cx="2257425" cy="276225"/>
                      <wp:effectExtent l="0" t="0" r="28575" b="28575"/>
                      <wp:wrapNone/>
                      <wp:docPr id="2" name="Oval 2"/>
                      <wp:cNvGraphicFramePr/>
                      <a:graphic xmlns:a="http://schemas.openxmlformats.org/drawingml/2006/main">
                        <a:graphicData uri="http://schemas.microsoft.com/office/word/2010/wordprocessingShape">
                          <wps:wsp>
                            <wps:cNvSpPr/>
                            <wps:spPr>
                              <a:xfrm>
                                <a:off x="0" y="0"/>
                                <a:ext cx="2257425" cy="27622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56.2pt;margin-top:29.8pt;width:17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" filled="f" strokecolor="#c00000" strokeweight="2pt"/>
                  </w:pict>
                </mc:Fallback>
              </mc:AlternateContent>
            </w:r>
            <w:r w:rsidR="003B7A6D">
              <w:rPr>
                <w:noProof/>
              </w:rPr>
              <w:drawing>
                <wp:inline distT="0" distB="0" distL="0" distR="0" wp14:anchorId="666D2B66" wp14:editId="0526CB57">
                  <wp:extent cx="5943600" cy="320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206750"/>
                          </a:xfrm>
                          <a:prstGeom prst="rect">
                            <a:avLst/>
                          </a:prstGeom>
                        </pic:spPr>
                      </pic:pic>
                    </a:graphicData>
                  </a:graphic>
                </wp:inline>
              </w:drawing>
            </w:r>
          </w:p>
          <w:p w:rsidR="003B7A6D" w:rsidRDefault="003B7A6D" w:rsidP="003A2D9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You are now able to add a cancel comment in the man.  But you must also select the canceling provider, which is the ordering provider unless otherwise specified.</w:t>
            </w:r>
            <w:r w:rsidR="00C55034">
              <w:rPr>
                <w:sz w:val="28"/>
                <w:szCs w:val="28"/>
              </w:rPr>
              <w:t xml:space="preserve">  </w:t>
            </w:r>
          </w:p>
          <w:p w:rsidR="003B7A6D" w:rsidRPr="003A2D93" w:rsidRDefault="008B7CD3" w:rsidP="003B7A6D">
            <w:pPr>
              <w:pStyle w:val="ListParagraph"/>
              <w:cnfStyle w:val="000000100000" w:firstRow="0" w:lastRow="0" w:firstColumn="0" w:lastColumn="0" w:oddVBand="0" w:evenVBand="0" w:oddHBand="1" w:evenHBand="0" w:firstRowFirstColumn="0" w:firstRowLastColumn="0" w:lastRowFirstColumn="0" w:lastRowLastColumn="0"/>
              <w:rPr>
                <w:sz w:val="28"/>
                <w:szCs w:val="28"/>
              </w:rPr>
            </w:pPr>
            <w:r>
              <w:rPr>
                <w:noProof/>
              </w:rPr>
              <w:lastRenderedPageBreak/>
              <mc:AlternateContent>
                <mc:Choice Requires="wps">
                  <w:drawing>
                    <wp:anchor distT="0" distB="0" distL="114300" distR="114300" simplePos="0" relativeHeight="251665408" behindDoc="0" locked="0" layoutInCell="1" allowOverlap="1" wp14:anchorId="3E5FD352" wp14:editId="7D3ABD32">
                      <wp:simplePos x="0" y="0"/>
                      <wp:positionH relativeFrom="column">
                        <wp:posOffset>453390</wp:posOffset>
                      </wp:positionH>
                      <wp:positionV relativeFrom="paragraph">
                        <wp:posOffset>2149475</wp:posOffset>
                      </wp:positionV>
                      <wp:extent cx="2257425" cy="276225"/>
                      <wp:effectExtent l="0" t="0" r="28575" b="28575"/>
                      <wp:wrapNone/>
                      <wp:docPr id="7" name="Oval 7"/>
                      <wp:cNvGraphicFramePr/>
                      <a:graphic xmlns:a="http://schemas.openxmlformats.org/drawingml/2006/main">
                        <a:graphicData uri="http://schemas.microsoft.com/office/word/2010/wordprocessingShape">
                          <wps:wsp>
                            <wps:cNvSpPr/>
                            <wps:spPr>
                              <a:xfrm>
                                <a:off x="0" y="0"/>
                                <a:ext cx="2257425" cy="27622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5.7pt;margin-top:169.25pt;width:177.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" filled="f" strokecolor="#c00000" strokeweight="2pt"/>
                  </w:pict>
                </mc:Fallback>
              </mc:AlternateContent>
            </w:r>
            <w:r w:rsidR="003B7A6D">
              <w:rPr>
                <w:noProof/>
              </w:rPr>
              <w:drawing>
                <wp:inline distT="0" distB="0" distL="0" distR="0" wp14:anchorId="4101A16B" wp14:editId="769A5405">
                  <wp:extent cx="2847975" cy="272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47975" cy="2728480"/>
                          </a:xfrm>
                          <a:prstGeom prst="rect">
                            <a:avLst/>
                          </a:prstGeom>
                        </pic:spPr>
                      </pic:pic>
                    </a:graphicData>
                  </a:graphic>
                </wp:inline>
              </w:drawing>
            </w:r>
          </w:p>
        </w:tc>
        <w:tc>
          <w:tcPr>
            <w:tcW w:w="2265" w:type="dxa"/>
            <w:vAlign w:val="center"/>
          </w:tcPr>
          <w:p w:rsidR="00684A1E" w:rsidRPr="007D17DE" w:rsidRDefault="0022133C"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lastRenderedPageBreak/>
              <w:t>All Staff</w:t>
            </w:r>
          </w:p>
        </w:tc>
      </w:tr>
      <w:tr w:rsidR="00FF48CB" w:rsidTr="00C5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FF48CB" w:rsidRPr="007D17DE" w:rsidRDefault="00A27141" w:rsidP="00BB5D22">
            <w:pPr>
              <w:jc w:val="center"/>
              <w:rPr>
                <w:sz w:val="28"/>
                <w:szCs w:val="28"/>
              </w:rPr>
            </w:pPr>
            <w:r>
              <w:rPr>
                <w:sz w:val="28"/>
                <w:szCs w:val="28"/>
              </w:rPr>
              <w:lastRenderedPageBreak/>
              <w:t xml:space="preserve"> Cerner labels</w:t>
            </w:r>
          </w:p>
        </w:tc>
        <w:tc>
          <w:tcPr>
            <w:tcW w:w="10296" w:type="dxa"/>
          </w:tcPr>
          <w:p w:rsidR="00933B1B" w:rsidRPr="00933B1B" w:rsidRDefault="003A2D93" w:rsidP="003B7A6D">
            <w:pPr>
              <w:ind w:right="162"/>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The Cerner labels </w:t>
            </w:r>
            <w:r w:rsidR="003B7A6D">
              <w:rPr>
                <w:sz w:val="28"/>
                <w:szCs w:val="28"/>
              </w:rPr>
              <w:t xml:space="preserve">formerly </w:t>
            </w:r>
            <w:r>
              <w:rPr>
                <w:sz w:val="28"/>
                <w:szCs w:val="28"/>
              </w:rPr>
              <w:t xml:space="preserve">stored in the back </w:t>
            </w:r>
            <w:r w:rsidR="003B7A6D">
              <w:rPr>
                <w:sz w:val="28"/>
                <w:szCs w:val="28"/>
              </w:rPr>
              <w:t xml:space="preserve">in the bottom drawer </w:t>
            </w:r>
            <w:r>
              <w:rPr>
                <w:sz w:val="28"/>
                <w:szCs w:val="28"/>
              </w:rPr>
              <w:t xml:space="preserve">have been moved to the open shelf above the </w:t>
            </w:r>
            <w:proofErr w:type="spellStart"/>
            <w:r>
              <w:rPr>
                <w:sz w:val="28"/>
                <w:szCs w:val="28"/>
              </w:rPr>
              <w:t>Microalbumin</w:t>
            </w:r>
            <w:proofErr w:type="spellEnd"/>
            <w:r>
              <w:rPr>
                <w:sz w:val="28"/>
                <w:szCs w:val="28"/>
              </w:rPr>
              <w:t xml:space="preserve"> </w:t>
            </w:r>
            <w:proofErr w:type="spellStart"/>
            <w:r>
              <w:rPr>
                <w:sz w:val="28"/>
                <w:szCs w:val="28"/>
              </w:rPr>
              <w:t>Afinion</w:t>
            </w:r>
            <w:proofErr w:type="spellEnd"/>
            <w:r>
              <w:rPr>
                <w:sz w:val="28"/>
                <w:szCs w:val="28"/>
              </w:rPr>
              <w:t xml:space="preserve"> instrument.</w:t>
            </w:r>
          </w:p>
        </w:tc>
        <w:tc>
          <w:tcPr>
            <w:tcW w:w="2265" w:type="dxa"/>
            <w:vAlign w:val="center"/>
          </w:tcPr>
          <w:p w:rsidR="00FF48CB" w:rsidRPr="007D17DE" w:rsidRDefault="00FA4C80"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2A568E" w:rsidTr="00C5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2A568E" w:rsidRDefault="003B7A6D" w:rsidP="00BB5D22">
            <w:pPr>
              <w:jc w:val="center"/>
              <w:rPr>
                <w:sz w:val="28"/>
                <w:szCs w:val="28"/>
              </w:rPr>
            </w:pPr>
            <w:r>
              <w:rPr>
                <w:rFonts w:cstheme="minorHAnsi"/>
                <w:sz w:val="28"/>
                <w:szCs w:val="28"/>
              </w:rPr>
              <w:t>Add-ons and Extra tubes</w:t>
            </w:r>
          </w:p>
        </w:tc>
        <w:tc>
          <w:tcPr>
            <w:tcW w:w="10296" w:type="dxa"/>
          </w:tcPr>
          <w:p w:rsidR="002A568E" w:rsidRDefault="003B7A6D" w:rsidP="0002152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These orders must have the </w:t>
            </w:r>
            <w:r w:rsidRPr="003B7A6D">
              <w:rPr>
                <w:b/>
                <w:sz w:val="28"/>
                <w:szCs w:val="28"/>
                <w:u w:val="single"/>
              </w:rPr>
              <w:t>COLLECTION TIME</w:t>
            </w:r>
            <w:r>
              <w:rPr>
                <w:sz w:val="28"/>
                <w:szCs w:val="28"/>
              </w:rPr>
              <w:t xml:space="preserve"> match </w:t>
            </w:r>
            <w:r w:rsidR="00C55034">
              <w:rPr>
                <w:sz w:val="28"/>
                <w:szCs w:val="28"/>
              </w:rPr>
              <w:t>the original collection time</w:t>
            </w:r>
            <w:r>
              <w:rPr>
                <w:sz w:val="28"/>
                <w:szCs w:val="28"/>
              </w:rPr>
              <w:t xml:space="preserve"> to match and display correctly in EPIC.  If the time does not match it may also adversely affect billing.  See Denelle if you have questions or concerns.</w:t>
            </w:r>
          </w:p>
        </w:tc>
        <w:tc>
          <w:tcPr>
            <w:tcW w:w="2265" w:type="dxa"/>
            <w:vAlign w:val="center"/>
          </w:tcPr>
          <w:p w:rsidR="002A568E" w:rsidRDefault="002A568E"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9506E0" w:rsidTr="00C5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vAlign w:val="center"/>
          </w:tcPr>
          <w:p w:rsidR="009506E0" w:rsidRDefault="00C55034" w:rsidP="00BB5D22">
            <w:pPr>
              <w:jc w:val="center"/>
              <w:rPr>
                <w:sz w:val="28"/>
                <w:szCs w:val="28"/>
              </w:rPr>
            </w:pPr>
            <w:r>
              <w:rPr>
                <w:sz w:val="28"/>
                <w:szCs w:val="28"/>
              </w:rPr>
              <w:t>INR’s using INRatio2</w:t>
            </w:r>
          </w:p>
        </w:tc>
        <w:tc>
          <w:tcPr>
            <w:tcW w:w="10296" w:type="dxa"/>
          </w:tcPr>
          <w:p w:rsidR="009506E0" w:rsidRDefault="00C55034" w:rsidP="008B7CD3">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The INRatio2 </w:t>
            </w:r>
            <w:r w:rsidRPr="008B7CD3">
              <w:rPr>
                <w:b/>
                <w:sz w:val="28"/>
                <w:szCs w:val="28"/>
                <w:u w:val="single"/>
              </w:rPr>
              <w:t xml:space="preserve">must always be performed using </w:t>
            </w:r>
            <w:r w:rsidR="008B7CD3" w:rsidRPr="008B7CD3">
              <w:rPr>
                <w:b/>
                <w:sz w:val="28"/>
                <w:szCs w:val="28"/>
                <w:u w:val="single"/>
              </w:rPr>
              <w:t xml:space="preserve">blood from </w:t>
            </w:r>
            <w:r w:rsidRPr="008B7CD3">
              <w:rPr>
                <w:b/>
                <w:sz w:val="28"/>
                <w:szCs w:val="28"/>
                <w:u w:val="single"/>
              </w:rPr>
              <w:t>a capillary stick</w:t>
            </w:r>
            <w:r>
              <w:rPr>
                <w:sz w:val="28"/>
                <w:szCs w:val="28"/>
              </w:rPr>
              <w:t>.  It is not acceptable to use</w:t>
            </w:r>
            <w:r w:rsidR="008B7CD3">
              <w:rPr>
                <w:sz w:val="28"/>
                <w:szCs w:val="28"/>
              </w:rPr>
              <w:t xml:space="preserve"> an extra drop of blood from a venipuncture to perform this test.  If the patient REFUSES a </w:t>
            </w:r>
            <w:proofErr w:type="spellStart"/>
            <w:r w:rsidR="008B7CD3">
              <w:rPr>
                <w:sz w:val="28"/>
                <w:szCs w:val="28"/>
              </w:rPr>
              <w:t>fingerstick</w:t>
            </w:r>
            <w:proofErr w:type="spellEnd"/>
            <w:r w:rsidR="008B7CD3">
              <w:rPr>
                <w:sz w:val="28"/>
                <w:szCs w:val="28"/>
              </w:rPr>
              <w:t xml:space="preserve">, instead draw a </w:t>
            </w:r>
            <w:proofErr w:type="spellStart"/>
            <w:r w:rsidR="008B7CD3">
              <w:rPr>
                <w:sz w:val="28"/>
                <w:szCs w:val="28"/>
              </w:rPr>
              <w:t>coag</w:t>
            </w:r>
            <w:proofErr w:type="spellEnd"/>
            <w:r w:rsidR="008B7CD3">
              <w:rPr>
                <w:sz w:val="28"/>
                <w:szCs w:val="28"/>
              </w:rPr>
              <w:t xml:space="preserve"> tube and transfer the INR to HCMC for testing.  There is no need to call the pharmacist, as there will be no results for them to review.  See attached procedure below.</w:t>
            </w:r>
          </w:p>
        </w:tc>
        <w:tc>
          <w:tcPr>
            <w:tcW w:w="2265" w:type="dxa"/>
            <w:vAlign w:val="center"/>
          </w:tcPr>
          <w:p w:rsidR="009506E0" w:rsidRDefault="009506E0"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rsidR="0002152B" w:rsidRPr="00E861FF" w:rsidRDefault="008B7CD3" w:rsidP="00D06160">
      <w:pPr>
        <w:pStyle w:val="ListParagraph"/>
        <w:numPr>
          <w:ilvl w:val="0"/>
          <w:numId w:val="10"/>
        </w:numPr>
        <w:rPr>
          <w:rStyle w:val="Hyperlink"/>
          <w:b/>
          <w:color w:val="auto"/>
          <w:sz w:val="28"/>
          <w:szCs w:val="28"/>
          <w:u w:val="none"/>
        </w:rPr>
      </w:pPr>
      <w:hyperlink r:id="rId8" w:history="1">
        <w:r w:rsidRPr="008B7CD3">
          <w:rPr>
            <w:rStyle w:val="Hyperlink"/>
            <w:b/>
            <w:sz w:val="28"/>
            <w:szCs w:val="28"/>
          </w:rPr>
          <w:t>INR Proce</w:t>
        </w:r>
        <w:r w:rsidRPr="008B7CD3">
          <w:rPr>
            <w:rStyle w:val="Hyperlink"/>
            <w:b/>
            <w:sz w:val="28"/>
            <w:szCs w:val="28"/>
          </w:rPr>
          <w:t>d</w:t>
        </w:r>
        <w:r w:rsidRPr="008B7CD3">
          <w:rPr>
            <w:rStyle w:val="Hyperlink"/>
            <w:b/>
            <w:sz w:val="28"/>
            <w:szCs w:val="28"/>
          </w:rPr>
          <w:t>ure</w:t>
        </w:r>
      </w:hyperlink>
      <w:bookmarkStart w:id="0" w:name="_GoBack"/>
      <w:bookmarkEnd w:id="0"/>
    </w:p>
    <w:sectPr w:rsidR="0002152B" w:rsidRPr="00E861FF"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B1B07"/>
    <w:multiLevelType w:val="hybridMultilevel"/>
    <w:tmpl w:val="53D8F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E3E4DFC"/>
    <w:multiLevelType w:val="hybridMultilevel"/>
    <w:tmpl w:val="01C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333817"/>
    <w:multiLevelType w:val="multilevel"/>
    <w:tmpl w:val="20D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67458A"/>
    <w:multiLevelType w:val="hybridMultilevel"/>
    <w:tmpl w:val="1D9C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1B7570"/>
    <w:multiLevelType w:val="hybridMultilevel"/>
    <w:tmpl w:val="2066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E2092"/>
    <w:multiLevelType w:val="hybridMultilevel"/>
    <w:tmpl w:val="5036A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371F25"/>
    <w:multiLevelType w:val="hybridMultilevel"/>
    <w:tmpl w:val="27B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7"/>
  </w:num>
  <w:num w:numId="4">
    <w:abstractNumId w:val="1"/>
  </w:num>
  <w:num w:numId="5">
    <w:abstractNumId w:val="12"/>
  </w:num>
  <w:num w:numId="6">
    <w:abstractNumId w:val="0"/>
  </w:num>
  <w:num w:numId="7">
    <w:abstractNumId w:val="16"/>
  </w:num>
  <w:num w:numId="8">
    <w:abstractNumId w:val="21"/>
  </w:num>
  <w:num w:numId="9">
    <w:abstractNumId w:val="22"/>
  </w:num>
  <w:num w:numId="10">
    <w:abstractNumId w:val="18"/>
  </w:num>
  <w:num w:numId="11">
    <w:abstractNumId w:val="4"/>
  </w:num>
  <w:num w:numId="12">
    <w:abstractNumId w:val="6"/>
  </w:num>
  <w:num w:numId="13">
    <w:abstractNumId w:val="7"/>
  </w:num>
  <w:num w:numId="14">
    <w:abstractNumId w:val="3"/>
  </w:num>
  <w:num w:numId="15">
    <w:abstractNumId w:val="9"/>
  </w:num>
  <w:num w:numId="16">
    <w:abstractNumId w:val="8"/>
  </w:num>
  <w:num w:numId="17">
    <w:abstractNumId w:val="13"/>
  </w:num>
  <w:num w:numId="18">
    <w:abstractNumId w:val="10"/>
  </w:num>
  <w:num w:numId="19">
    <w:abstractNumId w:val="23"/>
  </w:num>
  <w:num w:numId="20">
    <w:abstractNumId w:val="19"/>
  </w:num>
  <w:num w:numId="21">
    <w:abstractNumId w:val="2"/>
  </w:num>
  <w:num w:numId="22">
    <w:abstractNumId w:val="11"/>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2152B"/>
    <w:rsid w:val="0004270A"/>
    <w:rsid w:val="0005626E"/>
    <w:rsid w:val="00062446"/>
    <w:rsid w:val="00066F55"/>
    <w:rsid w:val="0007086A"/>
    <w:rsid w:val="00077199"/>
    <w:rsid w:val="00083B7E"/>
    <w:rsid w:val="000A2191"/>
    <w:rsid w:val="000D0255"/>
    <w:rsid w:val="000F0186"/>
    <w:rsid w:val="000F552D"/>
    <w:rsid w:val="000F750F"/>
    <w:rsid w:val="000F7A6B"/>
    <w:rsid w:val="00102931"/>
    <w:rsid w:val="00122CE8"/>
    <w:rsid w:val="001336C5"/>
    <w:rsid w:val="00151FC0"/>
    <w:rsid w:val="001574DE"/>
    <w:rsid w:val="00160033"/>
    <w:rsid w:val="00160154"/>
    <w:rsid w:val="00166C6A"/>
    <w:rsid w:val="001947FF"/>
    <w:rsid w:val="001D313C"/>
    <w:rsid w:val="001D6EE1"/>
    <w:rsid w:val="00211D87"/>
    <w:rsid w:val="0022133C"/>
    <w:rsid w:val="00243F19"/>
    <w:rsid w:val="00254167"/>
    <w:rsid w:val="002642E1"/>
    <w:rsid w:val="002A568E"/>
    <w:rsid w:val="003106C1"/>
    <w:rsid w:val="003216E3"/>
    <w:rsid w:val="00332AED"/>
    <w:rsid w:val="0038621F"/>
    <w:rsid w:val="003A2D93"/>
    <w:rsid w:val="003B7A6D"/>
    <w:rsid w:val="003E1DF4"/>
    <w:rsid w:val="003F5D6D"/>
    <w:rsid w:val="0040530A"/>
    <w:rsid w:val="004325F8"/>
    <w:rsid w:val="00437D72"/>
    <w:rsid w:val="004647FE"/>
    <w:rsid w:val="00492BAB"/>
    <w:rsid w:val="004E3DC7"/>
    <w:rsid w:val="004F48EE"/>
    <w:rsid w:val="004F755B"/>
    <w:rsid w:val="0050305D"/>
    <w:rsid w:val="005141F2"/>
    <w:rsid w:val="00581D01"/>
    <w:rsid w:val="005A6E0A"/>
    <w:rsid w:val="005E2AF9"/>
    <w:rsid w:val="005F1CDC"/>
    <w:rsid w:val="005F3DE9"/>
    <w:rsid w:val="006111DA"/>
    <w:rsid w:val="00614D6C"/>
    <w:rsid w:val="00624B5B"/>
    <w:rsid w:val="00684A1E"/>
    <w:rsid w:val="006E5F2D"/>
    <w:rsid w:val="006F2D67"/>
    <w:rsid w:val="00785349"/>
    <w:rsid w:val="00786E28"/>
    <w:rsid w:val="007D17DE"/>
    <w:rsid w:val="00807E2F"/>
    <w:rsid w:val="008166B7"/>
    <w:rsid w:val="0082123E"/>
    <w:rsid w:val="00867401"/>
    <w:rsid w:val="00882664"/>
    <w:rsid w:val="00882902"/>
    <w:rsid w:val="008859E1"/>
    <w:rsid w:val="00894F85"/>
    <w:rsid w:val="008B7CD3"/>
    <w:rsid w:val="008F261F"/>
    <w:rsid w:val="00901630"/>
    <w:rsid w:val="00933B1B"/>
    <w:rsid w:val="009506E0"/>
    <w:rsid w:val="00965F5F"/>
    <w:rsid w:val="009712F0"/>
    <w:rsid w:val="00975755"/>
    <w:rsid w:val="0098184F"/>
    <w:rsid w:val="0098301B"/>
    <w:rsid w:val="0098505D"/>
    <w:rsid w:val="009E7DA5"/>
    <w:rsid w:val="00A12BCF"/>
    <w:rsid w:val="00A20625"/>
    <w:rsid w:val="00A27141"/>
    <w:rsid w:val="00A35B55"/>
    <w:rsid w:val="00A44555"/>
    <w:rsid w:val="00A77473"/>
    <w:rsid w:val="00A95EF6"/>
    <w:rsid w:val="00AB178A"/>
    <w:rsid w:val="00AB4310"/>
    <w:rsid w:val="00AC3515"/>
    <w:rsid w:val="00AE236C"/>
    <w:rsid w:val="00AF007B"/>
    <w:rsid w:val="00AF19A5"/>
    <w:rsid w:val="00B27A4E"/>
    <w:rsid w:val="00B525DB"/>
    <w:rsid w:val="00B56D81"/>
    <w:rsid w:val="00BA65AE"/>
    <w:rsid w:val="00BB1631"/>
    <w:rsid w:val="00BB3F5D"/>
    <w:rsid w:val="00BB5D22"/>
    <w:rsid w:val="00BC04D9"/>
    <w:rsid w:val="00BC45E2"/>
    <w:rsid w:val="00BD7141"/>
    <w:rsid w:val="00BE0681"/>
    <w:rsid w:val="00C14735"/>
    <w:rsid w:val="00C418A7"/>
    <w:rsid w:val="00C5481B"/>
    <w:rsid w:val="00C55034"/>
    <w:rsid w:val="00C6062C"/>
    <w:rsid w:val="00C97449"/>
    <w:rsid w:val="00CB7F80"/>
    <w:rsid w:val="00CD4063"/>
    <w:rsid w:val="00CE610A"/>
    <w:rsid w:val="00D06160"/>
    <w:rsid w:val="00D16062"/>
    <w:rsid w:val="00D37604"/>
    <w:rsid w:val="00D51524"/>
    <w:rsid w:val="00D5438D"/>
    <w:rsid w:val="00D72615"/>
    <w:rsid w:val="00D726AD"/>
    <w:rsid w:val="00D740FD"/>
    <w:rsid w:val="00D97A0D"/>
    <w:rsid w:val="00DA5F75"/>
    <w:rsid w:val="00E37A70"/>
    <w:rsid w:val="00E43B4D"/>
    <w:rsid w:val="00E6564B"/>
    <w:rsid w:val="00E7629A"/>
    <w:rsid w:val="00E76793"/>
    <w:rsid w:val="00E848E1"/>
    <w:rsid w:val="00E861FF"/>
    <w:rsid w:val="00E92994"/>
    <w:rsid w:val="00E92F99"/>
    <w:rsid w:val="00E97B29"/>
    <w:rsid w:val="00EC6230"/>
    <w:rsid w:val="00EE0836"/>
    <w:rsid w:val="00F00CCA"/>
    <w:rsid w:val="00F10D73"/>
    <w:rsid w:val="00F23EAB"/>
    <w:rsid w:val="00F251B6"/>
    <w:rsid w:val="00F37684"/>
    <w:rsid w:val="00F376FA"/>
    <w:rsid w:val="00F5158B"/>
    <w:rsid w:val="00F6056F"/>
    <w:rsid w:val="00F772C6"/>
    <w:rsid w:val="00FA4C80"/>
    <w:rsid w:val="00FD07E8"/>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onkers\pchcteam\Lab\Procedure%20Manual\INR%20by%20InRatio.docx"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6</cp:revision>
  <cp:lastPrinted>2012-11-01T16:11:00Z</cp:lastPrinted>
  <dcterms:created xsi:type="dcterms:W3CDTF">2012-11-09T18:03:00Z</dcterms:created>
  <dcterms:modified xsi:type="dcterms:W3CDTF">2012-11-15T23:56:00Z</dcterms:modified>
</cp:coreProperties>
</file>