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341C663F" w:rsidR="00684A1E" w:rsidRPr="00684A1E" w:rsidRDefault="002462AF" w:rsidP="00684A1E">
      <w:pPr>
        <w:jc w:val="center"/>
        <w:rPr>
          <w:b/>
          <w:color w:val="17365D" w:themeColor="text2" w:themeShade="BF"/>
          <w:sz w:val="48"/>
          <w:szCs w:val="48"/>
        </w:rPr>
      </w:pPr>
      <w:r>
        <w:rPr>
          <w:b/>
          <w:color w:val="17365D" w:themeColor="text2" w:themeShade="BF"/>
          <w:sz w:val="48"/>
          <w:szCs w:val="48"/>
        </w:rPr>
        <w:t xml:space="preserve">July </w:t>
      </w:r>
      <w:r w:rsidR="003F2E2A">
        <w:rPr>
          <w:b/>
          <w:color w:val="17365D" w:themeColor="text2" w:themeShade="BF"/>
          <w:sz w:val="48"/>
          <w:szCs w:val="48"/>
        </w:rPr>
        <w:t>11</w:t>
      </w:r>
      <w:r w:rsidR="0047713E">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AA1733" w14:paraId="56EA9E62" w14:textId="0ED1ED0D" w:rsidTr="004E4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AA1733" w:rsidRPr="007D17DE" w:rsidRDefault="00AA1733" w:rsidP="00684A1E">
            <w:pPr>
              <w:jc w:val="center"/>
              <w:rPr>
                <w:sz w:val="28"/>
                <w:szCs w:val="28"/>
              </w:rPr>
            </w:pPr>
            <w:r w:rsidRPr="007D17DE">
              <w:rPr>
                <w:sz w:val="28"/>
                <w:szCs w:val="28"/>
              </w:rPr>
              <w:t>Test</w:t>
            </w:r>
          </w:p>
        </w:tc>
        <w:tc>
          <w:tcPr>
            <w:tcW w:w="9950" w:type="dxa"/>
          </w:tcPr>
          <w:p w14:paraId="2728B58D" w14:textId="77777777" w:rsidR="00AA1733" w:rsidRPr="007D17DE" w:rsidRDefault="00AA1733"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AA1733" w:rsidRPr="007D17DE" w:rsidRDefault="00AA1733"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A1733" w14:paraId="41048A48" w14:textId="780BA8BC" w:rsidTr="004E4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01CAFC2F" w14:textId="0A8DF295" w:rsidR="00AA1733" w:rsidRDefault="0096660D" w:rsidP="00254167">
            <w:pPr>
              <w:jc w:val="center"/>
              <w:rPr>
                <w:sz w:val="28"/>
                <w:szCs w:val="28"/>
              </w:rPr>
            </w:pPr>
            <w:r>
              <w:rPr>
                <w:sz w:val="28"/>
                <w:szCs w:val="28"/>
              </w:rPr>
              <w:t>NPH Weekly Comparison Changes</w:t>
            </w:r>
          </w:p>
        </w:tc>
        <w:tc>
          <w:tcPr>
            <w:tcW w:w="9950" w:type="dxa"/>
          </w:tcPr>
          <w:p w14:paraId="380788B6" w14:textId="77777777" w:rsidR="004C5707" w:rsidRDefault="0096660D" w:rsidP="0096660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 have adjusted the directions and process for sending specimens to HCMC.  </w:t>
            </w:r>
            <w:r w:rsidR="004C5707">
              <w:rPr>
                <w:sz w:val="28"/>
                <w:szCs w:val="28"/>
              </w:rPr>
              <w:t xml:space="preserve">The difference in the process is: </w:t>
            </w:r>
          </w:p>
          <w:p w14:paraId="3AB0E1A9" w14:textId="20EAD2D4" w:rsidR="004C5707" w:rsidRDefault="004C5707" w:rsidP="004C570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8"/>
                <w:szCs w:val="28"/>
              </w:rPr>
            </w:pPr>
            <w:r w:rsidRPr="004C5707">
              <w:rPr>
                <w:sz w:val="28"/>
                <w:szCs w:val="28"/>
              </w:rPr>
              <w:t xml:space="preserve">Pour over an aliquot </w:t>
            </w:r>
            <w:r>
              <w:rPr>
                <w:sz w:val="28"/>
                <w:szCs w:val="28"/>
              </w:rPr>
              <w:t>of each specimen into a transport tube</w:t>
            </w:r>
          </w:p>
          <w:p w14:paraId="4A26E155" w14:textId="6BA6DAEA" w:rsidR="002462AF" w:rsidRPr="004C5707" w:rsidRDefault="004C5707" w:rsidP="004C570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w:t>
            </w:r>
            <w:r w:rsidRPr="004C5707">
              <w:rPr>
                <w:sz w:val="28"/>
                <w:szCs w:val="28"/>
              </w:rPr>
              <w:t xml:space="preserve">abel the </w:t>
            </w:r>
            <w:r>
              <w:rPr>
                <w:sz w:val="28"/>
                <w:szCs w:val="28"/>
              </w:rPr>
              <w:t xml:space="preserve">aliquot </w:t>
            </w:r>
            <w:r w:rsidRPr="004C5707">
              <w:rPr>
                <w:sz w:val="28"/>
                <w:szCs w:val="28"/>
              </w:rPr>
              <w:t>tube with</w:t>
            </w:r>
            <w:r>
              <w:rPr>
                <w:sz w:val="28"/>
                <w:szCs w:val="28"/>
              </w:rPr>
              <w:t xml:space="preserve"> handwritten label including</w:t>
            </w:r>
            <w:r w:rsidRPr="004C5707">
              <w:rPr>
                <w:sz w:val="28"/>
                <w:szCs w:val="28"/>
              </w:rPr>
              <w:t>:</w:t>
            </w:r>
          </w:p>
          <w:p w14:paraId="0B026F87" w14:textId="6A3B95A5" w:rsidR="004C5707" w:rsidRPr="004C5707" w:rsidRDefault="004C5707" w:rsidP="004C570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8"/>
                <w:szCs w:val="28"/>
              </w:rPr>
            </w:pPr>
            <w:r w:rsidRPr="004C5707">
              <w:rPr>
                <w:sz w:val="28"/>
                <w:szCs w:val="28"/>
              </w:rPr>
              <w:t>Patient last name, first</w:t>
            </w:r>
          </w:p>
          <w:p w14:paraId="1D1BE7E9" w14:textId="40D74FBD" w:rsidR="004C5707" w:rsidRPr="004C5707" w:rsidRDefault="004C5707" w:rsidP="004C570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8"/>
                <w:szCs w:val="28"/>
              </w:rPr>
            </w:pPr>
            <w:r w:rsidRPr="004C5707">
              <w:rPr>
                <w:sz w:val="28"/>
                <w:szCs w:val="28"/>
              </w:rPr>
              <w:t>Patient DOB</w:t>
            </w:r>
          </w:p>
          <w:p w14:paraId="63393DBC" w14:textId="7B294348" w:rsidR="004C5707" w:rsidRPr="004C5707" w:rsidRDefault="004C5707" w:rsidP="004C570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Sendouts - s</w:t>
            </w:r>
            <w:r w:rsidRPr="004C5707">
              <w:rPr>
                <w:sz w:val="28"/>
                <w:szCs w:val="28"/>
              </w:rPr>
              <w:t>taple</w:t>
            </w:r>
            <w:r>
              <w:rPr>
                <w:sz w:val="28"/>
                <w:szCs w:val="28"/>
              </w:rPr>
              <w:t xml:space="preserve"> </w:t>
            </w:r>
            <w:r w:rsidRPr="004C5707">
              <w:rPr>
                <w:sz w:val="28"/>
                <w:szCs w:val="28"/>
              </w:rPr>
              <w:t xml:space="preserve"> “Deliver to client services” sheet to the </w:t>
            </w:r>
            <w:r>
              <w:rPr>
                <w:sz w:val="28"/>
                <w:szCs w:val="28"/>
              </w:rPr>
              <w:t xml:space="preserve">outside of the </w:t>
            </w:r>
            <w:r w:rsidRPr="004C5707">
              <w:rPr>
                <w:sz w:val="28"/>
                <w:szCs w:val="28"/>
              </w:rPr>
              <w:t>brown bag the samples are in.</w:t>
            </w:r>
          </w:p>
        </w:tc>
        <w:tc>
          <w:tcPr>
            <w:tcW w:w="2220" w:type="dxa"/>
          </w:tcPr>
          <w:p w14:paraId="26024B03" w14:textId="5DA26E42" w:rsidR="00AA1733" w:rsidRDefault="00AA173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4E4DB8" w14:paraId="6A97FB1F" w14:textId="77777777" w:rsidTr="004E4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776A1880" w14:textId="6389CD6B" w:rsidR="004E4DB8" w:rsidRDefault="004E4DB8" w:rsidP="004E4DB8">
            <w:pPr>
              <w:jc w:val="center"/>
              <w:rPr>
                <w:sz w:val="28"/>
                <w:szCs w:val="28"/>
              </w:rPr>
            </w:pPr>
            <w:r>
              <w:rPr>
                <w:sz w:val="28"/>
                <w:szCs w:val="28"/>
              </w:rPr>
              <w:t>ESR Collection Clarification</w:t>
            </w:r>
          </w:p>
        </w:tc>
        <w:tc>
          <w:tcPr>
            <w:tcW w:w="9950" w:type="dxa"/>
          </w:tcPr>
          <w:p w14:paraId="3C3AD16C" w14:textId="47381AD5" w:rsidR="004E4DB8" w:rsidRPr="007D2906" w:rsidRDefault="007D2906" w:rsidP="0054524D">
            <w:pPr>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7D2906">
              <w:rPr>
                <w:rFonts w:cstheme="minorHAnsi"/>
                <w:sz w:val="28"/>
                <w:szCs w:val="28"/>
              </w:rPr>
              <w:t xml:space="preserve">The special instructions on the label will be removed.  For the </w:t>
            </w:r>
            <w:proofErr w:type="spellStart"/>
            <w:r w:rsidR="0054524D">
              <w:rPr>
                <w:rFonts w:cstheme="minorHAnsi"/>
                <w:sz w:val="28"/>
                <w:szCs w:val="28"/>
              </w:rPr>
              <w:t>Sed</w:t>
            </w:r>
            <w:proofErr w:type="spellEnd"/>
            <w:r w:rsidR="0054524D">
              <w:rPr>
                <w:rFonts w:cstheme="minorHAnsi"/>
                <w:sz w:val="28"/>
                <w:szCs w:val="28"/>
              </w:rPr>
              <w:t xml:space="preserve"> Rate A</w:t>
            </w:r>
            <w:r w:rsidRPr="007D2906">
              <w:rPr>
                <w:rFonts w:cstheme="minorHAnsi"/>
                <w:sz w:val="28"/>
                <w:szCs w:val="28"/>
              </w:rPr>
              <w:t>, just draw an ESR Vacuum tube.</w:t>
            </w:r>
          </w:p>
        </w:tc>
        <w:tc>
          <w:tcPr>
            <w:tcW w:w="2220" w:type="dxa"/>
          </w:tcPr>
          <w:p w14:paraId="3780FDDE" w14:textId="39A48981" w:rsidR="004E4DB8" w:rsidRDefault="007D2906"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proofErr w:type="spellStart"/>
            <w:r>
              <w:rPr>
                <w:sz w:val="28"/>
                <w:szCs w:val="28"/>
              </w:rPr>
              <w:t>Phlebs</w:t>
            </w:r>
            <w:proofErr w:type="spellEnd"/>
            <w:r>
              <w:rPr>
                <w:sz w:val="28"/>
                <w:szCs w:val="28"/>
              </w:rPr>
              <w:t>/All Staff</w:t>
            </w:r>
          </w:p>
        </w:tc>
      </w:tr>
      <w:tr w:rsidR="00AA1733" w14:paraId="7095FF37" w14:textId="7CCCA5D0" w:rsidTr="004E4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623E9A7" w14:textId="2D5A1CC5" w:rsidR="00AA1733" w:rsidRDefault="004E4DB8" w:rsidP="004E4DB8">
            <w:pPr>
              <w:jc w:val="center"/>
              <w:rPr>
                <w:sz w:val="28"/>
                <w:szCs w:val="28"/>
              </w:rPr>
            </w:pPr>
            <w:r>
              <w:rPr>
                <w:sz w:val="28"/>
                <w:szCs w:val="28"/>
              </w:rPr>
              <w:t>ESR Auto Plus Procedure clarifications</w:t>
            </w:r>
          </w:p>
        </w:tc>
        <w:tc>
          <w:tcPr>
            <w:tcW w:w="9950" w:type="dxa"/>
          </w:tcPr>
          <w:p w14:paraId="389A770F" w14:textId="20470BB0" w:rsidR="004E4DB8" w:rsidRPr="004E4DB8" w:rsidRDefault="004E4DB8" w:rsidP="004E4DB8">
            <w:pPr>
              <w:cnfStyle w:val="000000100000" w:firstRow="0" w:lastRow="0" w:firstColumn="0" w:lastColumn="0" w:oddVBand="0" w:evenVBand="0" w:oddHBand="1" w:evenHBand="0" w:firstRowFirstColumn="0" w:firstRowLastColumn="0" w:lastRowFirstColumn="0" w:lastRowLastColumn="0"/>
              <w:rPr>
                <w:rFonts w:cstheme="minorHAnsi"/>
              </w:rPr>
            </w:pPr>
            <w:r w:rsidRPr="004E4DB8">
              <w:rPr>
                <w:rFonts w:cstheme="minorHAnsi"/>
                <w:highlight w:val="yellow"/>
              </w:rPr>
              <w:t>Relevant changes are highlighted in red below.</w:t>
            </w:r>
          </w:p>
          <w:p w14:paraId="45CBD502" w14:textId="77777777" w:rsidR="004E4DB8" w:rsidRDefault="004E4DB8" w:rsidP="004E4DB8">
            <w:pPr>
              <w:cnfStyle w:val="000000100000" w:firstRow="0" w:lastRow="0" w:firstColumn="0" w:lastColumn="0" w:oddVBand="0" w:evenVBand="0" w:oddHBand="1" w:evenHBand="0" w:firstRowFirstColumn="0" w:firstRowLastColumn="0" w:lastRowFirstColumn="0" w:lastRowLastColumn="0"/>
              <w:rPr>
                <w:rFonts w:cstheme="minorHAnsi"/>
                <w:b/>
              </w:rPr>
            </w:pPr>
            <w:r w:rsidRPr="00927DC6">
              <w:rPr>
                <w:rFonts w:cstheme="minorHAnsi"/>
                <w:b/>
              </w:rPr>
              <w:t>Test Limitations</w:t>
            </w:r>
            <w:r w:rsidRPr="00927DC6">
              <w:rPr>
                <w:rFonts w:cstheme="minorHAnsi"/>
                <w:b/>
              </w:rPr>
              <w:tab/>
            </w:r>
          </w:p>
          <w:p w14:paraId="63301E43" w14:textId="77777777" w:rsidR="007D2906" w:rsidRDefault="007D2906" w:rsidP="007D2906">
            <w:pPr>
              <w:numPr>
                <w:ilvl w:val="0"/>
                <w:numId w:val="20"/>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Low Hemoglobin Concentration</w:t>
            </w:r>
          </w:p>
          <w:p w14:paraId="4805CCA7" w14:textId="77777777" w:rsidR="007D2906" w:rsidRDefault="007D2906" w:rsidP="007D2906">
            <w:pPr>
              <w:numPr>
                <w:ilvl w:val="1"/>
                <w:numId w:val="20"/>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Instrument can run specimens with </w:t>
            </w:r>
            <w:r>
              <w:rPr>
                <w:rFonts w:ascii="Calibri" w:hAnsi="Calibri" w:cs="Calibri"/>
              </w:rPr>
              <w:t>≥</w:t>
            </w:r>
            <w:r>
              <w:rPr>
                <w:rFonts w:cstheme="minorHAnsi"/>
              </w:rPr>
              <w:t xml:space="preserve"> 3.0 g/</w:t>
            </w:r>
            <w:proofErr w:type="spellStart"/>
            <w:r>
              <w:rPr>
                <w:rFonts w:cstheme="minorHAnsi"/>
              </w:rPr>
              <w:t>dL</w:t>
            </w:r>
            <w:proofErr w:type="spellEnd"/>
          </w:p>
          <w:p w14:paraId="2188F41E" w14:textId="77777777" w:rsidR="007D2906" w:rsidRDefault="007D2906" w:rsidP="007D2906">
            <w:pPr>
              <w:numPr>
                <w:ilvl w:val="1"/>
                <w:numId w:val="20"/>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result is &gt;120, check hemoglobin on Sysmex, </w:t>
            </w:r>
            <w:r w:rsidRPr="00E43538">
              <w:rPr>
                <w:rFonts w:cstheme="minorHAnsi"/>
                <w:color w:val="FF0000"/>
              </w:rPr>
              <w:t>if EDTA specimen is available</w:t>
            </w:r>
            <w:r>
              <w:rPr>
                <w:rFonts w:cstheme="minorHAnsi"/>
              </w:rPr>
              <w:t xml:space="preserve">.  Cancel test if Sysmex </w:t>
            </w:r>
            <w:r w:rsidRPr="00E43538">
              <w:rPr>
                <w:rFonts w:cstheme="minorHAnsi"/>
                <w:color w:val="FF0000"/>
              </w:rPr>
              <w:t>confirms hemoglobin &lt;3.0 g/</w:t>
            </w:r>
            <w:proofErr w:type="spellStart"/>
            <w:r w:rsidRPr="00E43538">
              <w:rPr>
                <w:rFonts w:cstheme="minorHAnsi"/>
                <w:color w:val="FF0000"/>
              </w:rPr>
              <w:t>dL</w:t>
            </w:r>
            <w:proofErr w:type="spellEnd"/>
            <w:r w:rsidRPr="00E43538">
              <w:rPr>
                <w:rFonts w:cstheme="minorHAnsi"/>
                <w:color w:val="FF0000"/>
              </w:rPr>
              <w:t>.</w:t>
            </w:r>
          </w:p>
          <w:p w14:paraId="1E09E763" w14:textId="77777777" w:rsidR="007D2906" w:rsidRPr="00775267" w:rsidRDefault="007D2906" w:rsidP="007D2906">
            <w:pPr>
              <w:numPr>
                <w:ilvl w:val="1"/>
                <w:numId w:val="20"/>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instrument gives ‘sample not recognized,’ </w:t>
            </w:r>
            <w:r w:rsidRPr="00E43538">
              <w:rPr>
                <w:rFonts w:cstheme="minorHAnsi"/>
                <w:color w:val="FF0000"/>
              </w:rPr>
              <w:t>check hemoglobin on Sysmex, if EDTA specimen is available.</w:t>
            </w:r>
            <w:r>
              <w:rPr>
                <w:rFonts w:cstheme="minorHAnsi"/>
              </w:rPr>
              <w:t xml:space="preserve">  Cancel test if Sysmex </w:t>
            </w:r>
            <w:r w:rsidRPr="00E43538">
              <w:rPr>
                <w:rFonts w:cstheme="minorHAnsi"/>
                <w:color w:val="FF0000"/>
              </w:rPr>
              <w:t>confirms hemoglobin &lt;3.0 g/</w:t>
            </w:r>
            <w:proofErr w:type="spellStart"/>
            <w:r w:rsidRPr="00E43538">
              <w:rPr>
                <w:rFonts w:cstheme="minorHAnsi"/>
                <w:color w:val="FF0000"/>
              </w:rPr>
              <w:t>dL</w:t>
            </w:r>
            <w:proofErr w:type="spellEnd"/>
            <w:r w:rsidRPr="00E43538">
              <w:rPr>
                <w:rFonts w:cstheme="minorHAnsi"/>
                <w:color w:val="FF0000"/>
              </w:rPr>
              <w:t>.</w:t>
            </w:r>
          </w:p>
          <w:p w14:paraId="0B7E7193" w14:textId="77777777" w:rsidR="004E4DB8" w:rsidRPr="00927DC6" w:rsidRDefault="004E4DB8" w:rsidP="004E4DB8">
            <w:pPr>
              <w:cnfStyle w:val="000000100000" w:firstRow="0" w:lastRow="0" w:firstColumn="0" w:lastColumn="0" w:oddVBand="0" w:evenVBand="0" w:oddHBand="1" w:evenHBand="0" w:firstRowFirstColumn="0" w:firstRowLastColumn="0" w:lastRowFirstColumn="0" w:lastRowLastColumn="0"/>
              <w:rPr>
                <w:rFonts w:cstheme="minorHAnsi"/>
                <w:b/>
              </w:rPr>
            </w:pPr>
          </w:p>
          <w:p w14:paraId="339D344F" w14:textId="77777777" w:rsidR="004E4DB8" w:rsidRDefault="004E4DB8" w:rsidP="004E4DB8">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lastRenderedPageBreak/>
              <w:t>Patient Testing Procedure</w:t>
            </w:r>
          </w:p>
          <w:p w14:paraId="30EC9C38" w14:textId="77777777" w:rsidR="004E4DB8" w:rsidRPr="008A4C53" w:rsidRDefault="004E4DB8" w:rsidP="004E4DB8">
            <w:pPr>
              <w:ind w:firstLine="72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highlight w:val="yellow"/>
              </w:rPr>
              <w:t>For s</w:t>
            </w:r>
            <w:r w:rsidRPr="00EB1505">
              <w:rPr>
                <w:rFonts w:ascii="Calibri" w:hAnsi="Calibri" w:cs="Calibri"/>
                <w:highlight w:val="yellow"/>
              </w:rPr>
              <w:t>pecimens drawn directly into ESR-Vacuum tubes</w:t>
            </w:r>
            <w:r>
              <w:rPr>
                <w:rFonts w:ascii="Calibri" w:hAnsi="Calibri" w:cs="Calibri"/>
                <w:highlight w:val="yellow"/>
              </w:rPr>
              <w:t>,</w:t>
            </w:r>
            <w:r w:rsidRPr="00EB1505">
              <w:rPr>
                <w:rFonts w:ascii="Calibri" w:hAnsi="Calibri" w:cs="Calibri"/>
                <w:highlight w:val="yellow"/>
              </w:rPr>
              <w:t xml:space="preserve"> start at step 3.</w:t>
            </w:r>
          </w:p>
          <w:p w14:paraId="0031CF8D" w14:textId="77777777" w:rsidR="004E4DB8" w:rsidRPr="008A4C53" w:rsidRDefault="004E4DB8" w:rsidP="004E4D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b/>
            </w:r>
            <w:r>
              <w:rPr>
                <w:rFonts w:ascii="Calibri" w:hAnsi="Calibri" w:cs="Calibri"/>
              </w:rPr>
              <w:tab/>
            </w:r>
          </w:p>
          <w:tbl>
            <w:tblPr>
              <w:tblStyle w:val="TableGrid"/>
              <w:tblW w:w="0" w:type="auto"/>
              <w:tblInd w:w="1368" w:type="dxa"/>
              <w:tblLook w:val="04A0" w:firstRow="1" w:lastRow="0" w:firstColumn="1" w:lastColumn="0" w:noHBand="0" w:noVBand="1"/>
            </w:tblPr>
            <w:tblGrid>
              <w:gridCol w:w="972"/>
              <w:gridCol w:w="6452"/>
            </w:tblGrid>
            <w:tr w:rsidR="004E4DB8" w:rsidRPr="00DC5BF4" w14:paraId="3A5F34CE" w14:textId="77777777" w:rsidTr="00271957">
              <w:trPr>
                <w:trHeight w:val="260"/>
                <w:tblHeader/>
              </w:trPr>
              <w:tc>
                <w:tcPr>
                  <w:tcW w:w="972" w:type="dxa"/>
                </w:tcPr>
                <w:p w14:paraId="11F3FCB9" w14:textId="77777777" w:rsidR="004E4DB8" w:rsidRPr="00DC5BF4" w:rsidRDefault="004E4DB8" w:rsidP="00271957">
                  <w:pPr>
                    <w:pStyle w:val="TableHeaderText"/>
                    <w:jc w:val="left"/>
                    <w:rPr>
                      <w:rFonts w:ascii="Calibri" w:hAnsi="Calibri" w:cs="Calibri"/>
                    </w:rPr>
                  </w:pPr>
                  <w:r w:rsidRPr="00DC5BF4">
                    <w:rPr>
                      <w:rFonts w:ascii="Calibri" w:hAnsi="Calibri" w:cs="Calibri"/>
                    </w:rPr>
                    <w:t>Step</w:t>
                  </w:r>
                </w:p>
              </w:tc>
              <w:tc>
                <w:tcPr>
                  <w:tcW w:w="6452" w:type="dxa"/>
                </w:tcPr>
                <w:p w14:paraId="583312A5" w14:textId="77777777" w:rsidR="004E4DB8" w:rsidRPr="00DC5BF4" w:rsidRDefault="004E4DB8" w:rsidP="00271957">
                  <w:pPr>
                    <w:pStyle w:val="TableHeaderText"/>
                    <w:rPr>
                      <w:rFonts w:ascii="Calibri" w:hAnsi="Calibri" w:cs="Calibri"/>
                    </w:rPr>
                  </w:pPr>
                  <w:r w:rsidRPr="00DC5BF4">
                    <w:rPr>
                      <w:rFonts w:ascii="Calibri" w:hAnsi="Calibri" w:cs="Calibri"/>
                    </w:rPr>
                    <w:t>Action</w:t>
                  </w:r>
                </w:p>
              </w:tc>
            </w:tr>
            <w:tr w:rsidR="004E4DB8" w:rsidRPr="00DC5BF4" w14:paraId="2EEAB869" w14:textId="77777777" w:rsidTr="00271957">
              <w:trPr>
                <w:trHeight w:val="491"/>
                <w:tblHeader/>
              </w:trPr>
              <w:tc>
                <w:tcPr>
                  <w:tcW w:w="972" w:type="dxa"/>
                  <w:vAlign w:val="center"/>
                </w:tcPr>
                <w:p w14:paraId="71798392" w14:textId="77777777" w:rsidR="004E4DB8" w:rsidRPr="00DC5BF4" w:rsidRDefault="004E4DB8" w:rsidP="00271957">
                  <w:pPr>
                    <w:pStyle w:val="TableText"/>
                    <w:jc w:val="center"/>
                    <w:rPr>
                      <w:rFonts w:ascii="Calibri" w:hAnsi="Calibri" w:cs="Calibri"/>
                    </w:rPr>
                  </w:pPr>
                  <w:r w:rsidRPr="00DC5BF4">
                    <w:rPr>
                      <w:rFonts w:ascii="Calibri" w:hAnsi="Calibri" w:cs="Calibri"/>
                    </w:rPr>
                    <w:t>1</w:t>
                  </w:r>
                </w:p>
              </w:tc>
              <w:tc>
                <w:tcPr>
                  <w:tcW w:w="6452" w:type="dxa"/>
                  <w:vAlign w:val="center"/>
                </w:tcPr>
                <w:p w14:paraId="5DB975D8" w14:textId="77777777" w:rsidR="004E4DB8" w:rsidRDefault="004E4DB8" w:rsidP="00271957">
                  <w:pPr>
                    <w:pStyle w:val="TableText"/>
                    <w:rPr>
                      <w:rFonts w:ascii="Calibri" w:hAnsi="Calibri" w:cs="Calibri"/>
                    </w:rPr>
                  </w:pPr>
                  <w:r>
                    <w:rPr>
                      <w:rFonts w:ascii="Calibri" w:hAnsi="Calibri" w:cs="Calibri"/>
                    </w:rPr>
                    <w:t xml:space="preserve">Open well-mixed EDTA specimen and pipette sample to marked line on ESR-Vacuum tube.  Label in upper region with a Cerner barcode label or peon.  (See Sample Labeling for more details).  </w:t>
                  </w:r>
                </w:p>
              </w:tc>
            </w:tr>
            <w:tr w:rsidR="004E4DB8" w14:paraId="6A11CFC8" w14:textId="77777777" w:rsidTr="00271957">
              <w:trPr>
                <w:trHeight w:val="491"/>
                <w:tblHeader/>
              </w:trPr>
              <w:tc>
                <w:tcPr>
                  <w:tcW w:w="972" w:type="dxa"/>
                  <w:vAlign w:val="center"/>
                </w:tcPr>
                <w:p w14:paraId="7DB15EEB" w14:textId="77777777" w:rsidR="004E4DB8" w:rsidRDefault="004E4DB8" w:rsidP="00271957">
                  <w:pPr>
                    <w:pStyle w:val="TableText"/>
                    <w:jc w:val="center"/>
                    <w:rPr>
                      <w:rFonts w:ascii="Calibri" w:hAnsi="Calibri" w:cs="Calibri"/>
                    </w:rPr>
                  </w:pPr>
                  <w:r>
                    <w:rPr>
                      <w:rFonts w:ascii="Calibri" w:hAnsi="Calibri" w:cs="Calibri"/>
                    </w:rPr>
                    <w:t>2</w:t>
                  </w:r>
                </w:p>
              </w:tc>
              <w:tc>
                <w:tcPr>
                  <w:tcW w:w="6452" w:type="dxa"/>
                  <w:vAlign w:val="center"/>
                </w:tcPr>
                <w:p w14:paraId="18936837" w14:textId="77777777" w:rsidR="004E4DB8" w:rsidRDefault="004E4DB8" w:rsidP="00271957">
                  <w:pPr>
                    <w:pStyle w:val="TableText"/>
                    <w:rPr>
                      <w:rFonts w:ascii="Calibri" w:hAnsi="Calibri" w:cs="Calibri"/>
                    </w:rPr>
                  </w:pPr>
                  <w:r>
                    <w:rPr>
                      <w:rFonts w:asciiTheme="minorHAnsi" w:hAnsiTheme="minorHAnsi" w:cstheme="minorHAnsi"/>
                    </w:rPr>
                    <w:t>Invert tube at least 6 to 8 times for adequate mixing.  The air bubble in the tube must reach the opposite end of the tube between every inversion.  Hold the tube at an angle of about 35° to enhance mixing.</w:t>
                  </w:r>
                </w:p>
              </w:tc>
            </w:tr>
            <w:tr w:rsidR="004E4DB8" w14:paraId="6FAD9F4F" w14:textId="77777777" w:rsidTr="00271957">
              <w:trPr>
                <w:trHeight w:val="491"/>
                <w:tblHeader/>
              </w:trPr>
              <w:tc>
                <w:tcPr>
                  <w:tcW w:w="972" w:type="dxa"/>
                  <w:vAlign w:val="center"/>
                </w:tcPr>
                <w:p w14:paraId="485D28A3" w14:textId="77777777" w:rsidR="004E4DB8" w:rsidRDefault="004E4DB8" w:rsidP="00271957">
                  <w:pPr>
                    <w:pStyle w:val="TableText"/>
                    <w:jc w:val="center"/>
                    <w:rPr>
                      <w:rFonts w:ascii="Calibri" w:hAnsi="Calibri" w:cs="Calibri"/>
                    </w:rPr>
                  </w:pPr>
                  <w:r>
                    <w:rPr>
                      <w:rFonts w:ascii="Calibri" w:hAnsi="Calibri" w:cs="Calibri"/>
                    </w:rPr>
                    <w:t>3</w:t>
                  </w:r>
                </w:p>
              </w:tc>
              <w:tc>
                <w:tcPr>
                  <w:tcW w:w="6452" w:type="dxa"/>
                  <w:vAlign w:val="center"/>
                </w:tcPr>
                <w:p w14:paraId="38ECCE28" w14:textId="77777777" w:rsidR="004E4DB8" w:rsidRDefault="004E4DB8" w:rsidP="00271957">
                  <w:pPr>
                    <w:pStyle w:val="TableText"/>
                    <w:rPr>
                      <w:rFonts w:ascii="Calibri" w:hAnsi="Calibri" w:cs="Calibri"/>
                    </w:rPr>
                  </w:pPr>
                  <w:r>
                    <w:rPr>
                      <w:rFonts w:ascii="Calibri" w:hAnsi="Calibri" w:cs="Calibri"/>
                    </w:rPr>
                    <w:t>Place ESR-Vacuum tube on ESR-657 mixer and rotate for three to five minutes.</w:t>
                  </w:r>
                </w:p>
              </w:tc>
            </w:tr>
            <w:tr w:rsidR="004E4DB8" w14:paraId="4A30C2A5" w14:textId="77777777" w:rsidTr="00271957">
              <w:trPr>
                <w:trHeight w:val="491"/>
                <w:tblHeader/>
              </w:trPr>
              <w:tc>
                <w:tcPr>
                  <w:tcW w:w="972" w:type="dxa"/>
                  <w:vAlign w:val="center"/>
                </w:tcPr>
                <w:p w14:paraId="72C57E2D" w14:textId="77777777" w:rsidR="004E4DB8" w:rsidRDefault="004E4DB8" w:rsidP="00271957">
                  <w:pPr>
                    <w:pStyle w:val="TableText"/>
                    <w:jc w:val="center"/>
                    <w:rPr>
                      <w:rFonts w:ascii="Calibri" w:hAnsi="Calibri" w:cs="Calibri"/>
                    </w:rPr>
                  </w:pPr>
                  <w:r>
                    <w:rPr>
                      <w:rFonts w:ascii="Calibri" w:hAnsi="Calibri" w:cs="Calibri"/>
                    </w:rPr>
                    <w:t>4</w:t>
                  </w:r>
                </w:p>
              </w:tc>
              <w:tc>
                <w:tcPr>
                  <w:tcW w:w="6452" w:type="dxa"/>
                  <w:vAlign w:val="center"/>
                </w:tcPr>
                <w:p w14:paraId="1D867485" w14:textId="77777777" w:rsidR="004E4DB8" w:rsidRDefault="004E4DB8" w:rsidP="00271957">
                  <w:pPr>
                    <w:pStyle w:val="TableText"/>
                    <w:rPr>
                      <w:rFonts w:ascii="Calibri" w:hAnsi="Calibri" w:cs="Calibri"/>
                    </w:rPr>
                  </w:pPr>
                  <w:r>
                    <w:rPr>
                      <w:rFonts w:ascii="Calibri" w:hAnsi="Calibri" w:cs="Calibri"/>
                    </w:rPr>
                    <w:t xml:space="preserve">From Standby (time is shown on the display), scan the patient sample with the barcode scanner to enter the accession number.  Press ‘OK’ </w:t>
                  </w:r>
                  <w:r>
                    <w:rPr>
                      <w:noProof/>
                    </w:rPr>
                    <w:drawing>
                      <wp:inline distT="0" distB="0" distL="0" distR="0" wp14:anchorId="7099FABC" wp14:editId="5E34DEF4">
                        <wp:extent cx="158307"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9657" cy="153700"/>
                                </a:xfrm>
                                <a:prstGeom prst="rect">
                                  <a:avLst/>
                                </a:prstGeom>
                              </pic:spPr>
                            </pic:pic>
                          </a:graphicData>
                        </a:graphic>
                      </wp:inline>
                    </w:drawing>
                  </w:r>
                </w:p>
              </w:tc>
            </w:tr>
            <w:tr w:rsidR="004E4DB8" w14:paraId="6373880C" w14:textId="77777777" w:rsidTr="00271957">
              <w:trPr>
                <w:trHeight w:val="491"/>
                <w:tblHeader/>
              </w:trPr>
              <w:tc>
                <w:tcPr>
                  <w:tcW w:w="972" w:type="dxa"/>
                  <w:vAlign w:val="center"/>
                </w:tcPr>
                <w:p w14:paraId="4BA813D9" w14:textId="77777777" w:rsidR="004E4DB8" w:rsidRDefault="004E4DB8" w:rsidP="00271957">
                  <w:pPr>
                    <w:pStyle w:val="TableText"/>
                    <w:jc w:val="center"/>
                    <w:rPr>
                      <w:rFonts w:ascii="Calibri" w:hAnsi="Calibri" w:cs="Calibri"/>
                    </w:rPr>
                  </w:pPr>
                  <w:r>
                    <w:rPr>
                      <w:rFonts w:ascii="Calibri" w:hAnsi="Calibri" w:cs="Calibri"/>
                    </w:rPr>
                    <w:t>5</w:t>
                  </w:r>
                </w:p>
              </w:tc>
              <w:tc>
                <w:tcPr>
                  <w:tcW w:w="6452" w:type="dxa"/>
                  <w:vAlign w:val="center"/>
                </w:tcPr>
                <w:p w14:paraId="0A0E58DB" w14:textId="77777777" w:rsidR="004E4DB8" w:rsidRDefault="004E4DB8" w:rsidP="00271957">
                  <w:pPr>
                    <w:pStyle w:val="TableText"/>
                    <w:rPr>
                      <w:rFonts w:ascii="Calibri" w:hAnsi="Calibri" w:cs="Calibri"/>
                    </w:rPr>
                  </w:pPr>
                  <w:r>
                    <w:rPr>
                      <w:rFonts w:ascii="Calibri" w:hAnsi="Calibri" w:cs="Calibri"/>
                    </w:rPr>
                    <w:t>When prompted, insert the well-mixed sample into any free position in the ESR-Auto Plus.  The position light will turn red and the ESR-Auto Plus will initiate testing.</w:t>
                  </w:r>
                </w:p>
              </w:tc>
            </w:tr>
            <w:tr w:rsidR="004E4DB8" w14:paraId="605AC295" w14:textId="77777777" w:rsidTr="00271957">
              <w:trPr>
                <w:trHeight w:val="491"/>
                <w:tblHeader/>
              </w:trPr>
              <w:tc>
                <w:tcPr>
                  <w:tcW w:w="972" w:type="dxa"/>
                  <w:vAlign w:val="center"/>
                </w:tcPr>
                <w:p w14:paraId="623720EE" w14:textId="77777777" w:rsidR="004E4DB8" w:rsidRDefault="004E4DB8" w:rsidP="00271957">
                  <w:pPr>
                    <w:pStyle w:val="TableText"/>
                    <w:jc w:val="center"/>
                    <w:rPr>
                      <w:rFonts w:ascii="Calibri" w:hAnsi="Calibri" w:cs="Calibri"/>
                    </w:rPr>
                  </w:pPr>
                  <w:r>
                    <w:rPr>
                      <w:rFonts w:ascii="Calibri" w:hAnsi="Calibri" w:cs="Calibri"/>
                    </w:rPr>
                    <w:t>6</w:t>
                  </w:r>
                </w:p>
              </w:tc>
              <w:tc>
                <w:tcPr>
                  <w:tcW w:w="6452" w:type="dxa"/>
                  <w:vAlign w:val="center"/>
                </w:tcPr>
                <w:p w14:paraId="77F72BDD" w14:textId="77777777" w:rsidR="004E4DB8" w:rsidRDefault="004E4DB8" w:rsidP="00271957">
                  <w:pPr>
                    <w:pStyle w:val="TableText"/>
                    <w:rPr>
                      <w:rFonts w:ascii="Calibri" w:hAnsi="Calibri" w:cs="Calibri"/>
                    </w:rPr>
                  </w:pPr>
                  <w:r>
                    <w:rPr>
                      <w:rFonts w:ascii="Calibri" w:hAnsi="Calibri" w:cs="Calibri"/>
                    </w:rPr>
                    <w:t xml:space="preserve">After the test is complete, results will print.  </w:t>
                  </w:r>
                  <w:r w:rsidRPr="004E4DB8">
                    <w:rPr>
                      <w:rFonts w:ascii="Calibri" w:hAnsi="Calibri" w:cs="Calibri"/>
                      <w:color w:val="FF0000"/>
                    </w:rPr>
                    <w:t>Remove ESR tube from instrument and check for lipemia.  Use chemistry chart for comparison to determine lipemia levels.   If specimen is not grossly lipemic, results are valid.  If specimen grossly lipemic, cancel test.</w:t>
                  </w:r>
                </w:p>
              </w:tc>
            </w:tr>
            <w:tr w:rsidR="004E4DB8" w14:paraId="748F4EB8" w14:textId="77777777" w:rsidTr="00271957">
              <w:trPr>
                <w:trHeight w:val="491"/>
                <w:tblHeader/>
              </w:trPr>
              <w:tc>
                <w:tcPr>
                  <w:tcW w:w="972" w:type="dxa"/>
                  <w:vAlign w:val="center"/>
                </w:tcPr>
                <w:p w14:paraId="14E7AD5E" w14:textId="77777777" w:rsidR="004E4DB8" w:rsidRDefault="004E4DB8" w:rsidP="00271957">
                  <w:pPr>
                    <w:pStyle w:val="TableText"/>
                    <w:jc w:val="center"/>
                    <w:rPr>
                      <w:rFonts w:ascii="Calibri" w:hAnsi="Calibri" w:cs="Calibri"/>
                    </w:rPr>
                  </w:pPr>
                  <w:r>
                    <w:rPr>
                      <w:rFonts w:ascii="Calibri" w:hAnsi="Calibri" w:cs="Calibri"/>
                    </w:rPr>
                    <w:t>7</w:t>
                  </w:r>
                </w:p>
              </w:tc>
              <w:tc>
                <w:tcPr>
                  <w:tcW w:w="6452" w:type="dxa"/>
                  <w:vAlign w:val="center"/>
                </w:tcPr>
                <w:p w14:paraId="16F29D75" w14:textId="77777777" w:rsidR="004E4DB8" w:rsidRDefault="004E4DB8" w:rsidP="00271957">
                  <w:pPr>
                    <w:pStyle w:val="TableText"/>
                    <w:rPr>
                      <w:rFonts w:ascii="Calibri" w:hAnsi="Calibri" w:cs="Calibri"/>
                    </w:rPr>
                  </w:pPr>
                  <w:r>
                    <w:rPr>
                      <w:rFonts w:ascii="Calibri" w:hAnsi="Calibri" w:cs="Calibri"/>
                    </w:rPr>
                    <w:t>Record results on test log.  Enter result in Cerner and verify.</w:t>
                  </w:r>
                </w:p>
              </w:tc>
            </w:tr>
            <w:tr w:rsidR="004E4DB8" w14:paraId="567F66DC" w14:textId="77777777" w:rsidTr="00271957">
              <w:trPr>
                <w:trHeight w:val="491"/>
                <w:tblHeader/>
              </w:trPr>
              <w:tc>
                <w:tcPr>
                  <w:tcW w:w="972" w:type="dxa"/>
                  <w:vAlign w:val="center"/>
                </w:tcPr>
                <w:p w14:paraId="38CBD20B" w14:textId="77777777" w:rsidR="004E4DB8" w:rsidRDefault="004E4DB8" w:rsidP="00271957">
                  <w:pPr>
                    <w:pStyle w:val="TableText"/>
                    <w:jc w:val="center"/>
                    <w:rPr>
                      <w:rFonts w:ascii="Calibri" w:hAnsi="Calibri" w:cs="Calibri"/>
                    </w:rPr>
                  </w:pPr>
                  <w:r>
                    <w:rPr>
                      <w:rFonts w:ascii="Calibri" w:hAnsi="Calibri" w:cs="Calibri"/>
                    </w:rPr>
                    <w:t>8</w:t>
                  </w:r>
                </w:p>
              </w:tc>
              <w:tc>
                <w:tcPr>
                  <w:tcW w:w="6452" w:type="dxa"/>
                  <w:vAlign w:val="center"/>
                </w:tcPr>
                <w:p w14:paraId="7E45CABB" w14:textId="77777777" w:rsidR="004E4DB8" w:rsidRDefault="004E4DB8" w:rsidP="00271957">
                  <w:pPr>
                    <w:pStyle w:val="TableText"/>
                    <w:rPr>
                      <w:rFonts w:ascii="Calibri" w:hAnsi="Calibri" w:cs="Calibri"/>
                    </w:rPr>
                  </w:pPr>
                  <w:r>
                    <w:rPr>
                      <w:rFonts w:ascii="Calibri" w:hAnsi="Calibri" w:cs="Calibri"/>
                    </w:rPr>
                    <w:t>Save patient samples in refrigerator with other specimens for 7 days.</w:t>
                  </w:r>
                </w:p>
              </w:tc>
            </w:tr>
          </w:tbl>
          <w:p w14:paraId="4AC779AB" w14:textId="3FBB1F21" w:rsidR="00AA1733" w:rsidRDefault="00DD580B" w:rsidP="00DD580B">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 </w:t>
            </w:r>
          </w:p>
        </w:tc>
        <w:tc>
          <w:tcPr>
            <w:tcW w:w="2220" w:type="dxa"/>
          </w:tcPr>
          <w:p w14:paraId="61937255" w14:textId="6EA867FF" w:rsidR="00AA1733" w:rsidRDefault="00AA173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All Staff</w:t>
            </w:r>
          </w:p>
        </w:tc>
      </w:tr>
      <w:tr w:rsidR="00DD580B" w14:paraId="16D193B7" w14:textId="77777777" w:rsidTr="004E4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30A73058" w14:textId="7534DF3C" w:rsidR="00DD580B" w:rsidRDefault="002F6A05" w:rsidP="00642229">
            <w:pPr>
              <w:jc w:val="center"/>
              <w:rPr>
                <w:sz w:val="28"/>
                <w:szCs w:val="28"/>
              </w:rPr>
            </w:pPr>
            <w:r>
              <w:rPr>
                <w:sz w:val="28"/>
                <w:szCs w:val="28"/>
              </w:rPr>
              <w:lastRenderedPageBreak/>
              <w:t xml:space="preserve">ESR Auto Plus training </w:t>
            </w:r>
            <w:r>
              <w:rPr>
                <w:sz w:val="28"/>
                <w:szCs w:val="28"/>
              </w:rPr>
              <w:lastRenderedPageBreak/>
              <w:t>checklist</w:t>
            </w:r>
          </w:p>
        </w:tc>
        <w:tc>
          <w:tcPr>
            <w:tcW w:w="9950" w:type="dxa"/>
          </w:tcPr>
          <w:p w14:paraId="18F6741E" w14:textId="1DA0EE60" w:rsidR="00DD580B" w:rsidRDefault="002F6A05" w:rsidP="00AA1733">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 xml:space="preserve">I have updated #6.  Here is a </w:t>
            </w:r>
            <w:hyperlink r:id="rId7" w:history="1">
              <w:r w:rsidRPr="002F6A05">
                <w:rPr>
                  <w:rStyle w:val="Hyperlink"/>
                  <w:sz w:val="28"/>
                  <w:szCs w:val="28"/>
                </w:rPr>
                <w:t>link</w:t>
              </w:r>
            </w:hyperlink>
            <w:r>
              <w:rPr>
                <w:sz w:val="28"/>
                <w:szCs w:val="28"/>
              </w:rPr>
              <w:t xml:space="preserve"> if you want the print the revised checklist.</w:t>
            </w:r>
          </w:p>
        </w:tc>
        <w:tc>
          <w:tcPr>
            <w:tcW w:w="2220" w:type="dxa"/>
          </w:tcPr>
          <w:p w14:paraId="41D155B3" w14:textId="33D43F3D" w:rsidR="00DD580B" w:rsidRDefault="002F6A05"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Bench Techs</w:t>
            </w:r>
          </w:p>
        </w:tc>
      </w:tr>
      <w:tr w:rsidR="00480EE0" w14:paraId="315866C0" w14:textId="77777777" w:rsidTr="004E4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5B2FBA41" w14:textId="3EAE6550" w:rsidR="00480EE0" w:rsidRDefault="00480EE0" w:rsidP="006D1BD9">
            <w:pPr>
              <w:jc w:val="center"/>
              <w:rPr>
                <w:sz w:val="28"/>
                <w:szCs w:val="28"/>
              </w:rPr>
            </w:pPr>
            <w:r>
              <w:rPr>
                <w:sz w:val="28"/>
                <w:szCs w:val="28"/>
              </w:rPr>
              <w:lastRenderedPageBreak/>
              <w:t xml:space="preserve">Wet Preps </w:t>
            </w:r>
            <w:r w:rsidR="006D1BD9">
              <w:rPr>
                <w:sz w:val="28"/>
                <w:szCs w:val="28"/>
              </w:rPr>
              <w:t>C</w:t>
            </w:r>
            <w:r>
              <w:rPr>
                <w:sz w:val="28"/>
                <w:szCs w:val="28"/>
              </w:rPr>
              <w:t>hange</w:t>
            </w:r>
            <w:r w:rsidR="006D1BD9">
              <w:rPr>
                <w:sz w:val="28"/>
                <w:szCs w:val="28"/>
              </w:rPr>
              <w:t>s</w:t>
            </w:r>
          </w:p>
        </w:tc>
        <w:tc>
          <w:tcPr>
            <w:tcW w:w="9950" w:type="dxa"/>
          </w:tcPr>
          <w:p w14:paraId="51094660" w14:textId="0930EC5D" w:rsidR="006D1BD9" w:rsidRDefault="006D1BD9" w:rsidP="006D1BD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We are standardizing how we quantify elements in wet preps.  Please refer to </w:t>
            </w:r>
            <w:proofErr w:type="gramStart"/>
            <w:r>
              <w:rPr>
                <w:sz w:val="28"/>
                <w:szCs w:val="28"/>
              </w:rPr>
              <w:t>the  chart</w:t>
            </w:r>
            <w:proofErr w:type="gramEnd"/>
            <w:r>
              <w:rPr>
                <w:sz w:val="28"/>
                <w:szCs w:val="28"/>
              </w:rPr>
              <w:t xml:space="preserve"> at the UA scope.  The new procedure will be released early next week.</w:t>
            </w:r>
          </w:p>
        </w:tc>
        <w:tc>
          <w:tcPr>
            <w:tcW w:w="2220" w:type="dxa"/>
          </w:tcPr>
          <w:p w14:paraId="6BDDA6E4" w14:textId="6FAF81FA" w:rsidR="00480EE0" w:rsidRDefault="00480EE0"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Bench Techs</w:t>
            </w:r>
          </w:p>
        </w:tc>
      </w:tr>
    </w:tbl>
    <w:p w14:paraId="3BC6C56B" w14:textId="55BEF39B" w:rsidR="00C14735" w:rsidRDefault="00C14735">
      <w:pPr>
        <w:rPr>
          <w:b/>
          <w:color w:val="17365D" w:themeColor="text2" w:themeShade="BF"/>
          <w:sz w:val="36"/>
          <w:szCs w:val="36"/>
        </w:rPr>
      </w:pPr>
      <w:bookmarkStart w:id="0" w:name="_GoBack"/>
      <w:bookmarkEnd w:id="0"/>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C14735"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C311E"/>
    <w:multiLevelType w:val="hybridMultilevel"/>
    <w:tmpl w:val="BBD0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820CF"/>
    <w:multiLevelType w:val="hybridMultilevel"/>
    <w:tmpl w:val="0B6A2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32F17"/>
    <w:multiLevelType w:val="hybridMultilevel"/>
    <w:tmpl w:val="438E066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4F7917"/>
    <w:multiLevelType w:val="hybridMultilevel"/>
    <w:tmpl w:val="602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9"/>
  </w:num>
  <w:num w:numId="4">
    <w:abstractNumId w:val="9"/>
  </w:num>
  <w:num w:numId="5">
    <w:abstractNumId w:val="5"/>
  </w:num>
  <w:num w:numId="6">
    <w:abstractNumId w:val="15"/>
  </w:num>
  <w:num w:numId="7">
    <w:abstractNumId w:val="11"/>
  </w:num>
  <w:num w:numId="8">
    <w:abstractNumId w:val="18"/>
  </w:num>
  <w:num w:numId="9">
    <w:abstractNumId w:val="8"/>
  </w:num>
  <w:num w:numId="10">
    <w:abstractNumId w:val="6"/>
  </w:num>
  <w:num w:numId="11">
    <w:abstractNumId w:val="7"/>
  </w:num>
  <w:num w:numId="12">
    <w:abstractNumId w:val="16"/>
  </w:num>
  <w:num w:numId="13">
    <w:abstractNumId w:val="4"/>
  </w:num>
  <w:num w:numId="14">
    <w:abstractNumId w:val="10"/>
  </w:num>
  <w:num w:numId="15">
    <w:abstractNumId w:val="13"/>
  </w:num>
  <w:num w:numId="16">
    <w:abstractNumId w:val="17"/>
  </w:num>
  <w:num w:numId="17">
    <w:abstractNumId w:val="14"/>
  </w:num>
  <w:num w:numId="18">
    <w:abstractNumId w:val="1"/>
  </w:num>
  <w:num w:numId="19">
    <w:abstractNumId w:val="2"/>
  </w:num>
  <w:num w:numId="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A6AE5"/>
    <w:rsid w:val="000B384B"/>
    <w:rsid w:val="000D0255"/>
    <w:rsid w:val="000D5090"/>
    <w:rsid w:val="000E0F60"/>
    <w:rsid w:val="000E2AF8"/>
    <w:rsid w:val="000F0186"/>
    <w:rsid w:val="000F552D"/>
    <w:rsid w:val="000F750F"/>
    <w:rsid w:val="000F7A6B"/>
    <w:rsid w:val="00102931"/>
    <w:rsid w:val="0010344E"/>
    <w:rsid w:val="00122CE8"/>
    <w:rsid w:val="00122D46"/>
    <w:rsid w:val="00125C38"/>
    <w:rsid w:val="001332A1"/>
    <w:rsid w:val="001336C5"/>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2133C"/>
    <w:rsid w:val="00233257"/>
    <w:rsid w:val="00233834"/>
    <w:rsid w:val="00243F19"/>
    <w:rsid w:val="002462AF"/>
    <w:rsid w:val="00254167"/>
    <w:rsid w:val="002642E1"/>
    <w:rsid w:val="002A568E"/>
    <w:rsid w:val="002C6998"/>
    <w:rsid w:val="002E377C"/>
    <w:rsid w:val="002E415D"/>
    <w:rsid w:val="002E4D46"/>
    <w:rsid w:val="002E4F05"/>
    <w:rsid w:val="002F5F41"/>
    <w:rsid w:val="002F63FC"/>
    <w:rsid w:val="002F6A05"/>
    <w:rsid w:val="003106C1"/>
    <w:rsid w:val="003216E3"/>
    <w:rsid w:val="00332AED"/>
    <w:rsid w:val="0036399F"/>
    <w:rsid w:val="00380FEB"/>
    <w:rsid w:val="0038621F"/>
    <w:rsid w:val="003874A5"/>
    <w:rsid w:val="003A2D93"/>
    <w:rsid w:val="003B7A6D"/>
    <w:rsid w:val="003E1DF4"/>
    <w:rsid w:val="003F0C14"/>
    <w:rsid w:val="003F2E2A"/>
    <w:rsid w:val="003F5D6D"/>
    <w:rsid w:val="0040530A"/>
    <w:rsid w:val="00426960"/>
    <w:rsid w:val="004325F8"/>
    <w:rsid w:val="00434BC6"/>
    <w:rsid w:val="00437D72"/>
    <w:rsid w:val="00441CA2"/>
    <w:rsid w:val="004647FE"/>
    <w:rsid w:val="00473215"/>
    <w:rsid w:val="0047713E"/>
    <w:rsid w:val="00480EE0"/>
    <w:rsid w:val="00481716"/>
    <w:rsid w:val="00492BAB"/>
    <w:rsid w:val="00496F20"/>
    <w:rsid w:val="004A3A8A"/>
    <w:rsid w:val="004B1507"/>
    <w:rsid w:val="004C5707"/>
    <w:rsid w:val="004D26FA"/>
    <w:rsid w:val="004D5B66"/>
    <w:rsid w:val="004E3DC7"/>
    <w:rsid w:val="004E4DB8"/>
    <w:rsid w:val="004F48EE"/>
    <w:rsid w:val="004F755B"/>
    <w:rsid w:val="00501EBB"/>
    <w:rsid w:val="0050305D"/>
    <w:rsid w:val="005141F2"/>
    <w:rsid w:val="00524E3D"/>
    <w:rsid w:val="0054524D"/>
    <w:rsid w:val="005513AA"/>
    <w:rsid w:val="00557169"/>
    <w:rsid w:val="00573492"/>
    <w:rsid w:val="00574704"/>
    <w:rsid w:val="00581D01"/>
    <w:rsid w:val="00591C09"/>
    <w:rsid w:val="0059779F"/>
    <w:rsid w:val="005A6E0A"/>
    <w:rsid w:val="005B3DB8"/>
    <w:rsid w:val="005C5B86"/>
    <w:rsid w:val="005C652A"/>
    <w:rsid w:val="005D0BCD"/>
    <w:rsid w:val="005E25CE"/>
    <w:rsid w:val="005E2AF9"/>
    <w:rsid w:val="005F1CDC"/>
    <w:rsid w:val="005F3DE9"/>
    <w:rsid w:val="00603D69"/>
    <w:rsid w:val="00607572"/>
    <w:rsid w:val="006111DA"/>
    <w:rsid w:val="00611B6A"/>
    <w:rsid w:val="00614D6C"/>
    <w:rsid w:val="00616FE2"/>
    <w:rsid w:val="00624B5B"/>
    <w:rsid w:val="00642229"/>
    <w:rsid w:val="00642703"/>
    <w:rsid w:val="006431E4"/>
    <w:rsid w:val="00647B4F"/>
    <w:rsid w:val="00653894"/>
    <w:rsid w:val="00684A1E"/>
    <w:rsid w:val="00687E45"/>
    <w:rsid w:val="006B458D"/>
    <w:rsid w:val="006D1BD9"/>
    <w:rsid w:val="006E5F2D"/>
    <w:rsid w:val="006E5FEC"/>
    <w:rsid w:val="006F2D67"/>
    <w:rsid w:val="0075401F"/>
    <w:rsid w:val="00765319"/>
    <w:rsid w:val="00785349"/>
    <w:rsid w:val="00786E28"/>
    <w:rsid w:val="007A079E"/>
    <w:rsid w:val="007A1943"/>
    <w:rsid w:val="007A611C"/>
    <w:rsid w:val="007C38C2"/>
    <w:rsid w:val="007D17DE"/>
    <w:rsid w:val="007D2906"/>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25C"/>
    <w:rsid w:val="008E5C31"/>
    <w:rsid w:val="008F261F"/>
    <w:rsid w:val="008F493D"/>
    <w:rsid w:val="008F7775"/>
    <w:rsid w:val="00901630"/>
    <w:rsid w:val="00913138"/>
    <w:rsid w:val="00920980"/>
    <w:rsid w:val="00923A63"/>
    <w:rsid w:val="00932BA8"/>
    <w:rsid w:val="00933B1B"/>
    <w:rsid w:val="00947A25"/>
    <w:rsid w:val="009506E0"/>
    <w:rsid w:val="00964ED1"/>
    <w:rsid w:val="00965F5F"/>
    <w:rsid w:val="0096660D"/>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64ADB"/>
    <w:rsid w:val="00A77473"/>
    <w:rsid w:val="00A86F9C"/>
    <w:rsid w:val="00A95EF6"/>
    <w:rsid w:val="00AA1733"/>
    <w:rsid w:val="00AA4437"/>
    <w:rsid w:val="00AB178A"/>
    <w:rsid w:val="00AB4310"/>
    <w:rsid w:val="00AB4905"/>
    <w:rsid w:val="00AC2233"/>
    <w:rsid w:val="00AC3515"/>
    <w:rsid w:val="00AE236C"/>
    <w:rsid w:val="00AF007B"/>
    <w:rsid w:val="00AF1681"/>
    <w:rsid w:val="00AF19A5"/>
    <w:rsid w:val="00B24E84"/>
    <w:rsid w:val="00B27164"/>
    <w:rsid w:val="00B27A4E"/>
    <w:rsid w:val="00B33C43"/>
    <w:rsid w:val="00B33D01"/>
    <w:rsid w:val="00B36DB9"/>
    <w:rsid w:val="00B45E82"/>
    <w:rsid w:val="00B525DB"/>
    <w:rsid w:val="00B56D81"/>
    <w:rsid w:val="00B703D3"/>
    <w:rsid w:val="00BA65AE"/>
    <w:rsid w:val="00BB1631"/>
    <w:rsid w:val="00BB3BE8"/>
    <w:rsid w:val="00BB3F5D"/>
    <w:rsid w:val="00BB5D22"/>
    <w:rsid w:val="00BC04D9"/>
    <w:rsid w:val="00BC45E2"/>
    <w:rsid w:val="00BD7141"/>
    <w:rsid w:val="00BE0681"/>
    <w:rsid w:val="00BE56AE"/>
    <w:rsid w:val="00C14735"/>
    <w:rsid w:val="00C14F16"/>
    <w:rsid w:val="00C26603"/>
    <w:rsid w:val="00C31877"/>
    <w:rsid w:val="00C33209"/>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4294"/>
    <w:rsid w:val="00CE610A"/>
    <w:rsid w:val="00CF27B9"/>
    <w:rsid w:val="00CF5D5C"/>
    <w:rsid w:val="00D06160"/>
    <w:rsid w:val="00D15FFD"/>
    <w:rsid w:val="00D16062"/>
    <w:rsid w:val="00D23A94"/>
    <w:rsid w:val="00D26BE1"/>
    <w:rsid w:val="00D3625E"/>
    <w:rsid w:val="00D37604"/>
    <w:rsid w:val="00D51524"/>
    <w:rsid w:val="00D5438D"/>
    <w:rsid w:val="00D72615"/>
    <w:rsid w:val="00D726AD"/>
    <w:rsid w:val="00D73B2E"/>
    <w:rsid w:val="00D740FD"/>
    <w:rsid w:val="00D80A53"/>
    <w:rsid w:val="00D81288"/>
    <w:rsid w:val="00D97A0D"/>
    <w:rsid w:val="00DA419F"/>
    <w:rsid w:val="00DA5F75"/>
    <w:rsid w:val="00DB7AFE"/>
    <w:rsid w:val="00DC7998"/>
    <w:rsid w:val="00DD580B"/>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90630"/>
    <w:rsid w:val="00FA4C80"/>
    <w:rsid w:val="00FB53D9"/>
    <w:rsid w:val="00FC4FF1"/>
    <w:rsid w:val="00FC6483"/>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yonkers\pchcteam\Lab\Training%20Check%20Lists\ESR%20Auto%20Plus%20Training%20Checklis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Jacquelyn J. Kemper</cp:lastModifiedBy>
  <cp:revision>5</cp:revision>
  <cp:lastPrinted>2013-06-12T12:56:00Z</cp:lastPrinted>
  <dcterms:created xsi:type="dcterms:W3CDTF">2013-07-11T13:00:00Z</dcterms:created>
  <dcterms:modified xsi:type="dcterms:W3CDTF">2013-07-11T20:02:00Z</dcterms:modified>
</cp:coreProperties>
</file>