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CA8155890EF44D1D9E446FBDF8F41865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E9001E" w:rsidRPr="00E9001E">
        <w:rPr>
          <w:rFonts w:cs="Calibri"/>
        </w:rPr>
        <w:t xml:space="preserve">ACE </w:t>
      </w:r>
      <w:proofErr w:type="spellStart"/>
      <w:r w:rsidR="00E9001E" w:rsidRPr="00E9001E">
        <w:rPr>
          <w:rFonts w:cs="Calibri"/>
        </w:rPr>
        <w:t>Alera</w:t>
      </w:r>
      <w:proofErr w:type="spellEnd"/>
      <w:r w:rsidR="00E9001E" w:rsidRPr="00E9001E">
        <w:rPr>
          <w:rFonts w:cs="Calibri"/>
        </w:rPr>
        <w:t xml:space="preserve"> QC or Calibration</w:t>
      </w:r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0EEC8B2E19EB4DF789AA9533B53D8F6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  <w:r w:rsidRPr="00F75CEF">
        <w:rPr>
          <w:rFonts w:ascii="Calibri" w:hAnsi="Calibri" w:cs="Calibri"/>
          <w:b w:val="0"/>
        </w:rPr>
        <w:t>.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Pr="00B251FE" w:rsidRDefault="00B251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ACE </w:t>
      </w:r>
      <w:proofErr w:type="spellStart"/>
      <w:r>
        <w:rPr>
          <w:rFonts w:asciiTheme="minorHAnsi" w:hAnsiTheme="minorHAnsi" w:cstheme="minorHAnsi"/>
        </w:rPr>
        <w:t>Alera</w:t>
      </w:r>
      <w:proofErr w:type="spellEnd"/>
      <w:r>
        <w:rPr>
          <w:rFonts w:asciiTheme="minorHAnsi" w:hAnsiTheme="minorHAnsi" w:cstheme="minorHAnsi"/>
        </w:rPr>
        <w:t xml:space="preserve"> Direct Observation, have someone observe you performing either QC or calibration (excluding ISE calibration).  Any trained individual may witness and sign off on your behalf.</w:t>
      </w:r>
      <w:r w:rsidR="00E9001E">
        <w:rPr>
          <w:rFonts w:asciiTheme="minorHAnsi" w:hAnsiTheme="minorHAnsi" w:cstheme="minorHAnsi"/>
        </w:rPr>
        <w:t xml:space="preserve">  It is not necessary for the QC or calibration to occur during morning start-up, although this is optimal.  You may schedule unnecessary QC to fulfill this obligation.  For example, run just the LDL controls or calibrate Glucose.  DO NOT run a full set of QC during the</w:t>
      </w:r>
      <w:bookmarkStart w:id="0" w:name="_GoBack"/>
      <w:bookmarkEnd w:id="0"/>
      <w:r w:rsidR="00E9001E">
        <w:rPr>
          <w:rFonts w:asciiTheme="minorHAnsi" w:hAnsiTheme="minorHAnsi" w:cstheme="minorHAnsi"/>
        </w:rPr>
        <w:t xml:space="preserve"> midday…  See </w:t>
      </w:r>
      <w:proofErr w:type="spellStart"/>
      <w:r w:rsidR="00E9001E">
        <w:rPr>
          <w:rFonts w:asciiTheme="minorHAnsi" w:hAnsiTheme="minorHAnsi" w:cstheme="minorHAnsi"/>
        </w:rPr>
        <w:t>Denelle</w:t>
      </w:r>
      <w:proofErr w:type="spellEnd"/>
      <w:r w:rsidR="00E9001E">
        <w:rPr>
          <w:rFonts w:asciiTheme="minorHAnsi" w:hAnsiTheme="minorHAnsi" w:cstheme="minorHAnsi"/>
        </w:rPr>
        <w:t xml:space="preserve"> or Sherry if you need more clarification.</w:t>
      </w:r>
    </w:p>
    <w:sectPr w:rsidR="00E721B0" w:rsidRPr="00B251FE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FE" w:rsidRDefault="00B251FE">
      <w:r>
        <w:separator/>
      </w:r>
    </w:p>
  </w:endnote>
  <w:endnote w:type="continuationSeparator" w:id="0">
    <w:p w:rsidR="00B251FE" w:rsidRDefault="00B2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FE" w:rsidRDefault="00B251FE">
      <w:r>
        <w:separator/>
      </w:r>
    </w:p>
  </w:footnote>
  <w:footnote w:type="continuationSeparator" w:id="0">
    <w:p w:rsidR="00B251FE" w:rsidRDefault="00B2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FE"/>
    <w:rsid w:val="000103DF"/>
    <w:rsid w:val="00086FD7"/>
    <w:rsid w:val="001802F2"/>
    <w:rsid w:val="001A0AAF"/>
    <w:rsid w:val="00483955"/>
    <w:rsid w:val="00641944"/>
    <w:rsid w:val="00656D29"/>
    <w:rsid w:val="008D682D"/>
    <w:rsid w:val="009676CA"/>
    <w:rsid w:val="00991F51"/>
    <w:rsid w:val="00B251FE"/>
    <w:rsid w:val="00B33FAE"/>
    <w:rsid w:val="00B9026C"/>
    <w:rsid w:val="00BA13BC"/>
    <w:rsid w:val="00BD04BF"/>
    <w:rsid w:val="00E721B0"/>
    <w:rsid w:val="00E9001E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8155890EF44D1D9E446FBDF8F4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16BF-41B7-4712-A60B-FCB47C42F27F}"/>
      </w:docPartPr>
      <w:docPartBody>
        <w:p w:rsidR="00000000" w:rsidRDefault="00D319D3">
          <w:pPr>
            <w:pStyle w:val="CA8155890EF44D1D9E446FBDF8F41865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0EEC8B2E19EB4DF789AA9533B53D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5643-A242-4E2B-A8CF-4685FB5C88A1}"/>
      </w:docPartPr>
      <w:docPartBody>
        <w:p w:rsidR="00000000" w:rsidRDefault="00D319D3">
          <w:pPr>
            <w:pStyle w:val="0EEC8B2E19EB4DF789AA9533B53D8F69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8155890EF44D1D9E446FBDF8F41865">
    <w:name w:val="CA8155890EF44D1D9E446FBDF8F41865"/>
  </w:style>
  <w:style w:type="paragraph" w:customStyle="1" w:styleId="D8C5E1F5B13E49E7BE5A9864AA9339AE">
    <w:name w:val="D8C5E1F5B13E49E7BE5A9864AA9339AE"/>
  </w:style>
  <w:style w:type="paragraph" w:customStyle="1" w:styleId="0EEC8B2E19EB4DF789AA9533B53D8F69">
    <w:name w:val="0EEC8B2E19EB4DF789AA9533B53D8F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8155890EF44D1D9E446FBDF8F41865">
    <w:name w:val="CA8155890EF44D1D9E446FBDF8F41865"/>
  </w:style>
  <w:style w:type="paragraph" w:customStyle="1" w:styleId="D8C5E1F5B13E49E7BE5A9864AA9339AE">
    <w:name w:val="D8C5E1F5B13E49E7BE5A9864AA9339AE"/>
  </w:style>
  <w:style w:type="paragraph" w:customStyle="1" w:styleId="0EEC8B2E19EB4DF789AA9533B53D8F69">
    <w:name w:val="0EEC8B2E19EB4DF789AA9533B53D8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CF92-382A-478F-845C-2963DD9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Master.dotx</Template>
  <TotalTime>26</TotalTime>
  <Pages>1</Pages>
  <Words>118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2013-08-08T13:39:00Z</cp:lastPrinted>
  <dcterms:created xsi:type="dcterms:W3CDTF">2013-08-08T13:21:00Z</dcterms:created>
  <dcterms:modified xsi:type="dcterms:W3CDTF">2013-08-08T13:47:00Z</dcterms:modified>
</cp:coreProperties>
</file>