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21E7" w14:textId="77777777"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14:paraId="163C6C4B" w14:textId="2D5064D2" w:rsidR="00684A1E" w:rsidRPr="00684A1E" w:rsidRDefault="008E0CA1" w:rsidP="00684A1E">
      <w:pPr>
        <w:jc w:val="center"/>
        <w:rPr>
          <w:b/>
          <w:color w:val="17365D" w:themeColor="text2" w:themeShade="BF"/>
          <w:sz w:val="48"/>
          <w:szCs w:val="48"/>
        </w:rPr>
      </w:pPr>
      <w:r>
        <w:rPr>
          <w:b/>
          <w:color w:val="17365D" w:themeColor="text2" w:themeShade="BF"/>
          <w:sz w:val="48"/>
          <w:szCs w:val="48"/>
        </w:rPr>
        <w:t>January 3, 2014</w:t>
      </w:r>
    </w:p>
    <w:tbl>
      <w:tblPr>
        <w:tblStyle w:val="MediumShading1-Accent1"/>
        <w:tblW w:w="13968" w:type="dxa"/>
        <w:tblLook w:val="04A0" w:firstRow="1" w:lastRow="0" w:firstColumn="1" w:lastColumn="0" w:noHBand="0" w:noVBand="1"/>
      </w:tblPr>
      <w:tblGrid>
        <w:gridCol w:w="1763"/>
        <w:gridCol w:w="9470"/>
        <w:gridCol w:w="1254"/>
        <w:gridCol w:w="1481"/>
      </w:tblGrid>
      <w:tr w:rsidR="007B3995" w14:paraId="12C40527" w14:textId="77777777" w:rsidTr="007B39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vAlign w:val="center"/>
          </w:tcPr>
          <w:p w14:paraId="6F22CDB5" w14:textId="60A68FA1" w:rsidR="00576245" w:rsidRPr="000F2423" w:rsidRDefault="00576245" w:rsidP="007B3995">
            <w:pPr>
              <w:jc w:val="center"/>
              <w:rPr>
                <w:sz w:val="44"/>
                <w:szCs w:val="36"/>
              </w:rPr>
            </w:pPr>
            <w:r w:rsidRPr="000F2423">
              <w:rPr>
                <w:sz w:val="44"/>
                <w:szCs w:val="36"/>
              </w:rPr>
              <w:t>Test</w:t>
            </w:r>
          </w:p>
        </w:tc>
        <w:tc>
          <w:tcPr>
            <w:tcW w:w="10813" w:type="dxa"/>
            <w:gridSpan w:val="2"/>
            <w:vAlign w:val="center"/>
          </w:tcPr>
          <w:p w14:paraId="253A8268" w14:textId="55F114AC" w:rsidR="00576245" w:rsidRPr="000F2423" w:rsidRDefault="007B3995" w:rsidP="007B3995">
            <w:pPr>
              <w:cnfStyle w:val="100000000000" w:firstRow="1" w:lastRow="0" w:firstColumn="0" w:lastColumn="0" w:oddVBand="0" w:evenVBand="0" w:oddHBand="0" w:evenHBand="0" w:firstRowFirstColumn="0" w:firstRowLastColumn="0" w:lastRowFirstColumn="0" w:lastRowLastColumn="0"/>
              <w:rPr>
                <w:sz w:val="44"/>
                <w:szCs w:val="36"/>
              </w:rPr>
            </w:pPr>
            <w:r w:rsidRPr="000F2423">
              <w:rPr>
                <w:sz w:val="44"/>
                <w:szCs w:val="36"/>
              </w:rPr>
              <w:t>Description of Changes</w:t>
            </w:r>
          </w:p>
        </w:tc>
        <w:tc>
          <w:tcPr>
            <w:tcW w:w="1438" w:type="dxa"/>
            <w:vAlign w:val="center"/>
          </w:tcPr>
          <w:p w14:paraId="50A9879A" w14:textId="1CB2E4ED" w:rsidR="00576245" w:rsidRPr="000F2423" w:rsidRDefault="007B3995" w:rsidP="007B3995">
            <w:pPr>
              <w:jc w:val="center"/>
              <w:cnfStyle w:val="100000000000" w:firstRow="1" w:lastRow="0" w:firstColumn="0" w:lastColumn="0" w:oddVBand="0" w:evenVBand="0" w:oddHBand="0" w:evenHBand="0" w:firstRowFirstColumn="0" w:firstRowLastColumn="0" w:lastRowFirstColumn="0" w:lastRowLastColumn="0"/>
              <w:rPr>
                <w:sz w:val="36"/>
                <w:szCs w:val="36"/>
              </w:rPr>
            </w:pPr>
            <w:r w:rsidRPr="000F2423">
              <w:rPr>
                <w:sz w:val="28"/>
                <w:szCs w:val="36"/>
              </w:rPr>
              <w:t>Affected Individuals</w:t>
            </w:r>
          </w:p>
        </w:tc>
      </w:tr>
      <w:tr w:rsidR="007B3995" w14:paraId="66B619AD" w14:textId="77777777" w:rsidTr="000F2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vAlign w:val="center"/>
          </w:tcPr>
          <w:p w14:paraId="0506535B" w14:textId="16944C49" w:rsidR="00576245" w:rsidRPr="000F2423" w:rsidRDefault="008E0CA1" w:rsidP="000F2423">
            <w:pPr>
              <w:jc w:val="center"/>
              <w:rPr>
                <w:sz w:val="32"/>
                <w:szCs w:val="36"/>
              </w:rPr>
            </w:pPr>
            <w:r>
              <w:rPr>
                <w:sz w:val="32"/>
                <w:szCs w:val="36"/>
              </w:rPr>
              <w:t>Monthly Lab Meeting Changes</w:t>
            </w:r>
          </w:p>
        </w:tc>
        <w:tc>
          <w:tcPr>
            <w:tcW w:w="9543" w:type="dxa"/>
          </w:tcPr>
          <w:p w14:paraId="00F1FBB2" w14:textId="20627A88" w:rsidR="000F2423" w:rsidRDefault="008E0CA1" w:rsidP="008E0CA1">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Location: Changing to the behavioral health conference room.</w:t>
            </w:r>
          </w:p>
          <w:p w14:paraId="5EB887A6" w14:textId="78B40E23" w:rsidR="008E0CA1" w:rsidRPr="008E0CA1" w:rsidRDefault="008E0CA1" w:rsidP="00814012">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Food: Catered lunch every other month (Jan, March, May, July, September, </w:t>
            </w:r>
            <w:proofErr w:type="gramStart"/>
            <w:r>
              <w:rPr>
                <w:sz w:val="28"/>
                <w:szCs w:val="36"/>
              </w:rPr>
              <w:t>November</w:t>
            </w:r>
            <w:proofErr w:type="gramEnd"/>
            <w:r>
              <w:rPr>
                <w:sz w:val="28"/>
                <w:szCs w:val="36"/>
              </w:rPr>
              <w:t>).  On the non-catered lunch, please bring your own lunch.</w:t>
            </w:r>
          </w:p>
        </w:tc>
        <w:tc>
          <w:tcPr>
            <w:tcW w:w="2708" w:type="dxa"/>
            <w:gridSpan w:val="2"/>
            <w:vAlign w:val="center"/>
          </w:tcPr>
          <w:p w14:paraId="6838D0FB" w14:textId="2971EF73" w:rsidR="00576245" w:rsidRPr="007B3995" w:rsidRDefault="007B3995" w:rsidP="000F2423">
            <w:pPr>
              <w:jc w:val="center"/>
              <w:cnfStyle w:val="000000100000" w:firstRow="0" w:lastRow="0" w:firstColumn="0" w:lastColumn="0" w:oddVBand="0" w:evenVBand="0" w:oddHBand="1" w:evenHBand="0" w:firstRowFirstColumn="0" w:firstRowLastColumn="0" w:lastRowFirstColumn="0" w:lastRowLastColumn="0"/>
              <w:rPr>
                <w:sz w:val="28"/>
                <w:szCs w:val="36"/>
              </w:rPr>
            </w:pPr>
            <w:r w:rsidRPr="007B3995">
              <w:rPr>
                <w:sz w:val="28"/>
                <w:szCs w:val="36"/>
              </w:rPr>
              <w:t>All Staff</w:t>
            </w:r>
          </w:p>
        </w:tc>
      </w:tr>
      <w:tr w:rsidR="007B3995" w14:paraId="1DF4EF8E" w14:textId="77777777" w:rsidTr="000F24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vAlign w:val="center"/>
          </w:tcPr>
          <w:p w14:paraId="730402A6" w14:textId="14B1FC8C" w:rsidR="00576245" w:rsidRPr="000F2423" w:rsidRDefault="008E0CA1" w:rsidP="000F2423">
            <w:pPr>
              <w:jc w:val="center"/>
              <w:rPr>
                <w:sz w:val="32"/>
                <w:szCs w:val="36"/>
              </w:rPr>
            </w:pPr>
            <w:r>
              <w:rPr>
                <w:sz w:val="32"/>
                <w:szCs w:val="36"/>
              </w:rPr>
              <w:t>Wet Preps</w:t>
            </w:r>
          </w:p>
        </w:tc>
        <w:tc>
          <w:tcPr>
            <w:tcW w:w="9543" w:type="dxa"/>
          </w:tcPr>
          <w:p w14:paraId="7BE67D5B" w14:textId="088E0091" w:rsidR="000F2423" w:rsidRPr="000F2423" w:rsidRDefault="008E0CA1">
            <w:pPr>
              <w:cnfStyle w:val="000000010000" w:firstRow="0" w:lastRow="0" w:firstColumn="0" w:lastColumn="0" w:oddVBand="0" w:evenVBand="0" w:oddHBand="0" w:evenHBand="1" w:firstRowFirstColumn="0" w:firstRowLastColumn="0" w:lastRowFirstColumn="0" w:lastRowLastColumn="0"/>
              <w:rPr>
                <w:sz w:val="28"/>
                <w:szCs w:val="36"/>
              </w:rPr>
            </w:pPr>
            <w:r>
              <w:rPr>
                <w:sz w:val="28"/>
                <w:szCs w:val="36"/>
              </w:rPr>
              <w:t>Regarding ‘</w:t>
            </w:r>
            <w:r w:rsidRPr="008E0CA1">
              <w:rPr>
                <w:i/>
                <w:sz w:val="28"/>
                <w:szCs w:val="36"/>
              </w:rPr>
              <w:t xml:space="preserve">Specimen greater than 1 hour old, </w:t>
            </w:r>
            <w:proofErr w:type="spellStart"/>
            <w:r w:rsidRPr="008E0CA1">
              <w:rPr>
                <w:i/>
                <w:sz w:val="28"/>
                <w:szCs w:val="36"/>
              </w:rPr>
              <w:t>Trich</w:t>
            </w:r>
            <w:proofErr w:type="spellEnd"/>
            <w:r w:rsidRPr="008E0CA1">
              <w:rPr>
                <w:i/>
                <w:sz w:val="28"/>
                <w:szCs w:val="36"/>
              </w:rPr>
              <w:t xml:space="preserve"> result may be compromised</w:t>
            </w:r>
            <w:r>
              <w:rPr>
                <w:sz w:val="28"/>
                <w:szCs w:val="36"/>
              </w:rPr>
              <w:t xml:space="preserve">’ comment: It is not necessary to include this comment on an </w:t>
            </w:r>
            <w:r w:rsidRPr="008E0CA1">
              <w:rPr>
                <w:i/>
                <w:sz w:val="28"/>
                <w:szCs w:val="36"/>
              </w:rPr>
              <w:t>old</w:t>
            </w:r>
            <w:r>
              <w:rPr>
                <w:sz w:val="28"/>
                <w:szCs w:val="36"/>
              </w:rPr>
              <w:t xml:space="preserve"> specimen that has </w:t>
            </w:r>
            <w:proofErr w:type="spellStart"/>
            <w:r>
              <w:rPr>
                <w:sz w:val="28"/>
                <w:szCs w:val="36"/>
              </w:rPr>
              <w:t>Trich</w:t>
            </w:r>
            <w:proofErr w:type="spellEnd"/>
            <w:r>
              <w:rPr>
                <w:sz w:val="28"/>
                <w:szCs w:val="36"/>
              </w:rPr>
              <w:t xml:space="preserve"> present.</w:t>
            </w:r>
          </w:p>
        </w:tc>
        <w:tc>
          <w:tcPr>
            <w:tcW w:w="2708" w:type="dxa"/>
            <w:gridSpan w:val="2"/>
            <w:vAlign w:val="center"/>
          </w:tcPr>
          <w:p w14:paraId="54641135" w14:textId="10F9A9F5" w:rsidR="00576245" w:rsidRPr="000F2423" w:rsidRDefault="00BC32E9" w:rsidP="000F2423">
            <w:pPr>
              <w:jc w:val="center"/>
              <w:cnfStyle w:val="000000010000" w:firstRow="0" w:lastRow="0" w:firstColumn="0" w:lastColumn="0" w:oddVBand="0" w:evenVBand="0" w:oddHBand="0" w:evenHBand="1" w:firstRowFirstColumn="0" w:firstRowLastColumn="0" w:lastRowFirstColumn="0" w:lastRowLastColumn="0"/>
              <w:rPr>
                <w:sz w:val="28"/>
                <w:szCs w:val="36"/>
              </w:rPr>
            </w:pPr>
            <w:r>
              <w:rPr>
                <w:sz w:val="28"/>
                <w:szCs w:val="36"/>
              </w:rPr>
              <w:t>Bench Techs</w:t>
            </w:r>
          </w:p>
        </w:tc>
      </w:tr>
      <w:tr w:rsidR="00BC32E9" w14:paraId="002F0D55" w14:textId="77777777" w:rsidTr="000F2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vAlign w:val="center"/>
          </w:tcPr>
          <w:p w14:paraId="716808B9" w14:textId="5A79389A" w:rsidR="00BC32E9" w:rsidRDefault="00BC32E9" w:rsidP="000F2423">
            <w:pPr>
              <w:jc w:val="center"/>
              <w:rPr>
                <w:sz w:val="32"/>
                <w:szCs w:val="36"/>
              </w:rPr>
            </w:pPr>
            <w:r>
              <w:rPr>
                <w:sz w:val="32"/>
                <w:szCs w:val="36"/>
              </w:rPr>
              <w:t>Wet Preps</w:t>
            </w:r>
          </w:p>
        </w:tc>
        <w:tc>
          <w:tcPr>
            <w:tcW w:w="9543" w:type="dxa"/>
          </w:tcPr>
          <w:p w14:paraId="3F239D4A" w14:textId="54D37DD9" w:rsidR="00BC32E9" w:rsidRDefault="00BC32E9">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If the wet prep has no fluid in the tube, add SALINE, not water to rehydrate the swab.</w:t>
            </w:r>
          </w:p>
        </w:tc>
        <w:tc>
          <w:tcPr>
            <w:tcW w:w="2708" w:type="dxa"/>
            <w:gridSpan w:val="2"/>
            <w:vAlign w:val="center"/>
          </w:tcPr>
          <w:p w14:paraId="5455F1EE" w14:textId="1C35BE55" w:rsidR="00BC32E9" w:rsidRDefault="00BC32E9" w:rsidP="000F2423">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Bench Techs</w:t>
            </w:r>
          </w:p>
        </w:tc>
      </w:tr>
      <w:tr w:rsidR="007B3995" w14:paraId="00849A3B" w14:textId="77777777" w:rsidTr="000F24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vAlign w:val="center"/>
          </w:tcPr>
          <w:p w14:paraId="5896D122" w14:textId="76D3E151" w:rsidR="00576245" w:rsidRPr="000F2423" w:rsidRDefault="008E0CA1" w:rsidP="000F2423">
            <w:pPr>
              <w:jc w:val="center"/>
              <w:rPr>
                <w:sz w:val="32"/>
                <w:szCs w:val="36"/>
              </w:rPr>
            </w:pPr>
            <w:r>
              <w:rPr>
                <w:sz w:val="32"/>
                <w:szCs w:val="36"/>
              </w:rPr>
              <w:t>ESR Controls</w:t>
            </w:r>
          </w:p>
        </w:tc>
        <w:tc>
          <w:tcPr>
            <w:tcW w:w="9543" w:type="dxa"/>
          </w:tcPr>
          <w:p w14:paraId="5EA55A57" w14:textId="725EDE59" w:rsidR="00576245" w:rsidRDefault="008E0CA1">
            <w:pPr>
              <w:cnfStyle w:val="000000010000" w:firstRow="0" w:lastRow="0" w:firstColumn="0" w:lastColumn="0" w:oddVBand="0" w:evenVBand="0" w:oddHBand="0" w:evenHBand="1" w:firstRowFirstColumn="0" w:firstRowLastColumn="0" w:lastRowFirstColumn="0" w:lastRowLastColumn="0"/>
              <w:rPr>
                <w:sz w:val="28"/>
                <w:szCs w:val="36"/>
              </w:rPr>
            </w:pPr>
            <w:r>
              <w:rPr>
                <w:sz w:val="28"/>
                <w:szCs w:val="36"/>
              </w:rPr>
              <w:t>ESR controls have been drifting, so here is a reminder of the QC technique for preparing new vials of controls.  (Note: This is not the entire procedure, just the pertinent section.)</w:t>
            </w:r>
          </w:p>
          <w:tbl>
            <w:tblPr>
              <w:tblStyle w:val="TableGrid"/>
              <w:tblW w:w="0" w:type="auto"/>
              <w:tblInd w:w="1368" w:type="dxa"/>
              <w:tblLook w:val="04A0" w:firstRow="1" w:lastRow="0" w:firstColumn="1" w:lastColumn="0" w:noHBand="0" w:noVBand="1"/>
            </w:tblPr>
            <w:tblGrid>
              <w:gridCol w:w="972"/>
              <w:gridCol w:w="6452"/>
            </w:tblGrid>
            <w:tr w:rsidR="008E0CA1" w:rsidRPr="00DC5BF4" w14:paraId="38AB55EA" w14:textId="77777777" w:rsidTr="00C12FF5">
              <w:trPr>
                <w:trHeight w:val="260"/>
                <w:tblHeader/>
              </w:trPr>
              <w:tc>
                <w:tcPr>
                  <w:tcW w:w="972" w:type="dxa"/>
                </w:tcPr>
                <w:p w14:paraId="3A415DB2" w14:textId="77777777" w:rsidR="008E0CA1" w:rsidRPr="00DC5BF4" w:rsidRDefault="008E0CA1" w:rsidP="00C12FF5">
                  <w:pPr>
                    <w:pStyle w:val="TableHeaderText"/>
                    <w:jc w:val="left"/>
                    <w:rPr>
                      <w:rFonts w:ascii="Calibri" w:hAnsi="Calibri" w:cs="Calibri"/>
                    </w:rPr>
                  </w:pPr>
                  <w:r w:rsidRPr="00DC5BF4">
                    <w:rPr>
                      <w:rFonts w:ascii="Calibri" w:hAnsi="Calibri" w:cs="Calibri"/>
                    </w:rPr>
                    <w:t>Step</w:t>
                  </w:r>
                </w:p>
              </w:tc>
              <w:tc>
                <w:tcPr>
                  <w:tcW w:w="6452" w:type="dxa"/>
                </w:tcPr>
                <w:p w14:paraId="78B45199" w14:textId="77777777" w:rsidR="008E0CA1" w:rsidRPr="00DC5BF4" w:rsidRDefault="008E0CA1" w:rsidP="00C12FF5">
                  <w:pPr>
                    <w:pStyle w:val="TableHeaderText"/>
                    <w:rPr>
                      <w:rFonts w:ascii="Calibri" w:hAnsi="Calibri" w:cs="Calibri"/>
                    </w:rPr>
                  </w:pPr>
                  <w:r w:rsidRPr="00DC5BF4">
                    <w:rPr>
                      <w:rFonts w:ascii="Calibri" w:hAnsi="Calibri" w:cs="Calibri"/>
                    </w:rPr>
                    <w:t>Action</w:t>
                  </w:r>
                </w:p>
              </w:tc>
            </w:tr>
            <w:tr w:rsidR="008E0CA1" w14:paraId="39BDAC59" w14:textId="77777777" w:rsidTr="00C12FF5">
              <w:trPr>
                <w:trHeight w:val="491"/>
                <w:tblHeader/>
              </w:trPr>
              <w:tc>
                <w:tcPr>
                  <w:tcW w:w="972" w:type="dxa"/>
                  <w:vAlign w:val="center"/>
                </w:tcPr>
                <w:p w14:paraId="200BCB1A" w14:textId="77777777" w:rsidR="008E0CA1" w:rsidRPr="00DC5BF4" w:rsidRDefault="008E0CA1" w:rsidP="00C12FF5">
                  <w:pPr>
                    <w:pStyle w:val="TableText"/>
                    <w:jc w:val="center"/>
                    <w:rPr>
                      <w:rFonts w:ascii="Calibri" w:hAnsi="Calibri" w:cs="Calibri"/>
                    </w:rPr>
                  </w:pPr>
                  <w:r w:rsidRPr="00DC5BF4">
                    <w:rPr>
                      <w:rFonts w:ascii="Calibri" w:hAnsi="Calibri" w:cs="Calibri"/>
                    </w:rPr>
                    <w:t>1</w:t>
                  </w:r>
                </w:p>
              </w:tc>
              <w:tc>
                <w:tcPr>
                  <w:tcW w:w="6452" w:type="dxa"/>
                  <w:vAlign w:val="center"/>
                </w:tcPr>
                <w:p w14:paraId="7F7B56CB" w14:textId="7009E28C" w:rsidR="008E0CA1" w:rsidRDefault="008E0CA1" w:rsidP="00C12FF5">
                  <w:pPr>
                    <w:pStyle w:val="TableText"/>
                    <w:rPr>
                      <w:rFonts w:ascii="Calibri" w:hAnsi="Calibri" w:cs="Calibri"/>
                    </w:rPr>
                  </w:pPr>
                  <w:r>
                    <w:rPr>
                      <w:rFonts w:ascii="Calibri" w:hAnsi="Calibri" w:cs="Calibri"/>
                    </w:rPr>
                    <w:t xml:space="preserve">If controls are refrigerated, remove and allow </w:t>
                  </w:r>
                  <w:proofErr w:type="gramStart"/>
                  <w:r>
                    <w:rPr>
                      <w:rFonts w:ascii="Calibri" w:hAnsi="Calibri" w:cs="Calibri"/>
                    </w:rPr>
                    <w:t>to warm</w:t>
                  </w:r>
                  <w:proofErr w:type="gramEnd"/>
                  <w:r>
                    <w:rPr>
                      <w:rFonts w:ascii="Calibri" w:hAnsi="Calibri" w:cs="Calibri"/>
                    </w:rPr>
                    <w:t xml:space="preserve"> to room temperature, approximately 20 to 30 minutes.</w:t>
                  </w:r>
                </w:p>
              </w:tc>
            </w:tr>
            <w:tr w:rsidR="008E0CA1" w14:paraId="72C0D5B9" w14:textId="77777777" w:rsidTr="00C12FF5">
              <w:trPr>
                <w:trHeight w:val="491"/>
                <w:tblHeader/>
              </w:trPr>
              <w:tc>
                <w:tcPr>
                  <w:tcW w:w="972" w:type="dxa"/>
                  <w:vAlign w:val="center"/>
                </w:tcPr>
                <w:p w14:paraId="3C899CE3" w14:textId="77777777" w:rsidR="008E0CA1" w:rsidRPr="00DC5BF4" w:rsidRDefault="008E0CA1" w:rsidP="00C12FF5">
                  <w:pPr>
                    <w:pStyle w:val="TableText"/>
                    <w:jc w:val="center"/>
                    <w:rPr>
                      <w:rFonts w:ascii="Calibri" w:hAnsi="Calibri" w:cs="Calibri"/>
                    </w:rPr>
                  </w:pPr>
                  <w:r>
                    <w:rPr>
                      <w:rFonts w:ascii="Calibri" w:hAnsi="Calibri" w:cs="Calibri"/>
                    </w:rPr>
                    <w:lastRenderedPageBreak/>
                    <w:t>2</w:t>
                  </w:r>
                </w:p>
              </w:tc>
              <w:tc>
                <w:tcPr>
                  <w:tcW w:w="6452" w:type="dxa"/>
                  <w:vAlign w:val="center"/>
                </w:tcPr>
                <w:p w14:paraId="0654800B" w14:textId="77777777" w:rsidR="008E0CA1" w:rsidRDefault="008E0CA1" w:rsidP="00C12FF5">
                  <w:pPr>
                    <w:pStyle w:val="TableText"/>
                    <w:rPr>
                      <w:rFonts w:ascii="Calibri" w:hAnsi="Calibri" w:cs="Calibri"/>
                    </w:rPr>
                  </w:pPr>
                  <w:r w:rsidRPr="008E0CA1">
                    <w:rPr>
                      <w:rFonts w:ascii="Calibri" w:hAnsi="Calibri" w:cs="Calibri"/>
                      <w:highlight w:val="yellow"/>
                    </w:rPr>
                    <w:t>Vortex unopened vials for up to 60 seconds prior to first time use.</w:t>
                  </w:r>
                  <w:r>
                    <w:rPr>
                      <w:rFonts w:ascii="Calibri" w:hAnsi="Calibri" w:cs="Calibri"/>
                    </w:rPr>
                    <w:t xml:space="preserve">  Mix previously opened vials through inversion and by vigorously rolling upright between palms until red cells are completely suspended.  Continue to mix for 90 seconds.</w:t>
                  </w:r>
                </w:p>
              </w:tc>
            </w:tr>
            <w:tr w:rsidR="008E0CA1" w14:paraId="03AB58E7" w14:textId="77777777" w:rsidTr="00C12FF5">
              <w:trPr>
                <w:trHeight w:val="491"/>
                <w:tblHeader/>
              </w:trPr>
              <w:tc>
                <w:tcPr>
                  <w:tcW w:w="972" w:type="dxa"/>
                  <w:vAlign w:val="center"/>
                </w:tcPr>
                <w:p w14:paraId="6AD40F18" w14:textId="77777777" w:rsidR="008E0CA1" w:rsidRDefault="008E0CA1" w:rsidP="00C12FF5">
                  <w:pPr>
                    <w:pStyle w:val="TableText"/>
                    <w:jc w:val="center"/>
                    <w:rPr>
                      <w:rFonts w:ascii="Calibri" w:hAnsi="Calibri" w:cs="Calibri"/>
                    </w:rPr>
                  </w:pPr>
                  <w:r>
                    <w:rPr>
                      <w:rFonts w:ascii="Calibri" w:hAnsi="Calibri" w:cs="Calibri"/>
                    </w:rPr>
                    <w:t>3</w:t>
                  </w:r>
                </w:p>
              </w:tc>
              <w:tc>
                <w:tcPr>
                  <w:tcW w:w="6452" w:type="dxa"/>
                  <w:vAlign w:val="center"/>
                </w:tcPr>
                <w:p w14:paraId="6453F358" w14:textId="77777777" w:rsidR="008E0CA1" w:rsidRDefault="008E0CA1" w:rsidP="00C12FF5">
                  <w:pPr>
                    <w:pStyle w:val="TableText"/>
                    <w:rPr>
                      <w:rFonts w:ascii="Calibri" w:hAnsi="Calibri" w:cs="Calibri"/>
                    </w:rPr>
                  </w:pPr>
                  <w:r>
                    <w:rPr>
                      <w:rFonts w:ascii="Calibri" w:hAnsi="Calibri" w:cs="Calibri"/>
                    </w:rPr>
                    <w:t>Allow bubbles to disperse and re-mix by gently inversion immediately prior to sampling.</w:t>
                  </w:r>
                </w:p>
              </w:tc>
            </w:tr>
            <w:tr w:rsidR="008E0CA1" w14:paraId="72765D8A" w14:textId="77777777" w:rsidTr="00C12FF5">
              <w:trPr>
                <w:trHeight w:val="491"/>
                <w:tblHeader/>
              </w:trPr>
              <w:tc>
                <w:tcPr>
                  <w:tcW w:w="972" w:type="dxa"/>
                  <w:vAlign w:val="center"/>
                </w:tcPr>
                <w:p w14:paraId="5F7E58E7" w14:textId="77777777" w:rsidR="008E0CA1" w:rsidRDefault="008E0CA1" w:rsidP="00C12FF5">
                  <w:pPr>
                    <w:pStyle w:val="TableText"/>
                    <w:jc w:val="center"/>
                    <w:rPr>
                      <w:rFonts w:ascii="Calibri" w:hAnsi="Calibri" w:cs="Calibri"/>
                    </w:rPr>
                  </w:pPr>
                  <w:r>
                    <w:rPr>
                      <w:rFonts w:ascii="Calibri" w:hAnsi="Calibri" w:cs="Calibri"/>
                    </w:rPr>
                    <w:t>4</w:t>
                  </w:r>
                </w:p>
              </w:tc>
              <w:tc>
                <w:tcPr>
                  <w:tcW w:w="6452" w:type="dxa"/>
                  <w:vAlign w:val="center"/>
                </w:tcPr>
                <w:p w14:paraId="0D257E99" w14:textId="77777777" w:rsidR="008E0CA1" w:rsidRDefault="008E0CA1" w:rsidP="00C12FF5">
                  <w:pPr>
                    <w:pStyle w:val="TableText"/>
                    <w:rPr>
                      <w:rFonts w:ascii="Calibri" w:hAnsi="Calibri" w:cs="Calibri"/>
                    </w:rPr>
                  </w:pPr>
                  <w:r>
                    <w:rPr>
                      <w:rFonts w:ascii="Calibri" w:hAnsi="Calibri" w:cs="Calibri"/>
                    </w:rPr>
                    <w:t xml:space="preserve">Pipette the sample immediately after mixing is completed.  </w:t>
                  </w:r>
                  <w:r w:rsidRPr="009436F2">
                    <w:rPr>
                      <w:rFonts w:ascii="Calibri" w:hAnsi="Calibri" w:cs="Calibri"/>
                      <w:b/>
                      <w:i/>
                    </w:rPr>
                    <w:t>If mixed vials sit for more than 1 minute before pipetting into the sample, the vial must be remixed by repeating steps 2 and 3.  Incomplete mixing can invalidate both sample drawn and the remaining product in the vial.</w:t>
                  </w:r>
                </w:p>
              </w:tc>
            </w:tr>
            <w:tr w:rsidR="008E0CA1" w14:paraId="15850D04" w14:textId="77777777" w:rsidTr="00C12FF5">
              <w:trPr>
                <w:trHeight w:val="491"/>
                <w:tblHeader/>
              </w:trPr>
              <w:tc>
                <w:tcPr>
                  <w:tcW w:w="972" w:type="dxa"/>
                  <w:vAlign w:val="center"/>
                </w:tcPr>
                <w:p w14:paraId="41EF6C8C" w14:textId="77777777" w:rsidR="008E0CA1" w:rsidRDefault="008E0CA1" w:rsidP="00C12FF5">
                  <w:pPr>
                    <w:pStyle w:val="TableText"/>
                    <w:jc w:val="center"/>
                    <w:rPr>
                      <w:rFonts w:ascii="Calibri" w:hAnsi="Calibri" w:cs="Calibri"/>
                    </w:rPr>
                  </w:pPr>
                  <w:r>
                    <w:rPr>
                      <w:rFonts w:ascii="Calibri" w:hAnsi="Calibri" w:cs="Calibri"/>
                    </w:rPr>
                    <w:t>5</w:t>
                  </w:r>
                </w:p>
              </w:tc>
              <w:tc>
                <w:tcPr>
                  <w:tcW w:w="6452" w:type="dxa"/>
                  <w:vAlign w:val="center"/>
                </w:tcPr>
                <w:p w14:paraId="1924029D" w14:textId="77777777" w:rsidR="008E0CA1" w:rsidRDefault="008E0CA1" w:rsidP="00C12FF5">
                  <w:pPr>
                    <w:pStyle w:val="TableText"/>
                    <w:rPr>
                      <w:rFonts w:ascii="Calibri" w:hAnsi="Calibri" w:cs="Calibri"/>
                    </w:rPr>
                  </w:pPr>
                  <w:r>
                    <w:rPr>
                      <w:rFonts w:ascii="Calibri" w:hAnsi="Calibri" w:cs="Calibri"/>
                    </w:rPr>
                    <w:t xml:space="preserve">Pipette control into tube to fill to the 60mm marked line.  Mix tube </w:t>
                  </w:r>
                  <w:r>
                    <w:rPr>
                      <w:rFonts w:asciiTheme="minorHAnsi" w:hAnsiTheme="minorHAnsi" w:cstheme="minorHAnsi"/>
                    </w:rPr>
                    <w:t xml:space="preserve">by inverting the tube at least 6 to 8 times.  The air bubble in the tube must reach the opposite end of the tube between every inversion.  Hold the tube at an angle of about 35° to enhance mixing.  </w:t>
                  </w:r>
                  <w:r w:rsidRPr="00CE3045">
                    <w:rPr>
                      <w:rFonts w:asciiTheme="minorHAnsi" w:hAnsiTheme="minorHAnsi" w:cstheme="minorHAnsi"/>
                      <w:b/>
                    </w:rPr>
                    <w:t>The mixing procedure is very important!</w:t>
                  </w:r>
                  <w:r>
                    <w:rPr>
                      <w:rFonts w:asciiTheme="minorHAnsi" w:hAnsiTheme="minorHAnsi" w:cstheme="minorHAnsi"/>
                      <w:b/>
                    </w:rPr>
                    <w:t xml:space="preserve">  </w:t>
                  </w:r>
                </w:p>
              </w:tc>
            </w:tr>
            <w:tr w:rsidR="008E0CA1" w14:paraId="033FCC78" w14:textId="77777777" w:rsidTr="00C12FF5">
              <w:trPr>
                <w:trHeight w:val="491"/>
                <w:tblHeader/>
              </w:trPr>
              <w:tc>
                <w:tcPr>
                  <w:tcW w:w="972" w:type="dxa"/>
                  <w:vAlign w:val="center"/>
                </w:tcPr>
                <w:p w14:paraId="2C510CF9" w14:textId="77777777" w:rsidR="008E0CA1" w:rsidRDefault="008E0CA1" w:rsidP="00C12FF5">
                  <w:pPr>
                    <w:pStyle w:val="TableText"/>
                    <w:jc w:val="center"/>
                    <w:rPr>
                      <w:rFonts w:ascii="Calibri" w:hAnsi="Calibri" w:cs="Calibri"/>
                    </w:rPr>
                  </w:pPr>
                  <w:r>
                    <w:rPr>
                      <w:rFonts w:ascii="Calibri" w:hAnsi="Calibri" w:cs="Calibri"/>
                    </w:rPr>
                    <w:t>6</w:t>
                  </w:r>
                </w:p>
              </w:tc>
              <w:tc>
                <w:tcPr>
                  <w:tcW w:w="6452" w:type="dxa"/>
                  <w:vAlign w:val="center"/>
                </w:tcPr>
                <w:p w14:paraId="3C6B80FA" w14:textId="77777777" w:rsidR="008E0CA1" w:rsidRDefault="008E0CA1" w:rsidP="00C12FF5">
                  <w:pPr>
                    <w:pStyle w:val="TableText"/>
                    <w:rPr>
                      <w:rFonts w:ascii="Calibri" w:hAnsi="Calibri" w:cs="Calibri"/>
                    </w:rPr>
                  </w:pPr>
                  <w:r>
                    <w:rPr>
                      <w:rFonts w:ascii="Calibri" w:hAnsi="Calibri" w:cs="Calibri"/>
                    </w:rPr>
                    <w:t>Place filled tube on ESR-657 mixer.  Allow to mix for three minutes.</w:t>
                  </w:r>
                </w:p>
              </w:tc>
            </w:tr>
          </w:tbl>
          <w:p w14:paraId="2CE1E82F" w14:textId="18127113" w:rsidR="008E0CA1" w:rsidRPr="000F2423" w:rsidRDefault="008E0CA1">
            <w:pPr>
              <w:cnfStyle w:val="000000010000" w:firstRow="0" w:lastRow="0" w:firstColumn="0" w:lastColumn="0" w:oddVBand="0" w:evenVBand="0" w:oddHBand="0" w:evenHBand="1" w:firstRowFirstColumn="0" w:firstRowLastColumn="0" w:lastRowFirstColumn="0" w:lastRowLastColumn="0"/>
              <w:rPr>
                <w:sz w:val="28"/>
                <w:szCs w:val="36"/>
              </w:rPr>
            </w:pPr>
          </w:p>
        </w:tc>
        <w:tc>
          <w:tcPr>
            <w:tcW w:w="2708" w:type="dxa"/>
            <w:gridSpan w:val="2"/>
            <w:vAlign w:val="center"/>
          </w:tcPr>
          <w:p w14:paraId="71951CF3" w14:textId="3CCFA2F4" w:rsidR="00576245" w:rsidRPr="000F2423" w:rsidRDefault="00BC32E9" w:rsidP="000F2423">
            <w:pPr>
              <w:jc w:val="center"/>
              <w:cnfStyle w:val="000000010000" w:firstRow="0" w:lastRow="0" w:firstColumn="0" w:lastColumn="0" w:oddVBand="0" w:evenVBand="0" w:oddHBand="0" w:evenHBand="1" w:firstRowFirstColumn="0" w:firstRowLastColumn="0" w:lastRowFirstColumn="0" w:lastRowLastColumn="0"/>
              <w:rPr>
                <w:sz w:val="28"/>
                <w:szCs w:val="36"/>
              </w:rPr>
            </w:pPr>
            <w:r>
              <w:rPr>
                <w:sz w:val="28"/>
                <w:szCs w:val="36"/>
              </w:rPr>
              <w:lastRenderedPageBreak/>
              <w:t>Bench Techs</w:t>
            </w:r>
          </w:p>
        </w:tc>
      </w:tr>
      <w:tr w:rsidR="000F2423" w14:paraId="0B41F1E1" w14:textId="77777777" w:rsidTr="000F2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vAlign w:val="center"/>
          </w:tcPr>
          <w:p w14:paraId="69A9609B" w14:textId="50D4D53F" w:rsidR="000F2423" w:rsidRPr="000F2423" w:rsidRDefault="008E0CA1" w:rsidP="000F2423">
            <w:pPr>
              <w:jc w:val="center"/>
              <w:rPr>
                <w:sz w:val="32"/>
                <w:szCs w:val="36"/>
              </w:rPr>
            </w:pPr>
            <w:r>
              <w:rPr>
                <w:sz w:val="32"/>
                <w:szCs w:val="36"/>
              </w:rPr>
              <w:lastRenderedPageBreak/>
              <w:t>ESR Technical Hints</w:t>
            </w:r>
          </w:p>
        </w:tc>
        <w:tc>
          <w:tcPr>
            <w:tcW w:w="9543" w:type="dxa"/>
          </w:tcPr>
          <w:p w14:paraId="21EC0948" w14:textId="6D59DB6F" w:rsidR="000F2423" w:rsidRPr="000F2423" w:rsidRDefault="008E0CA1" w:rsidP="008E0CA1">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We have placed a Technical Troubleshooting Guide from </w:t>
            </w:r>
            <w:proofErr w:type="spellStart"/>
            <w:r>
              <w:rPr>
                <w:sz w:val="28"/>
                <w:szCs w:val="36"/>
              </w:rPr>
              <w:t>Streck</w:t>
            </w:r>
            <w:proofErr w:type="spellEnd"/>
            <w:r>
              <w:rPr>
                <w:sz w:val="28"/>
                <w:szCs w:val="36"/>
              </w:rPr>
              <w:t>, on the clipboard for ESR.  Please review.</w:t>
            </w:r>
          </w:p>
        </w:tc>
        <w:tc>
          <w:tcPr>
            <w:tcW w:w="2708" w:type="dxa"/>
            <w:gridSpan w:val="2"/>
            <w:vAlign w:val="center"/>
          </w:tcPr>
          <w:p w14:paraId="772CC301" w14:textId="76620E3D" w:rsidR="000F2423" w:rsidRDefault="00BC32E9" w:rsidP="000F2423">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Bench Techs</w:t>
            </w:r>
          </w:p>
        </w:tc>
      </w:tr>
      <w:tr w:rsidR="00704029" w14:paraId="2143E377" w14:textId="77777777" w:rsidTr="000F24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vAlign w:val="center"/>
          </w:tcPr>
          <w:p w14:paraId="2595BF4F" w14:textId="00D73183" w:rsidR="00704029" w:rsidRPr="000F2423" w:rsidRDefault="008E0CA1" w:rsidP="000F2423">
            <w:pPr>
              <w:jc w:val="center"/>
              <w:rPr>
                <w:sz w:val="32"/>
                <w:szCs w:val="36"/>
              </w:rPr>
            </w:pPr>
            <w:r>
              <w:rPr>
                <w:sz w:val="32"/>
                <w:szCs w:val="36"/>
              </w:rPr>
              <w:t>Influenza</w:t>
            </w:r>
          </w:p>
        </w:tc>
        <w:tc>
          <w:tcPr>
            <w:tcW w:w="9543" w:type="dxa"/>
          </w:tcPr>
          <w:p w14:paraId="4491CE26" w14:textId="77777777" w:rsidR="00704029" w:rsidRDefault="008E0CA1">
            <w:pPr>
              <w:cnfStyle w:val="000000010000" w:firstRow="0" w:lastRow="0" w:firstColumn="0" w:lastColumn="0" w:oddVBand="0" w:evenVBand="0" w:oddHBand="0" w:evenHBand="1" w:firstRowFirstColumn="0" w:firstRowLastColumn="0" w:lastRowFirstColumn="0" w:lastRowLastColumn="0"/>
              <w:rPr>
                <w:sz w:val="28"/>
                <w:szCs w:val="36"/>
              </w:rPr>
            </w:pPr>
            <w:r>
              <w:rPr>
                <w:sz w:val="28"/>
                <w:szCs w:val="36"/>
              </w:rPr>
              <w:t>Starting January 1</w:t>
            </w:r>
            <w:r w:rsidRPr="008E0CA1">
              <w:rPr>
                <w:sz w:val="28"/>
                <w:szCs w:val="36"/>
                <w:vertAlign w:val="superscript"/>
              </w:rPr>
              <w:t>st</w:t>
            </w:r>
            <w:r>
              <w:rPr>
                <w:sz w:val="28"/>
                <w:szCs w:val="36"/>
              </w:rPr>
              <w:t>, QC will only be performed with each new box</w:t>
            </w:r>
            <w:r w:rsidR="0078425B">
              <w:rPr>
                <w:sz w:val="28"/>
                <w:szCs w:val="36"/>
              </w:rPr>
              <w:t>, new operator, or when result or instrumentation are questioned.</w:t>
            </w:r>
          </w:p>
          <w:p w14:paraId="709D9F1C" w14:textId="77777777" w:rsidR="0078425B" w:rsidRDefault="0078425B" w:rsidP="0078425B">
            <w:pPr>
              <w:cnfStyle w:val="000000010000" w:firstRow="0" w:lastRow="0" w:firstColumn="0" w:lastColumn="0" w:oddVBand="0" w:evenVBand="0" w:oddHBand="0" w:evenHBand="1" w:firstRowFirstColumn="0" w:firstRowLastColumn="0" w:lastRowFirstColumn="0" w:lastRowLastColumn="0"/>
              <w:rPr>
                <w:sz w:val="28"/>
                <w:szCs w:val="36"/>
              </w:rPr>
            </w:pPr>
            <w:r>
              <w:rPr>
                <w:sz w:val="28"/>
                <w:szCs w:val="36"/>
              </w:rPr>
              <w:t>Coinciding with this change, the test log has changed as well.  We will have one set of log sheets per box of influenza.  There is space on the first sheet to fill out QC info and attach the QC printout out.</w:t>
            </w:r>
          </w:p>
          <w:p w14:paraId="666192D9" w14:textId="406C05D0" w:rsidR="0078425B" w:rsidRDefault="0078425B" w:rsidP="0078425B">
            <w:pPr>
              <w:cnfStyle w:val="000000010000" w:firstRow="0" w:lastRow="0" w:firstColumn="0" w:lastColumn="0" w:oddVBand="0" w:evenVBand="0" w:oddHBand="0" w:evenHBand="1" w:firstRowFirstColumn="0" w:firstRowLastColumn="0" w:lastRowFirstColumn="0" w:lastRowLastColumn="0"/>
              <w:rPr>
                <w:sz w:val="28"/>
                <w:szCs w:val="36"/>
              </w:rPr>
            </w:pPr>
            <w:r>
              <w:rPr>
                <w:sz w:val="28"/>
                <w:szCs w:val="36"/>
              </w:rPr>
              <w:t>For calibrations, please attach the calibration printout to the test log as well.</w:t>
            </w:r>
          </w:p>
          <w:p w14:paraId="7CD8FE2E" w14:textId="69EDE470" w:rsidR="0078425B" w:rsidRDefault="0078425B" w:rsidP="0078425B">
            <w:pPr>
              <w:cnfStyle w:val="000000010000" w:firstRow="0" w:lastRow="0" w:firstColumn="0" w:lastColumn="0" w:oddVBand="0" w:evenVBand="0" w:oddHBand="0" w:evenHBand="1" w:firstRowFirstColumn="0" w:firstRowLastColumn="0" w:lastRowFirstColumn="0" w:lastRowLastColumn="0"/>
              <w:rPr>
                <w:sz w:val="28"/>
                <w:szCs w:val="36"/>
              </w:rPr>
            </w:pPr>
            <w:r>
              <w:rPr>
                <w:sz w:val="28"/>
                <w:szCs w:val="36"/>
              </w:rPr>
              <w:t xml:space="preserve">Please see </w:t>
            </w:r>
            <w:proofErr w:type="spellStart"/>
            <w:r>
              <w:rPr>
                <w:sz w:val="28"/>
                <w:szCs w:val="36"/>
              </w:rPr>
              <w:t>Denelle</w:t>
            </w:r>
            <w:proofErr w:type="spellEnd"/>
            <w:r>
              <w:rPr>
                <w:sz w:val="28"/>
                <w:szCs w:val="36"/>
              </w:rPr>
              <w:t xml:space="preserve"> if you have questions or concerns.</w:t>
            </w:r>
          </w:p>
        </w:tc>
        <w:tc>
          <w:tcPr>
            <w:tcW w:w="2708" w:type="dxa"/>
            <w:gridSpan w:val="2"/>
            <w:vAlign w:val="center"/>
          </w:tcPr>
          <w:p w14:paraId="2B9C2BAA" w14:textId="4B7BD1E7" w:rsidR="00704029" w:rsidRDefault="00BC32E9" w:rsidP="000F2423">
            <w:pPr>
              <w:jc w:val="center"/>
              <w:cnfStyle w:val="000000010000" w:firstRow="0" w:lastRow="0" w:firstColumn="0" w:lastColumn="0" w:oddVBand="0" w:evenVBand="0" w:oddHBand="0" w:evenHBand="1" w:firstRowFirstColumn="0" w:firstRowLastColumn="0" w:lastRowFirstColumn="0" w:lastRowLastColumn="0"/>
              <w:rPr>
                <w:sz w:val="28"/>
                <w:szCs w:val="36"/>
              </w:rPr>
            </w:pPr>
            <w:r>
              <w:rPr>
                <w:sz w:val="28"/>
                <w:szCs w:val="36"/>
              </w:rPr>
              <w:t>Bench Techs</w:t>
            </w:r>
          </w:p>
        </w:tc>
      </w:tr>
      <w:tr w:rsidR="00F8466F" w14:paraId="4F23E178" w14:textId="77777777" w:rsidTr="000F2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vAlign w:val="center"/>
          </w:tcPr>
          <w:p w14:paraId="3B6A6DE5" w14:textId="76F4B230" w:rsidR="00F8466F" w:rsidRDefault="0078425B" w:rsidP="000F2423">
            <w:pPr>
              <w:jc w:val="center"/>
              <w:rPr>
                <w:sz w:val="32"/>
                <w:szCs w:val="36"/>
              </w:rPr>
            </w:pPr>
            <w:r>
              <w:rPr>
                <w:sz w:val="32"/>
                <w:szCs w:val="36"/>
              </w:rPr>
              <w:lastRenderedPageBreak/>
              <w:t>H. Pylori Breath Tests</w:t>
            </w:r>
          </w:p>
        </w:tc>
        <w:tc>
          <w:tcPr>
            <w:tcW w:w="9543" w:type="dxa"/>
          </w:tcPr>
          <w:p w14:paraId="59A90847" w14:textId="77777777" w:rsidR="00F8466F" w:rsidRDefault="0078425B">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These are now eligible for a transfer list.</w:t>
            </w:r>
          </w:p>
          <w:p w14:paraId="6F987EE9" w14:textId="7AB429B1" w:rsidR="00BC32E9" w:rsidRDefault="0078425B">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They </w:t>
            </w:r>
            <w:r w:rsidR="00BC32E9">
              <w:rPr>
                <w:sz w:val="28"/>
                <w:szCs w:val="36"/>
              </w:rPr>
              <w:t>will be on</w:t>
            </w:r>
            <w:r>
              <w:rPr>
                <w:sz w:val="28"/>
                <w:szCs w:val="36"/>
              </w:rPr>
              <w:t xml:space="preserve"> a separate list from NPH to WHC.</w:t>
            </w:r>
            <w:r w:rsidR="00BC32E9">
              <w:rPr>
                <w:sz w:val="28"/>
                <w:szCs w:val="36"/>
              </w:rPr>
              <w:t xml:space="preserve">  Please see the sign posted in </w:t>
            </w:r>
            <w:proofErr w:type="spellStart"/>
            <w:r w:rsidR="00BC32E9">
              <w:rPr>
                <w:sz w:val="28"/>
                <w:szCs w:val="36"/>
              </w:rPr>
              <w:t>sendouts</w:t>
            </w:r>
            <w:proofErr w:type="spellEnd"/>
            <w:r w:rsidR="00BC32E9">
              <w:rPr>
                <w:sz w:val="28"/>
                <w:szCs w:val="36"/>
              </w:rPr>
              <w:t>.</w:t>
            </w:r>
          </w:p>
          <w:p w14:paraId="7D06C7EC" w14:textId="42526FD1" w:rsidR="00BC32E9" w:rsidRDefault="00BC32E9">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I would recommend opening a new Transfer application that is just NPH to WHC.  The other Transfer application will be the regular NPH to HCMC list.</w:t>
            </w:r>
          </w:p>
        </w:tc>
        <w:tc>
          <w:tcPr>
            <w:tcW w:w="2708" w:type="dxa"/>
            <w:gridSpan w:val="2"/>
            <w:vAlign w:val="center"/>
          </w:tcPr>
          <w:p w14:paraId="0830B1DB" w14:textId="79983FB9" w:rsidR="00F8466F" w:rsidRDefault="00F8466F" w:rsidP="000F2423">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BC32E9" w14:paraId="5BB26ABB" w14:textId="77777777" w:rsidTr="000F24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vAlign w:val="center"/>
          </w:tcPr>
          <w:p w14:paraId="114CE71D" w14:textId="66B57A1F" w:rsidR="00BC32E9" w:rsidRDefault="00BC32E9" w:rsidP="000F2423">
            <w:pPr>
              <w:jc w:val="center"/>
              <w:rPr>
                <w:sz w:val="32"/>
                <w:szCs w:val="36"/>
              </w:rPr>
            </w:pPr>
            <w:r>
              <w:rPr>
                <w:sz w:val="32"/>
                <w:szCs w:val="36"/>
              </w:rPr>
              <w:t xml:space="preserve">Baby </w:t>
            </w:r>
            <w:proofErr w:type="spellStart"/>
            <w:r>
              <w:rPr>
                <w:sz w:val="32"/>
                <w:szCs w:val="36"/>
              </w:rPr>
              <w:t>Bilis</w:t>
            </w:r>
            <w:proofErr w:type="spellEnd"/>
          </w:p>
        </w:tc>
        <w:tc>
          <w:tcPr>
            <w:tcW w:w="9543" w:type="dxa"/>
          </w:tcPr>
          <w:p w14:paraId="4E4AFE34" w14:textId="5B1AF092" w:rsidR="00BC32E9" w:rsidRDefault="00BC32E9">
            <w:pPr>
              <w:cnfStyle w:val="000000010000" w:firstRow="0" w:lastRow="0" w:firstColumn="0" w:lastColumn="0" w:oddVBand="0" w:evenVBand="0" w:oddHBand="0" w:evenHBand="1" w:firstRowFirstColumn="0" w:firstRowLastColumn="0" w:lastRowFirstColumn="0" w:lastRowLastColumn="0"/>
              <w:rPr>
                <w:sz w:val="28"/>
                <w:szCs w:val="36"/>
              </w:rPr>
            </w:pPr>
            <w:r>
              <w:rPr>
                <w:sz w:val="28"/>
                <w:szCs w:val="36"/>
              </w:rPr>
              <w:t xml:space="preserve">The Baby </w:t>
            </w:r>
            <w:proofErr w:type="spellStart"/>
            <w:r>
              <w:rPr>
                <w:sz w:val="28"/>
                <w:szCs w:val="36"/>
              </w:rPr>
              <w:t>Bili</w:t>
            </w:r>
            <w:proofErr w:type="spellEnd"/>
            <w:r>
              <w:rPr>
                <w:sz w:val="28"/>
                <w:szCs w:val="36"/>
              </w:rPr>
              <w:t xml:space="preserve"> controls are good for 14 days once opened.</w:t>
            </w:r>
          </w:p>
        </w:tc>
        <w:tc>
          <w:tcPr>
            <w:tcW w:w="2708" w:type="dxa"/>
            <w:gridSpan w:val="2"/>
            <w:vAlign w:val="center"/>
          </w:tcPr>
          <w:p w14:paraId="2E06F359" w14:textId="338BEDCD" w:rsidR="00BC32E9" w:rsidRDefault="00BC32E9" w:rsidP="000F2423">
            <w:pPr>
              <w:jc w:val="center"/>
              <w:cnfStyle w:val="000000010000" w:firstRow="0" w:lastRow="0" w:firstColumn="0" w:lastColumn="0" w:oddVBand="0" w:evenVBand="0" w:oddHBand="0" w:evenHBand="1" w:firstRowFirstColumn="0" w:firstRowLastColumn="0" w:lastRowFirstColumn="0" w:lastRowLastColumn="0"/>
              <w:rPr>
                <w:sz w:val="28"/>
                <w:szCs w:val="36"/>
              </w:rPr>
            </w:pPr>
            <w:r>
              <w:rPr>
                <w:sz w:val="28"/>
                <w:szCs w:val="36"/>
              </w:rPr>
              <w:t>Bench Techs</w:t>
            </w:r>
          </w:p>
        </w:tc>
      </w:tr>
      <w:tr w:rsidR="00BB0F67" w14:paraId="43E7AB2B" w14:textId="77777777" w:rsidTr="000F2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vAlign w:val="center"/>
          </w:tcPr>
          <w:p w14:paraId="121101A2" w14:textId="299E5794" w:rsidR="00BB0F67" w:rsidRDefault="00BB0F67" w:rsidP="000F2423">
            <w:pPr>
              <w:jc w:val="center"/>
              <w:rPr>
                <w:sz w:val="32"/>
                <w:szCs w:val="36"/>
              </w:rPr>
            </w:pPr>
            <w:r>
              <w:rPr>
                <w:sz w:val="32"/>
                <w:szCs w:val="36"/>
              </w:rPr>
              <w:t>Eos significance</w:t>
            </w:r>
          </w:p>
        </w:tc>
        <w:tc>
          <w:tcPr>
            <w:tcW w:w="9543" w:type="dxa"/>
          </w:tcPr>
          <w:p w14:paraId="3A92A321" w14:textId="49B5AB2F" w:rsidR="00BB0F67" w:rsidRDefault="00BB0F67">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Recently we had a pediatric patient who had the following results</w:t>
            </w:r>
            <w:r w:rsidR="00335625">
              <w:rPr>
                <w:sz w:val="28"/>
                <w:szCs w:val="36"/>
              </w:rPr>
              <w:t xml:space="preserve"> when only a </w:t>
            </w:r>
            <w:proofErr w:type="spellStart"/>
            <w:r w:rsidR="00335625">
              <w:rPr>
                <w:sz w:val="28"/>
                <w:szCs w:val="36"/>
              </w:rPr>
              <w:t>hgb</w:t>
            </w:r>
            <w:proofErr w:type="spellEnd"/>
            <w:r w:rsidR="00335625">
              <w:rPr>
                <w:sz w:val="28"/>
                <w:szCs w:val="36"/>
              </w:rPr>
              <w:t xml:space="preserve"> was ordered</w:t>
            </w:r>
            <w:r>
              <w:rPr>
                <w:sz w:val="28"/>
                <w:szCs w:val="36"/>
              </w:rPr>
              <w:t>:</w:t>
            </w:r>
          </w:p>
          <w:p w14:paraId="31784E30" w14:textId="72596EAD" w:rsidR="00BB0F67" w:rsidRDefault="00BB0F67" w:rsidP="00BB0F67">
            <w:pPr>
              <w:cnfStyle w:val="000000100000" w:firstRow="0" w:lastRow="0" w:firstColumn="0" w:lastColumn="0" w:oddVBand="0" w:evenVBand="0" w:oddHBand="1" w:evenHBand="0" w:firstRowFirstColumn="0" w:firstRowLastColumn="0" w:lastRowFirstColumn="0" w:lastRowLastColumn="0"/>
              <w:rPr>
                <w:sz w:val="28"/>
                <w:szCs w:val="36"/>
              </w:rPr>
            </w:pPr>
            <w:r>
              <w:rPr>
                <w:noProof/>
                <w:sz w:val="28"/>
                <w:szCs w:val="36"/>
              </w:rPr>
              <mc:AlternateContent>
                <mc:Choice Requires="wps">
                  <w:drawing>
                    <wp:anchor distT="0" distB="0" distL="114300" distR="114300" simplePos="0" relativeHeight="251660288" behindDoc="0" locked="0" layoutInCell="1" allowOverlap="1" wp14:anchorId="6BF7C779" wp14:editId="64FEB60E">
                      <wp:simplePos x="0" y="0"/>
                      <wp:positionH relativeFrom="column">
                        <wp:posOffset>2573720</wp:posOffset>
                      </wp:positionH>
                      <wp:positionV relativeFrom="paragraph">
                        <wp:posOffset>2318212</wp:posOffset>
                      </wp:positionV>
                      <wp:extent cx="4904509" cy="1685694"/>
                      <wp:effectExtent l="0" t="0" r="0" b="0"/>
                      <wp:wrapNone/>
                      <wp:docPr id="4" name="Text Box 4"/>
                      <wp:cNvGraphicFramePr/>
                      <a:graphic xmlns:a="http://schemas.openxmlformats.org/drawingml/2006/main">
                        <a:graphicData uri="http://schemas.microsoft.com/office/word/2010/wordprocessingShape">
                          <wps:wsp>
                            <wps:cNvSpPr txBox="1"/>
                            <wps:spPr>
                              <a:xfrm>
                                <a:off x="0" y="0"/>
                                <a:ext cx="4904509" cy="16856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3D200" w14:textId="1A9B2768" w:rsidR="00BB0F67" w:rsidRPr="00BB0F67" w:rsidRDefault="00BB0F67">
                                  <w:pPr>
                                    <w:rPr>
                                      <w:b/>
                                      <w:sz w:val="24"/>
                                    </w:rPr>
                                  </w:pPr>
                                  <w:r w:rsidRPr="0044262D">
                                    <w:rPr>
                                      <w:b/>
                                      <w:color w:val="FF0000"/>
                                      <w:sz w:val="28"/>
                                    </w:rPr>
                                    <w:t xml:space="preserve">This is abnormal.  </w:t>
                                  </w:r>
                                  <w:r w:rsidRPr="00BB0F67">
                                    <w:rPr>
                                      <w:b/>
                                      <w:sz w:val="24"/>
                                    </w:rPr>
                                    <w:t xml:space="preserve">It is worth notifying the provider of the abnormality and asking if they would like to add-on a CBC, </w:t>
                                  </w:r>
                                  <w:proofErr w:type="spellStart"/>
                                  <w:r w:rsidRPr="00BB0F67">
                                    <w:rPr>
                                      <w:b/>
                                      <w:sz w:val="24"/>
                                    </w:rPr>
                                    <w:t>Plt</w:t>
                                  </w:r>
                                  <w:proofErr w:type="spellEnd"/>
                                  <w:r w:rsidRPr="00BB0F67">
                                    <w:rPr>
                                      <w:b/>
                                      <w:sz w:val="24"/>
                                    </w:rPr>
                                    <w:t xml:space="preserve"> &amp; Diff.  We would have performed a slide review because of the Atypical </w:t>
                                  </w:r>
                                  <w:proofErr w:type="spellStart"/>
                                  <w:r w:rsidRPr="00BB0F67">
                                    <w:rPr>
                                      <w:b/>
                                      <w:sz w:val="24"/>
                                    </w:rPr>
                                    <w:t>Lympho</w:t>
                                  </w:r>
                                  <w:proofErr w:type="spellEnd"/>
                                  <w:r w:rsidRPr="00BB0F67">
                                    <w:rPr>
                                      <w:b/>
                                      <w:sz w:val="24"/>
                                    </w:rPr>
                                    <w:t xml:space="preserve"> flag.</w:t>
                                  </w:r>
                                </w:p>
                                <w:p w14:paraId="0A6E278D" w14:textId="4DBF4DF0" w:rsidR="00BB0F67" w:rsidRPr="00BB0F67" w:rsidRDefault="00BB0F67">
                                  <w:pPr>
                                    <w:rPr>
                                      <w:b/>
                                      <w:sz w:val="24"/>
                                    </w:rPr>
                                  </w:pPr>
                                  <w:r w:rsidRPr="00BB0F67">
                                    <w:rPr>
                                      <w:b/>
                                      <w:sz w:val="24"/>
                                    </w:rPr>
                                    <w:t>The normal range for pediatric patients is 0-6% Eos.</w:t>
                                  </w:r>
                                </w:p>
                                <w:p w14:paraId="3F1DBE57" w14:textId="731BD463" w:rsidR="00BB0F67" w:rsidRPr="00BB0F67" w:rsidRDefault="00BB0F67">
                                  <w:pPr>
                                    <w:rPr>
                                      <w:sz w:val="24"/>
                                    </w:rPr>
                                  </w:pPr>
                                  <w:r w:rsidRPr="00BB0F67">
                                    <w:rPr>
                                      <w:b/>
                                      <w:sz w:val="24"/>
                                    </w:rPr>
                                    <w:t>The providers have predicted this child likely has a parasitic worm infection</w:t>
                                  </w:r>
                                  <w:r w:rsidRPr="00BB0F67">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2.65pt;margin-top:182.55pt;width:386.2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" filled="f" stroked="f" strokeweight=".5pt">
                      <v:textbox>
                        <w:txbxContent>
                          <w:p w14:paraId="0BB3D200" w14:textId="1A9B2768" w:rsidR="00BB0F67" w:rsidRPr="00BB0F67" w:rsidRDefault="00BB0F67">
                            <w:pPr>
                              <w:rPr>
                                <w:b/>
                                <w:sz w:val="24"/>
                              </w:rPr>
                            </w:pPr>
                            <w:r w:rsidRPr="0044262D">
                              <w:rPr>
                                <w:b/>
                                <w:color w:val="FF0000"/>
                                <w:sz w:val="28"/>
                              </w:rPr>
                              <w:t xml:space="preserve">This is abnormal.  </w:t>
                            </w:r>
                            <w:r w:rsidRPr="00BB0F67">
                              <w:rPr>
                                <w:b/>
                                <w:sz w:val="24"/>
                              </w:rPr>
                              <w:t xml:space="preserve">It is worth notifying the provider of the abnormality and asking if they would like to add-on a CBC, </w:t>
                            </w:r>
                            <w:proofErr w:type="spellStart"/>
                            <w:r w:rsidRPr="00BB0F67">
                              <w:rPr>
                                <w:b/>
                                <w:sz w:val="24"/>
                              </w:rPr>
                              <w:t>Plt</w:t>
                            </w:r>
                            <w:proofErr w:type="spellEnd"/>
                            <w:r w:rsidRPr="00BB0F67">
                              <w:rPr>
                                <w:b/>
                                <w:sz w:val="24"/>
                              </w:rPr>
                              <w:t xml:space="preserve"> &amp; Diff.  We would have performed a slid</w:t>
                            </w:r>
                            <w:bookmarkStart w:id="1" w:name="_GoBack"/>
                            <w:bookmarkEnd w:id="1"/>
                            <w:r w:rsidRPr="00BB0F67">
                              <w:rPr>
                                <w:b/>
                                <w:sz w:val="24"/>
                              </w:rPr>
                              <w:t xml:space="preserve">e review because of the Atypical </w:t>
                            </w:r>
                            <w:proofErr w:type="spellStart"/>
                            <w:r w:rsidRPr="00BB0F67">
                              <w:rPr>
                                <w:b/>
                                <w:sz w:val="24"/>
                              </w:rPr>
                              <w:t>Lympho</w:t>
                            </w:r>
                            <w:proofErr w:type="spellEnd"/>
                            <w:r w:rsidRPr="00BB0F67">
                              <w:rPr>
                                <w:b/>
                                <w:sz w:val="24"/>
                              </w:rPr>
                              <w:t xml:space="preserve"> flag.</w:t>
                            </w:r>
                          </w:p>
                          <w:p w14:paraId="0A6E278D" w14:textId="4DBF4DF0" w:rsidR="00BB0F67" w:rsidRPr="00BB0F67" w:rsidRDefault="00BB0F67">
                            <w:pPr>
                              <w:rPr>
                                <w:b/>
                                <w:sz w:val="24"/>
                              </w:rPr>
                            </w:pPr>
                            <w:r w:rsidRPr="00BB0F67">
                              <w:rPr>
                                <w:b/>
                                <w:sz w:val="24"/>
                              </w:rPr>
                              <w:t>The normal range for pediatric patients is 0-6% Eos.</w:t>
                            </w:r>
                          </w:p>
                          <w:p w14:paraId="3F1DBE57" w14:textId="731BD463" w:rsidR="00BB0F67" w:rsidRPr="00BB0F67" w:rsidRDefault="00BB0F67">
                            <w:pPr>
                              <w:rPr>
                                <w:sz w:val="24"/>
                              </w:rPr>
                            </w:pPr>
                            <w:r w:rsidRPr="00BB0F67">
                              <w:rPr>
                                <w:b/>
                                <w:sz w:val="24"/>
                              </w:rPr>
                              <w:t>The providers have predicted this child likely has a parasitic worm infection</w:t>
                            </w:r>
                            <w:r w:rsidRPr="00BB0F67">
                              <w:rPr>
                                <w:sz w:val="24"/>
                              </w:rPr>
                              <w:t>.</w:t>
                            </w:r>
                          </w:p>
                        </w:txbxContent>
                      </v:textbox>
                    </v:shape>
                  </w:pict>
                </mc:Fallback>
              </mc:AlternateContent>
            </w:r>
            <w:r>
              <w:rPr>
                <w:noProof/>
                <w:sz w:val="28"/>
                <w:szCs w:val="36"/>
              </w:rPr>
              <mc:AlternateContent>
                <mc:Choice Requires="wps">
                  <w:drawing>
                    <wp:anchor distT="0" distB="0" distL="114300" distR="114300" simplePos="0" relativeHeight="251659264" behindDoc="0" locked="0" layoutInCell="1" allowOverlap="1" wp14:anchorId="60717187" wp14:editId="24699E90">
                      <wp:simplePos x="0" y="0"/>
                      <wp:positionH relativeFrom="column">
                        <wp:posOffset>3048734</wp:posOffset>
                      </wp:positionH>
                      <wp:positionV relativeFrom="paragraph">
                        <wp:posOffset>738794</wp:posOffset>
                      </wp:positionV>
                      <wp:extent cx="3526971" cy="2291937"/>
                      <wp:effectExtent l="0" t="0" r="0" b="0"/>
                      <wp:wrapNone/>
                      <wp:docPr id="2" name="Text Box 2"/>
                      <wp:cNvGraphicFramePr/>
                      <a:graphic xmlns:a="http://schemas.openxmlformats.org/drawingml/2006/main">
                        <a:graphicData uri="http://schemas.microsoft.com/office/word/2010/wordprocessingShape">
                          <wps:wsp>
                            <wps:cNvSpPr txBox="1"/>
                            <wps:spPr>
                              <a:xfrm>
                                <a:off x="0" y="0"/>
                                <a:ext cx="3526971" cy="2291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B982F" w14:textId="30AD58DE" w:rsidR="00BB0F67" w:rsidRDefault="00BB0F67">
                                  <w:r>
                                    <w:rPr>
                                      <w:noProof/>
                                      <w:sz w:val="28"/>
                                      <w:szCs w:val="36"/>
                                    </w:rPr>
                                    <w:drawing>
                                      <wp:inline distT="0" distB="0" distL="0" distR="0" wp14:anchorId="0536F6F2" wp14:editId="0C8C099E">
                                        <wp:extent cx="2636322" cy="14570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6474" cy="1457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240.05pt;margin-top:58.15pt;width:277.7pt;height:180.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" filled="f" stroked="f" strokeweight=".5pt">
                      <v:textbox>
                        <w:txbxContent>
                          <w:p w14:paraId="47EB982F" w14:textId="30AD58DE" w:rsidR="00BB0F67" w:rsidRDefault="00BB0F67">
                            <w:r>
                              <w:rPr>
                                <w:noProof/>
                                <w:sz w:val="28"/>
                                <w:szCs w:val="36"/>
                              </w:rPr>
                              <w:drawing>
                                <wp:inline distT="0" distB="0" distL="0" distR="0" wp14:anchorId="0536F6F2" wp14:editId="0C8C099E">
                                  <wp:extent cx="2636322" cy="14570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6474" cy="1457133"/>
                                          </a:xfrm>
                                          <a:prstGeom prst="rect">
                                            <a:avLst/>
                                          </a:prstGeom>
                                          <a:noFill/>
                                          <a:ln>
                                            <a:noFill/>
                                          </a:ln>
                                        </pic:spPr>
                                      </pic:pic>
                                    </a:graphicData>
                                  </a:graphic>
                                </wp:inline>
                              </w:drawing>
                            </w:r>
                          </w:p>
                        </w:txbxContent>
                      </v:textbox>
                    </v:shape>
                  </w:pict>
                </mc:Fallback>
              </mc:AlternateContent>
            </w:r>
            <w:r>
              <w:rPr>
                <w:noProof/>
                <w:sz w:val="28"/>
                <w:szCs w:val="36"/>
              </w:rPr>
              <w:drawing>
                <wp:inline distT="0" distB="0" distL="0" distR="0" wp14:anchorId="52A46439" wp14:editId="0B46FA88">
                  <wp:extent cx="2386940" cy="393933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1" cy="3940428"/>
                          </a:xfrm>
                          <a:prstGeom prst="rect">
                            <a:avLst/>
                          </a:prstGeom>
                          <a:noFill/>
                          <a:ln>
                            <a:noFill/>
                          </a:ln>
                        </pic:spPr>
                      </pic:pic>
                    </a:graphicData>
                  </a:graphic>
                </wp:inline>
              </w:drawing>
            </w:r>
          </w:p>
        </w:tc>
        <w:tc>
          <w:tcPr>
            <w:tcW w:w="2708" w:type="dxa"/>
            <w:gridSpan w:val="2"/>
            <w:vAlign w:val="center"/>
          </w:tcPr>
          <w:p w14:paraId="6F5C52F6" w14:textId="5A1E8C98" w:rsidR="00BB0F67" w:rsidRDefault="00335625" w:rsidP="000F2423">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Bench Te</w:t>
            </w:r>
            <w:r w:rsidR="00BB0F67">
              <w:rPr>
                <w:sz w:val="28"/>
                <w:szCs w:val="36"/>
              </w:rPr>
              <w:t>chs</w:t>
            </w:r>
          </w:p>
        </w:tc>
      </w:tr>
      <w:tr w:rsidR="000610DB" w14:paraId="1E3D6340" w14:textId="77777777" w:rsidTr="000F24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vAlign w:val="center"/>
          </w:tcPr>
          <w:p w14:paraId="1DD1E7C7" w14:textId="34154DCA" w:rsidR="000610DB" w:rsidRDefault="000610DB" w:rsidP="000F2423">
            <w:pPr>
              <w:jc w:val="center"/>
              <w:rPr>
                <w:sz w:val="32"/>
                <w:szCs w:val="36"/>
              </w:rPr>
            </w:pPr>
            <w:r>
              <w:rPr>
                <w:sz w:val="32"/>
                <w:szCs w:val="36"/>
              </w:rPr>
              <w:lastRenderedPageBreak/>
              <w:t xml:space="preserve">ACE </w:t>
            </w:r>
            <w:proofErr w:type="spellStart"/>
            <w:r>
              <w:rPr>
                <w:sz w:val="32"/>
                <w:szCs w:val="36"/>
              </w:rPr>
              <w:t>Alera</w:t>
            </w:r>
            <w:proofErr w:type="spellEnd"/>
            <w:r>
              <w:rPr>
                <w:sz w:val="32"/>
                <w:szCs w:val="36"/>
              </w:rPr>
              <w:t xml:space="preserve"> </w:t>
            </w:r>
            <w:proofErr w:type="spellStart"/>
            <w:r>
              <w:rPr>
                <w:sz w:val="32"/>
                <w:szCs w:val="36"/>
              </w:rPr>
              <w:t>Pkg</w:t>
            </w:r>
            <w:proofErr w:type="spellEnd"/>
            <w:r>
              <w:rPr>
                <w:sz w:val="32"/>
                <w:szCs w:val="36"/>
              </w:rPr>
              <w:t xml:space="preserve"> Inserts</w:t>
            </w:r>
          </w:p>
        </w:tc>
        <w:tc>
          <w:tcPr>
            <w:tcW w:w="9543" w:type="dxa"/>
          </w:tcPr>
          <w:p w14:paraId="18B584DA" w14:textId="3056196C" w:rsidR="000610DB" w:rsidRDefault="000610DB">
            <w:pPr>
              <w:cnfStyle w:val="000000010000" w:firstRow="0" w:lastRow="0" w:firstColumn="0" w:lastColumn="0" w:oddVBand="0" w:evenVBand="0" w:oddHBand="0" w:evenHBand="1" w:firstRowFirstColumn="0" w:firstRowLastColumn="0" w:lastRowFirstColumn="0" w:lastRowLastColumn="0"/>
              <w:rPr>
                <w:sz w:val="28"/>
                <w:szCs w:val="36"/>
              </w:rPr>
            </w:pPr>
            <w:r>
              <w:rPr>
                <w:sz w:val="28"/>
                <w:szCs w:val="36"/>
              </w:rPr>
              <w:t xml:space="preserve">The binder is now above the </w:t>
            </w:r>
            <w:proofErr w:type="spellStart"/>
            <w:r>
              <w:rPr>
                <w:sz w:val="28"/>
                <w:szCs w:val="36"/>
              </w:rPr>
              <w:t>bilirubinometer</w:t>
            </w:r>
            <w:proofErr w:type="spellEnd"/>
            <w:r>
              <w:rPr>
                <w:sz w:val="28"/>
                <w:szCs w:val="36"/>
              </w:rPr>
              <w:t>.  Please file new package inserts from 2014 into the binder.  The newest package insert should always be in front of each reagent section.  Thanks for your help.</w:t>
            </w:r>
          </w:p>
        </w:tc>
        <w:tc>
          <w:tcPr>
            <w:tcW w:w="2708" w:type="dxa"/>
            <w:gridSpan w:val="2"/>
            <w:vAlign w:val="center"/>
          </w:tcPr>
          <w:p w14:paraId="06B66495" w14:textId="721A124F" w:rsidR="000610DB" w:rsidRDefault="000610DB" w:rsidP="000F2423">
            <w:pPr>
              <w:jc w:val="center"/>
              <w:cnfStyle w:val="000000010000" w:firstRow="0" w:lastRow="0" w:firstColumn="0" w:lastColumn="0" w:oddVBand="0" w:evenVBand="0" w:oddHBand="0" w:evenHBand="1" w:firstRowFirstColumn="0" w:firstRowLastColumn="0" w:lastRowFirstColumn="0" w:lastRowLastColumn="0"/>
              <w:rPr>
                <w:sz w:val="28"/>
                <w:szCs w:val="36"/>
              </w:rPr>
            </w:pPr>
            <w:r>
              <w:rPr>
                <w:sz w:val="28"/>
                <w:szCs w:val="36"/>
              </w:rPr>
              <w:t>All Staff</w:t>
            </w:r>
            <w:bookmarkStart w:id="0" w:name="_GoBack"/>
            <w:bookmarkEnd w:id="0"/>
          </w:p>
        </w:tc>
      </w:tr>
    </w:tbl>
    <w:p w14:paraId="0A96F350" w14:textId="26890514" w:rsidR="00576245" w:rsidRDefault="00576245">
      <w:pPr>
        <w:rPr>
          <w:b/>
          <w:color w:val="17365D" w:themeColor="text2" w:themeShade="BF"/>
          <w:sz w:val="36"/>
          <w:szCs w:val="36"/>
        </w:rPr>
      </w:pPr>
    </w:p>
    <w:p w14:paraId="05457F65" w14:textId="117515FF" w:rsidR="003B79A6"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sectPr w:rsidR="003B79A6"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C9A"/>
    <w:multiLevelType w:val="hybridMultilevel"/>
    <w:tmpl w:val="FF1C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C311E"/>
    <w:multiLevelType w:val="hybridMultilevel"/>
    <w:tmpl w:val="BBD0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820CF"/>
    <w:multiLevelType w:val="hybridMultilevel"/>
    <w:tmpl w:val="0B6A2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32F17"/>
    <w:multiLevelType w:val="hybridMultilevel"/>
    <w:tmpl w:val="438E0666"/>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7345688"/>
    <w:multiLevelType w:val="hybridMultilevel"/>
    <w:tmpl w:val="64FEE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14182"/>
    <w:multiLevelType w:val="hybridMultilevel"/>
    <w:tmpl w:val="656EA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010EB"/>
    <w:multiLevelType w:val="hybridMultilevel"/>
    <w:tmpl w:val="EAFE9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0661A"/>
    <w:multiLevelType w:val="hybridMultilevel"/>
    <w:tmpl w:val="1AEC0F4C"/>
    <w:lvl w:ilvl="0" w:tplc="AFC814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D767D0"/>
    <w:multiLevelType w:val="hybridMultilevel"/>
    <w:tmpl w:val="171AAE54"/>
    <w:lvl w:ilvl="0" w:tplc="B262FB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0C66D5"/>
    <w:multiLevelType w:val="hybridMultilevel"/>
    <w:tmpl w:val="1874A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76F2C"/>
    <w:multiLevelType w:val="hybridMultilevel"/>
    <w:tmpl w:val="80141836"/>
    <w:lvl w:ilvl="0" w:tplc="E3D4B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06607B"/>
    <w:multiLevelType w:val="hybridMultilevel"/>
    <w:tmpl w:val="4BC8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885989"/>
    <w:multiLevelType w:val="hybridMultilevel"/>
    <w:tmpl w:val="DFCADFFA"/>
    <w:lvl w:ilvl="0" w:tplc="13146526">
      <w:start w:val="1"/>
      <w:numFmt w:val="decimal"/>
      <w:lvlText w:val="%1)"/>
      <w:lvlJc w:val="left"/>
      <w:pPr>
        <w:ind w:left="720" w:hanging="360"/>
      </w:pPr>
      <w:rPr>
        <w:rFonts w:asciiTheme="minorHAnsi" w:eastAsia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767AA5"/>
    <w:multiLevelType w:val="hybridMultilevel"/>
    <w:tmpl w:val="EF927E08"/>
    <w:lvl w:ilvl="0" w:tplc="42A050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F20596"/>
    <w:multiLevelType w:val="hybridMultilevel"/>
    <w:tmpl w:val="F22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696804"/>
    <w:multiLevelType w:val="hybridMultilevel"/>
    <w:tmpl w:val="17F44188"/>
    <w:lvl w:ilvl="0" w:tplc="E27E86C8">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832967"/>
    <w:multiLevelType w:val="hybridMultilevel"/>
    <w:tmpl w:val="3024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4F7917"/>
    <w:multiLevelType w:val="hybridMultilevel"/>
    <w:tmpl w:val="602A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0403E2"/>
    <w:multiLevelType w:val="hybridMultilevel"/>
    <w:tmpl w:val="86028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021F3B"/>
    <w:multiLevelType w:val="hybridMultilevel"/>
    <w:tmpl w:val="9D1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85931"/>
    <w:multiLevelType w:val="hybridMultilevel"/>
    <w:tmpl w:val="D8AE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43C7E"/>
    <w:multiLevelType w:val="hybridMultilevel"/>
    <w:tmpl w:val="E3DC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3508C6"/>
    <w:multiLevelType w:val="hybridMultilevel"/>
    <w:tmpl w:val="147ACFCE"/>
    <w:lvl w:ilvl="0" w:tplc="79C85F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E26F7E"/>
    <w:multiLevelType w:val="hybridMultilevel"/>
    <w:tmpl w:val="E866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4C3D68"/>
    <w:multiLevelType w:val="hybridMultilevel"/>
    <w:tmpl w:val="24E6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10"/>
  </w:num>
  <w:num w:numId="5">
    <w:abstractNumId w:val="5"/>
  </w:num>
  <w:num w:numId="6">
    <w:abstractNumId w:val="18"/>
  </w:num>
  <w:num w:numId="7">
    <w:abstractNumId w:val="13"/>
  </w:num>
  <w:num w:numId="8">
    <w:abstractNumId w:val="22"/>
  </w:num>
  <w:num w:numId="9">
    <w:abstractNumId w:val="8"/>
  </w:num>
  <w:num w:numId="10">
    <w:abstractNumId w:val="6"/>
  </w:num>
  <w:num w:numId="11">
    <w:abstractNumId w:val="7"/>
  </w:num>
  <w:num w:numId="12">
    <w:abstractNumId w:val="19"/>
  </w:num>
  <w:num w:numId="13">
    <w:abstractNumId w:val="4"/>
  </w:num>
  <w:num w:numId="14">
    <w:abstractNumId w:val="12"/>
  </w:num>
  <w:num w:numId="15">
    <w:abstractNumId w:val="15"/>
  </w:num>
  <w:num w:numId="16">
    <w:abstractNumId w:val="21"/>
  </w:num>
  <w:num w:numId="17">
    <w:abstractNumId w:val="17"/>
  </w:num>
  <w:num w:numId="18">
    <w:abstractNumId w:val="1"/>
  </w:num>
  <w:num w:numId="19">
    <w:abstractNumId w:val="2"/>
  </w:num>
  <w:num w:numId="20">
    <w:abstractNumId w:val="3"/>
  </w:num>
  <w:num w:numId="21">
    <w:abstractNumId w:val="16"/>
  </w:num>
  <w:num w:numId="22">
    <w:abstractNumId w:val="24"/>
  </w:num>
  <w:num w:numId="23">
    <w:abstractNumId w:val="20"/>
  </w:num>
  <w:num w:numId="24">
    <w:abstractNumId w:val="11"/>
  </w:num>
  <w:num w:numId="2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03EB9"/>
    <w:rsid w:val="000171A3"/>
    <w:rsid w:val="0002152B"/>
    <w:rsid w:val="0003625E"/>
    <w:rsid w:val="00037016"/>
    <w:rsid w:val="0004270A"/>
    <w:rsid w:val="0005626E"/>
    <w:rsid w:val="000610DB"/>
    <w:rsid w:val="00062446"/>
    <w:rsid w:val="00066F55"/>
    <w:rsid w:val="0007086A"/>
    <w:rsid w:val="00075B29"/>
    <w:rsid w:val="00077199"/>
    <w:rsid w:val="00083B7E"/>
    <w:rsid w:val="00094EBB"/>
    <w:rsid w:val="000A2191"/>
    <w:rsid w:val="000A3181"/>
    <w:rsid w:val="000A6A5C"/>
    <w:rsid w:val="000A6AE5"/>
    <w:rsid w:val="000B384B"/>
    <w:rsid w:val="000B49B4"/>
    <w:rsid w:val="000D0255"/>
    <w:rsid w:val="000D5090"/>
    <w:rsid w:val="000E0F60"/>
    <w:rsid w:val="000E2AF8"/>
    <w:rsid w:val="000F0186"/>
    <w:rsid w:val="000F2423"/>
    <w:rsid w:val="000F552D"/>
    <w:rsid w:val="000F750F"/>
    <w:rsid w:val="000F7A6B"/>
    <w:rsid w:val="00102931"/>
    <w:rsid w:val="0010344E"/>
    <w:rsid w:val="0011736D"/>
    <w:rsid w:val="00122CE8"/>
    <w:rsid w:val="00122D46"/>
    <w:rsid w:val="00125C38"/>
    <w:rsid w:val="001332A1"/>
    <w:rsid w:val="001336C5"/>
    <w:rsid w:val="00146460"/>
    <w:rsid w:val="00151FC0"/>
    <w:rsid w:val="00157396"/>
    <w:rsid w:val="001574DE"/>
    <w:rsid w:val="00160033"/>
    <w:rsid w:val="00160154"/>
    <w:rsid w:val="00166C6A"/>
    <w:rsid w:val="00184D8F"/>
    <w:rsid w:val="001947FF"/>
    <w:rsid w:val="001C7E3B"/>
    <w:rsid w:val="001D313C"/>
    <w:rsid w:val="001D6EE1"/>
    <w:rsid w:val="001E5540"/>
    <w:rsid w:val="001F4898"/>
    <w:rsid w:val="002014B4"/>
    <w:rsid w:val="00206DC2"/>
    <w:rsid w:val="00211D87"/>
    <w:rsid w:val="002130B4"/>
    <w:rsid w:val="00214671"/>
    <w:rsid w:val="0021644E"/>
    <w:rsid w:val="0022133C"/>
    <w:rsid w:val="00233257"/>
    <w:rsid w:val="00233834"/>
    <w:rsid w:val="00243F19"/>
    <w:rsid w:val="002462AF"/>
    <w:rsid w:val="00252F92"/>
    <w:rsid w:val="00254167"/>
    <w:rsid w:val="002642E1"/>
    <w:rsid w:val="002A4E35"/>
    <w:rsid w:val="002A568E"/>
    <w:rsid w:val="002C6998"/>
    <w:rsid w:val="002E377C"/>
    <w:rsid w:val="002E415D"/>
    <w:rsid w:val="002E4D46"/>
    <w:rsid w:val="002E4F05"/>
    <w:rsid w:val="002F5F41"/>
    <w:rsid w:val="002F632C"/>
    <w:rsid w:val="002F63FC"/>
    <w:rsid w:val="002F6A05"/>
    <w:rsid w:val="00305AF6"/>
    <w:rsid w:val="003106C1"/>
    <w:rsid w:val="003216E3"/>
    <w:rsid w:val="00332AED"/>
    <w:rsid w:val="00335625"/>
    <w:rsid w:val="0035612E"/>
    <w:rsid w:val="0036399F"/>
    <w:rsid w:val="00376666"/>
    <w:rsid w:val="00380098"/>
    <w:rsid w:val="00380FEB"/>
    <w:rsid w:val="0038621F"/>
    <w:rsid w:val="003874A5"/>
    <w:rsid w:val="003A2D93"/>
    <w:rsid w:val="003A4046"/>
    <w:rsid w:val="003B79A6"/>
    <w:rsid w:val="003B7A6D"/>
    <w:rsid w:val="003E1DF4"/>
    <w:rsid w:val="003F0C14"/>
    <w:rsid w:val="003F25AC"/>
    <w:rsid w:val="003F2E2A"/>
    <w:rsid w:val="003F5D6D"/>
    <w:rsid w:val="0040530A"/>
    <w:rsid w:val="00426960"/>
    <w:rsid w:val="004325F8"/>
    <w:rsid w:val="00432667"/>
    <w:rsid w:val="00434BC6"/>
    <w:rsid w:val="00437D72"/>
    <w:rsid w:val="00441CA2"/>
    <w:rsid w:val="0044262D"/>
    <w:rsid w:val="004647FE"/>
    <w:rsid w:val="00473215"/>
    <w:rsid w:val="00475728"/>
    <w:rsid w:val="00476B8F"/>
    <w:rsid w:val="0047713E"/>
    <w:rsid w:val="00480EE0"/>
    <w:rsid w:val="00481716"/>
    <w:rsid w:val="00492BAB"/>
    <w:rsid w:val="00496F20"/>
    <w:rsid w:val="004A3A8A"/>
    <w:rsid w:val="004A675E"/>
    <w:rsid w:val="004B1507"/>
    <w:rsid w:val="004C5434"/>
    <w:rsid w:val="004C5707"/>
    <w:rsid w:val="004D26FA"/>
    <w:rsid w:val="004D5B66"/>
    <w:rsid w:val="004D7828"/>
    <w:rsid w:val="004E3DC7"/>
    <w:rsid w:val="004E4DB8"/>
    <w:rsid w:val="004F48EE"/>
    <w:rsid w:val="004F755B"/>
    <w:rsid w:val="00501EBB"/>
    <w:rsid w:val="0050305D"/>
    <w:rsid w:val="005141F2"/>
    <w:rsid w:val="00524E3D"/>
    <w:rsid w:val="00532187"/>
    <w:rsid w:val="00536218"/>
    <w:rsid w:val="00542AE2"/>
    <w:rsid w:val="0054524D"/>
    <w:rsid w:val="00546DA7"/>
    <w:rsid w:val="005513AA"/>
    <w:rsid w:val="00557169"/>
    <w:rsid w:val="00566D43"/>
    <w:rsid w:val="00573492"/>
    <w:rsid w:val="00574704"/>
    <w:rsid w:val="00576245"/>
    <w:rsid w:val="00581D01"/>
    <w:rsid w:val="00591C09"/>
    <w:rsid w:val="0059779F"/>
    <w:rsid w:val="005A6E0A"/>
    <w:rsid w:val="005B3DB8"/>
    <w:rsid w:val="005C5B86"/>
    <w:rsid w:val="005C652A"/>
    <w:rsid w:val="005D0BCD"/>
    <w:rsid w:val="005E25CE"/>
    <w:rsid w:val="005E2AF9"/>
    <w:rsid w:val="005E4A96"/>
    <w:rsid w:val="005F1CDC"/>
    <w:rsid w:val="005F3DE9"/>
    <w:rsid w:val="00603D69"/>
    <w:rsid w:val="00607572"/>
    <w:rsid w:val="006111DA"/>
    <w:rsid w:val="00611B6A"/>
    <w:rsid w:val="00614D6C"/>
    <w:rsid w:val="00616FE2"/>
    <w:rsid w:val="00621CD0"/>
    <w:rsid w:val="00624B5B"/>
    <w:rsid w:val="00642229"/>
    <w:rsid w:val="00642703"/>
    <w:rsid w:val="006431E4"/>
    <w:rsid w:val="00647B4F"/>
    <w:rsid w:val="00653894"/>
    <w:rsid w:val="00671A7A"/>
    <w:rsid w:val="00684A1E"/>
    <w:rsid w:val="00687E45"/>
    <w:rsid w:val="0069100E"/>
    <w:rsid w:val="00692357"/>
    <w:rsid w:val="006B2C61"/>
    <w:rsid w:val="006B458D"/>
    <w:rsid w:val="006D1BD9"/>
    <w:rsid w:val="006E5F2D"/>
    <w:rsid w:val="006E5FEC"/>
    <w:rsid w:val="006F2D67"/>
    <w:rsid w:val="00704029"/>
    <w:rsid w:val="00744DAF"/>
    <w:rsid w:val="0075401F"/>
    <w:rsid w:val="00755E5A"/>
    <w:rsid w:val="00765319"/>
    <w:rsid w:val="0078425B"/>
    <w:rsid w:val="00785349"/>
    <w:rsid w:val="00786E28"/>
    <w:rsid w:val="007A079E"/>
    <w:rsid w:val="007A1943"/>
    <w:rsid w:val="007A611C"/>
    <w:rsid w:val="007B3995"/>
    <w:rsid w:val="007C38C2"/>
    <w:rsid w:val="007D17DE"/>
    <w:rsid w:val="007D2906"/>
    <w:rsid w:val="007E1F15"/>
    <w:rsid w:val="007F4E0C"/>
    <w:rsid w:val="00800FFE"/>
    <w:rsid w:val="00807E2F"/>
    <w:rsid w:val="00814012"/>
    <w:rsid w:val="008166B7"/>
    <w:rsid w:val="008173D6"/>
    <w:rsid w:val="0082123E"/>
    <w:rsid w:val="008217E6"/>
    <w:rsid w:val="008227DA"/>
    <w:rsid w:val="0082324C"/>
    <w:rsid w:val="00832F25"/>
    <w:rsid w:val="00846733"/>
    <w:rsid w:val="00854CC8"/>
    <w:rsid w:val="00867401"/>
    <w:rsid w:val="00882664"/>
    <w:rsid w:val="008828F2"/>
    <w:rsid w:val="00882902"/>
    <w:rsid w:val="008859E1"/>
    <w:rsid w:val="008918B8"/>
    <w:rsid w:val="00894F85"/>
    <w:rsid w:val="00896594"/>
    <w:rsid w:val="00897670"/>
    <w:rsid w:val="008B0A23"/>
    <w:rsid w:val="008B3284"/>
    <w:rsid w:val="008B528F"/>
    <w:rsid w:val="008B7CD3"/>
    <w:rsid w:val="008D3123"/>
    <w:rsid w:val="008D325C"/>
    <w:rsid w:val="008E0CA1"/>
    <w:rsid w:val="008E5C31"/>
    <w:rsid w:val="008F261F"/>
    <w:rsid w:val="008F493D"/>
    <w:rsid w:val="008F7775"/>
    <w:rsid w:val="00901630"/>
    <w:rsid w:val="00903EA7"/>
    <w:rsid w:val="00911BA5"/>
    <w:rsid w:val="00913138"/>
    <w:rsid w:val="00920980"/>
    <w:rsid w:val="00922DD0"/>
    <w:rsid w:val="00923A63"/>
    <w:rsid w:val="009246BF"/>
    <w:rsid w:val="009265ED"/>
    <w:rsid w:val="0093102E"/>
    <w:rsid w:val="00932BA8"/>
    <w:rsid w:val="00933046"/>
    <w:rsid w:val="00933B1B"/>
    <w:rsid w:val="00947A25"/>
    <w:rsid w:val="009506E0"/>
    <w:rsid w:val="00960112"/>
    <w:rsid w:val="00964ED1"/>
    <w:rsid w:val="00965F5F"/>
    <w:rsid w:val="0096660D"/>
    <w:rsid w:val="009712F0"/>
    <w:rsid w:val="00975755"/>
    <w:rsid w:val="00976BBD"/>
    <w:rsid w:val="0098184F"/>
    <w:rsid w:val="0098301B"/>
    <w:rsid w:val="0098505D"/>
    <w:rsid w:val="00994FF1"/>
    <w:rsid w:val="00995A11"/>
    <w:rsid w:val="009979E1"/>
    <w:rsid w:val="009A3826"/>
    <w:rsid w:val="009B441D"/>
    <w:rsid w:val="009C5713"/>
    <w:rsid w:val="009C6504"/>
    <w:rsid w:val="009D7378"/>
    <w:rsid w:val="009E7DA5"/>
    <w:rsid w:val="00A12BCF"/>
    <w:rsid w:val="00A20625"/>
    <w:rsid w:val="00A27141"/>
    <w:rsid w:val="00A3196D"/>
    <w:rsid w:val="00A35B55"/>
    <w:rsid w:val="00A37493"/>
    <w:rsid w:val="00A44555"/>
    <w:rsid w:val="00A47BD4"/>
    <w:rsid w:val="00A64ADB"/>
    <w:rsid w:val="00A77473"/>
    <w:rsid w:val="00A86F9C"/>
    <w:rsid w:val="00A95EF6"/>
    <w:rsid w:val="00AA16FA"/>
    <w:rsid w:val="00AA1733"/>
    <w:rsid w:val="00AA4437"/>
    <w:rsid w:val="00AB178A"/>
    <w:rsid w:val="00AB20B6"/>
    <w:rsid w:val="00AB41A4"/>
    <w:rsid w:val="00AB4310"/>
    <w:rsid w:val="00AB4905"/>
    <w:rsid w:val="00AC2233"/>
    <w:rsid w:val="00AC3515"/>
    <w:rsid w:val="00AE236C"/>
    <w:rsid w:val="00AF007B"/>
    <w:rsid w:val="00AF1681"/>
    <w:rsid w:val="00AF19A5"/>
    <w:rsid w:val="00B109FE"/>
    <w:rsid w:val="00B24E84"/>
    <w:rsid w:val="00B27164"/>
    <w:rsid w:val="00B27A4E"/>
    <w:rsid w:val="00B33C43"/>
    <w:rsid w:val="00B33D01"/>
    <w:rsid w:val="00B36876"/>
    <w:rsid w:val="00B36DB9"/>
    <w:rsid w:val="00B45E82"/>
    <w:rsid w:val="00B525DB"/>
    <w:rsid w:val="00B56D81"/>
    <w:rsid w:val="00B703D3"/>
    <w:rsid w:val="00BA65AE"/>
    <w:rsid w:val="00BB0F67"/>
    <w:rsid w:val="00BB1631"/>
    <w:rsid w:val="00BB3BE8"/>
    <w:rsid w:val="00BB3F5D"/>
    <w:rsid w:val="00BB5D22"/>
    <w:rsid w:val="00BC04D9"/>
    <w:rsid w:val="00BC32E9"/>
    <w:rsid w:val="00BC45E2"/>
    <w:rsid w:val="00BC7EEB"/>
    <w:rsid w:val="00BD7141"/>
    <w:rsid w:val="00BE0681"/>
    <w:rsid w:val="00BE1D97"/>
    <w:rsid w:val="00BE56AE"/>
    <w:rsid w:val="00BF4632"/>
    <w:rsid w:val="00BF5BA6"/>
    <w:rsid w:val="00C14735"/>
    <w:rsid w:val="00C14F16"/>
    <w:rsid w:val="00C26603"/>
    <w:rsid w:val="00C31877"/>
    <w:rsid w:val="00C33209"/>
    <w:rsid w:val="00C40B53"/>
    <w:rsid w:val="00C418A7"/>
    <w:rsid w:val="00C44B4C"/>
    <w:rsid w:val="00C5481B"/>
    <w:rsid w:val="00C55034"/>
    <w:rsid w:val="00C6062C"/>
    <w:rsid w:val="00C84BE2"/>
    <w:rsid w:val="00C94242"/>
    <w:rsid w:val="00C950C9"/>
    <w:rsid w:val="00C97449"/>
    <w:rsid w:val="00CB392D"/>
    <w:rsid w:val="00CB6838"/>
    <w:rsid w:val="00CB7F80"/>
    <w:rsid w:val="00CC260D"/>
    <w:rsid w:val="00CD4063"/>
    <w:rsid w:val="00CE1582"/>
    <w:rsid w:val="00CE4294"/>
    <w:rsid w:val="00CE610A"/>
    <w:rsid w:val="00CE7E36"/>
    <w:rsid w:val="00CF27B9"/>
    <w:rsid w:val="00CF5D5C"/>
    <w:rsid w:val="00D00417"/>
    <w:rsid w:val="00D06160"/>
    <w:rsid w:val="00D0763B"/>
    <w:rsid w:val="00D15FFD"/>
    <w:rsid w:val="00D16062"/>
    <w:rsid w:val="00D23A94"/>
    <w:rsid w:val="00D26BE1"/>
    <w:rsid w:val="00D3625E"/>
    <w:rsid w:val="00D37604"/>
    <w:rsid w:val="00D51524"/>
    <w:rsid w:val="00D5438D"/>
    <w:rsid w:val="00D71123"/>
    <w:rsid w:val="00D72615"/>
    <w:rsid w:val="00D726AD"/>
    <w:rsid w:val="00D73B2E"/>
    <w:rsid w:val="00D740FD"/>
    <w:rsid w:val="00D80A53"/>
    <w:rsid w:val="00D81288"/>
    <w:rsid w:val="00D97A0D"/>
    <w:rsid w:val="00D97DC3"/>
    <w:rsid w:val="00DA419F"/>
    <w:rsid w:val="00DA5F75"/>
    <w:rsid w:val="00DB7AFE"/>
    <w:rsid w:val="00DC4F0B"/>
    <w:rsid w:val="00DC7807"/>
    <w:rsid w:val="00DC7998"/>
    <w:rsid w:val="00DD580B"/>
    <w:rsid w:val="00DE68CF"/>
    <w:rsid w:val="00E07961"/>
    <w:rsid w:val="00E07FEC"/>
    <w:rsid w:val="00E16DCF"/>
    <w:rsid w:val="00E362B1"/>
    <w:rsid w:val="00E37A70"/>
    <w:rsid w:val="00E43B4D"/>
    <w:rsid w:val="00E6564B"/>
    <w:rsid w:val="00E67B3F"/>
    <w:rsid w:val="00E7629A"/>
    <w:rsid w:val="00E76793"/>
    <w:rsid w:val="00E848E1"/>
    <w:rsid w:val="00E849E0"/>
    <w:rsid w:val="00E861FF"/>
    <w:rsid w:val="00E9170A"/>
    <w:rsid w:val="00E92994"/>
    <w:rsid w:val="00E92F99"/>
    <w:rsid w:val="00E97B29"/>
    <w:rsid w:val="00EA5A94"/>
    <w:rsid w:val="00EC6230"/>
    <w:rsid w:val="00ED2B97"/>
    <w:rsid w:val="00ED4BB3"/>
    <w:rsid w:val="00EE0836"/>
    <w:rsid w:val="00EF2935"/>
    <w:rsid w:val="00F00CCA"/>
    <w:rsid w:val="00F01C73"/>
    <w:rsid w:val="00F07603"/>
    <w:rsid w:val="00F07D88"/>
    <w:rsid w:val="00F10D73"/>
    <w:rsid w:val="00F11A12"/>
    <w:rsid w:val="00F13FFD"/>
    <w:rsid w:val="00F23EAB"/>
    <w:rsid w:val="00F251B6"/>
    <w:rsid w:val="00F36B94"/>
    <w:rsid w:val="00F37684"/>
    <w:rsid w:val="00F376FA"/>
    <w:rsid w:val="00F4595E"/>
    <w:rsid w:val="00F462B0"/>
    <w:rsid w:val="00F506A6"/>
    <w:rsid w:val="00F5158B"/>
    <w:rsid w:val="00F6056F"/>
    <w:rsid w:val="00F72B7F"/>
    <w:rsid w:val="00F772C6"/>
    <w:rsid w:val="00F77757"/>
    <w:rsid w:val="00F841F2"/>
    <w:rsid w:val="00F8466F"/>
    <w:rsid w:val="00F8590B"/>
    <w:rsid w:val="00F90630"/>
    <w:rsid w:val="00FA4C80"/>
    <w:rsid w:val="00FA66B6"/>
    <w:rsid w:val="00FB53D9"/>
    <w:rsid w:val="00FC4FF1"/>
    <w:rsid w:val="00FC6483"/>
    <w:rsid w:val="00FD07E8"/>
    <w:rsid w:val="00FD26E2"/>
    <w:rsid w:val="00FF0EF3"/>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6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Denelle B. Hygrell</dc:creator>
  <cp:lastModifiedBy>Denelle B. Hygrell</cp:lastModifiedBy>
  <cp:revision>6</cp:revision>
  <cp:lastPrinted>2013-07-24T17:09:00Z</cp:lastPrinted>
  <dcterms:created xsi:type="dcterms:W3CDTF">2014-01-03T14:07:00Z</dcterms:created>
  <dcterms:modified xsi:type="dcterms:W3CDTF">2014-01-06T20:16:00Z</dcterms:modified>
</cp:coreProperties>
</file>