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3A7AF3C2" w:rsidR="00E81A23" w:rsidRPr="006B592A" w:rsidRDefault="003F2AAF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March </w:t>
      </w:r>
      <w:r w:rsidR="00121C9E">
        <w:rPr>
          <w:color w:val="76923C" w:themeColor="accent3" w:themeShade="BF"/>
        </w:rPr>
        <w:t>11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3891" w:type="dxa"/>
        <w:tblLook w:val="04A0" w:firstRow="1" w:lastRow="0" w:firstColumn="1" w:lastColumn="0" w:noHBand="0" w:noVBand="1"/>
      </w:tblPr>
      <w:tblGrid>
        <w:gridCol w:w="1994"/>
        <w:gridCol w:w="10416"/>
        <w:gridCol w:w="1481"/>
      </w:tblGrid>
      <w:tr w:rsidR="00D344E3" w14:paraId="08807892" w14:textId="77777777" w:rsidTr="00A56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416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81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121C9E" w14:paraId="7282EB37" w14:textId="77777777" w:rsidTr="00A5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1E871946" w14:textId="488DBDCD" w:rsidR="00121C9E" w:rsidRPr="00121C9E" w:rsidRDefault="00121C9E" w:rsidP="0031130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TJC Requirement for specimen identification</w:t>
            </w:r>
          </w:p>
        </w:tc>
        <w:tc>
          <w:tcPr>
            <w:tcW w:w="10416" w:type="dxa"/>
          </w:tcPr>
          <w:p w14:paraId="01E2D2EB" w14:textId="77777777" w:rsidR="00121C9E" w:rsidRDefault="00121C9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D5098E7" wp14:editId="4806D106">
                  <wp:extent cx="6477000" cy="3076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14934" w14:textId="1A34CA76" w:rsidR="00A56EF2" w:rsidRPr="00A56EF2" w:rsidRDefault="00A56EF2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This requirement is the reason that specimens need to be labeled during all phases of testing.  </w:t>
            </w:r>
            <w:bookmarkStart w:id="0" w:name="_GoBack"/>
            <w:bookmarkEnd w:id="0"/>
          </w:p>
        </w:tc>
        <w:tc>
          <w:tcPr>
            <w:tcW w:w="1481" w:type="dxa"/>
          </w:tcPr>
          <w:p w14:paraId="40C22143" w14:textId="7647D1E7" w:rsidR="00121C9E" w:rsidRPr="000F2423" w:rsidRDefault="00A56EF2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460A7D" w14:paraId="7B6553D7" w14:textId="77777777" w:rsidTr="00A56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74E08DA9" w14:textId="00BBFBE5" w:rsidR="00460A7D" w:rsidRPr="0027362F" w:rsidRDefault="00E724F2" w:rsidP="0031130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New gloves trial</w:t>
            </w:r>
          </w:p>
        </w:tc>
        <w:tc>
          <w:tcPr>
            <w:tcW w:w="10416" w:type="dxa"/>
          </w:tcPr>
          <w:p w14:paraId="65A78B3F" w14:textId="1307E0D5" w:rsidR="008F0761" w:rsidRPr="00691298" w:rsidRDefault="00E724F2" w:rsidP="00691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Please try out the blue </w:t>
            </w:r>
            <w:proofErr w:type="spellStart"/>
            <w:r>
              <w:rPr>
                <w:sz w:val="28"/>
                <w:szCs w:val="36"/>
              </w:rPr>
              <w:t>Amitex</w:t>
            </w:r>
            <w:proofErr w:type="spellEnd"/>
            <w:r>
              <w:rPr>
                <w:sz w:val="28"/>
                <w:szCs w:val="36"/>
              </w:rPr>
              <w:t xml:space="preserve"> gloves – size medium.  We will get a sample small box next week for trial.  Leave me your feedback.</w:t>
            </w:r>
          </w:p>
        </w:tc>
        <w:tc>
          <w:tcPr>
            <w:tcW w:w="1481" w:type="dxa"/>
          </w:tcPr>
          <w:p w14:paraId="6795DDA8" w14:textId="113AE292" w:rsidR="00460A7D" w:rsidRPr="000F2423" w:rsidRDefault="00E724F2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E724F2" w14:paraId="4F134F6E" w14:textId="77777777" w:rsidTr="00A5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D863F50" w14:textId="32DB0428" w:rsidR="00E724F2" w:rsidRDefault="00E724F2" w:rsidP="0031130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Hennepin County Survey</w:t>
            </w:r>
          </w:p>
        </w:tc>
        <w:tc>
          <w:tcPr>
            <w:tcW w:w="10416" w:type="dxa"/>
          </w:tcPr>
          <w:p w14:paraId="1237B39C" w14:textId="654B80EA" w:rsidR="00E724F2" w:rsidRDefault="00E724F2" w:rsidP="00B55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County Employees - Please look for the survey from Hennepin County coming next week.  Your input is valued – please complete the survey</w:t>
            </w:r>
            <w:r w:rsidR="00B55091">
              <w:rPr>
                <w:sz w:val="28"/>
                <w:szCs w:val="36"/>
              </w:rPr>
              <w:t xml:space="preserve"> with your opinions!</w:t>
            </w:r>
          </w:p>
        </w:tc>
        <w:tc>
          <w:tcPr>
            <w:tcW w:w="1481" w:type="dxa"/>
          </w:tcPr>
          <w:p w14:paraId="7DF22F73" w14:textId="39D7EAB1" w:rsidR="00E724F2" w:rsidRDefault="00E724F2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E724F2" w14:paraId="09D6B413" w14:textId="77777777" w:rsidTr="00A56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681CEF89" w14:textId="0CC6E179" w:rsidR="00E724F2" w:rsidRDefault="00E724F2" w:rsidP="0031130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>New results options for Flu</w:t>
            </w:r>
          </w:p>
        </w:tc>
        <w:tc>
          <w:tcPr>
            <w:tcW w:w="10416" w:type="dxa"/>
          </w:tcPr>
          <w:p w14:paraId="0BE691D9" w14:textId="77777777" w:rsidR="00E724F2" w:rsidRPr="00CB2D67" w:rsidRDefault="00E724F2" w:rsidP="00E724F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6"/>
                <w:szCs w:val="36"/>
              </w:rPr>
            </w:pPr>
            <w:r w:rsidRPr="00566A7E">
              <w:rPr>
                <w:rFonts w:ascii="Calibri" w:hAnsi="Calibri"/>
                <w:bCs/>
                <w:sz w:val="40"/>
                <w:szCs w:val="36"/>
              </w:rPr>
              <w:t>Group Responses:</w:t>
            </w:r>
            <w:r>
              <w:rPr>
                <w:rFonts w:ascii="Calibri" w:hAnsi="Calibri"/>
                <w:bCs/>
                <w:sz w:val="40"/>
                <w:szCs w:val="36"/>
              </w:rPr>
              <w:t xml:space="preserve"> </w:t>
            </w:r>
          </w:p>
          <w:p w14:paraId="2775E71C" w14:textId="77777777" w:rsidR="00E724F2" w:rsidRPr="00305D66" w:rsidRDefault="00E724F2" w:rsidP="00E724F2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305D66">
              <w:rPr>
                <w:rFonts w:ascii="Calibri" w:hAnsi="Calibri"/>
                <w:bCs/>
                <w:color w:val="E36C0A" w:themeColor="accent6" w:themeShade="BF"/>
                <w:sz w:val="36"/>
                <w:szCs w:val="36"/>
              </w:rPr>
              <w:t xml:space="preserve">Enter </w:t>
            </w:r>
            <w:r>
              <w:rPr>
                <w:rFonts w:ascii="Calibri" w:hAnsi="Calibri"/>
                <w:bCs/>
                <w:color w:val="E36C0A" w:themeColor="accent6" w:themeShade="BF"/>
                <w:sz w:val="36"/>
                <w:szCs w:val="36"/>
              </w:rPr>
              <w:t>this</w:t>
            </w:r>
            <w:r w:rsidRPr="00305D66">
              <w:rPr>
                <w:rFonts w:ascii="Calibri" w:hAnsi="Calibri"/>
                <w:bCs/>
                <w:color w:val="E36C0A" w:themeColor="accent6" w:themeShade="BF"/>
                <w:sz w:val="36"/>
                <w:szCs w:val="36"/>
              </w:rPr>
              <w:t xml:space="preserve"> code in the ‘</w:t>
            </w:r>
            <w:r w:rsidRPr="00305D66">
              <w:rPr>
                <w:rFonts w:ascii="Calibri" w:hAnsi="Calibri"/>
                <w:b/>
                <w:bCs/>
                <w:color w:val="E36C0A" w:themeColor="accent6" w:themeShade="BF"/>
                <w:sz w:val="36"/>
                <w:szCs w:val="36"/>
                <w:u w:val="single"/>
              </w:rPr>
              <w:t>Entry</w:t>
            </w:r>
            <w:r w:rsidRPr="00305D66">
              <w:rPr>
                <w:rFonts w:ascii="Calibri" w:hAnsi="Calibri"/>
                <w:bCs/>
                <w:color w:val="E36C0A" w:themeColor="accent6" w:themeShade="BF"/>
                <w:sz w:val="36"/>
                <w:szCs w:val="36"/>
              </w:rPr>
              <w:t>’</w:t>
            </w:r>
            <w:r>
              <w:rPr>
                <w:rFonts w:ascii="Calibri" w:hAnsi="Calibri"/>
                <w:bCs/>
                <w:color w:val="E36C0A" w:themeColor="accent6" w:themeShade="BF"/>
                <w:sz w:val="36"/>
                <w:szCs w:val="36"/>
              </w:rPr>
              <w:t xml:space="preserve"> field:</w:t>
            </w:r>
          </w:p>
          <w:p w14:paraId="712FD644" w14:textId="77777777" w:rsidR="00E724F2" w:rsidRPr="00CB2D67" w:rsidRDefault="00E724F2" w:rsidP="00E724F2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NIVOIA – </w:t>
            </w:r>
            <w:r w:rsidRPr="00566A7E">
              <w:rPr>
                <w:rFonts w:ascii="Calibri" w:hAnsi="Calibri"/>
                <w:bCs/>
                <w:sz w:val="36"/>
                <w:szCs w:val="36"/>
              </w:rPr>
              <w:t xml:space="preserve">Negative for 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Flu A &amp; Flu B, &amp; TPB </w:t>
            </w:r>
            <w:r w:rsidRPr="00566A7E">
              <w:rPr>
                <w:rFonts w:ascii="Calibri" w:hAnsi="Calibri"/>
                <w:bCs/>
                <w:sz w:val="36"/>
                <w:szCs w:val="36"/>
              </w:rPr>
              <w:t xml:space="preserve"> </w:t>
            </w:r>
          </w:p>
          <w:p w14:paraId="533BD847" w14:textId="77777777" w:rsidR="00E724F2" w:rsidRPr="00CB2D67" w:rsidRDefault="00E724F2" w:rsidP="00E724F2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PIVAOIA – </w:t>
            </w:r>
            <w:r w:rsidRPr="00CB2D67">
              <w:rPr>
                <w:rFonts w:ascii="Calibri" w:hAnsi="Calibri"/>
                <w:b/>
                <w:bCs/>
                <w:sz w:val="36"/>
                <w:szCs w:val="36"/>
                <w:u w:val="single"/>
              </w:rPr>
              <w:t>Positive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 for </w:t>
            </w:r>
            <w:r w:rsidRPr="00CB2D67">
              <w:rPr>
                <w:rFonts w:ascii="Calibri" w:hAnsi="Calibri"/>
                <w:b/>
                <w:bCs/>
                <w:sz w:val="36"/>
                <w:szCs w:val="36"/>
                <w:u w:val="single"/>
              </w:rPr>
              <w:t>Flu A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 &amp; Negative for Flu B, &amp; TPB</w:t>
            </w:r>
          </w:p>
          <w:p w14:paraId="39E4F316" w14:textId="77777777" w:rsidR="00E724F2" w:rsidRDefault="00E724F2" w:rsidP="00E724F2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PIVBOIA 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– </w:t>
            </w:r>
            <w:r w:rsidRPr="00CB2D67">
              <w:rPr>
                <w:rFonts w:ascii="Calibri" w:hAnsi="Calibri"/>
                <w:b/>
                <w:bCs/>
                <w:sz w:val="36"/>
                <w:szCs w:val="36"/>
                <w:u w:val="single"/>
              </w:rPr>
              <w:t>Positive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 for </w:t>
            </w:r>
            <w:r w:rsidRPr="00CB2D67">
              <w:rPr>
                <w:rFonts w:ascii="Calibri" w:hAnsi="Calibri"/>
                <w:b/>
                <w:bCs/>
                <w:sz w:val="36"/>
                <w:szCs w:val="36"/>
                <w:u w:val="single"/>
              </w:rPr>
              <w:t>Flu B</w:t>
            </w:r>
            <w:r>
              <w:rPr>
                <w:rFonts w:ascii="Calibri" w:hAnsi="Calibri"/>
                <w:bCs/>
                <w:sz w:val="36"/>
                <w:szCs w:val="36"/>
              </w:rPr>
              <w:t xml:space="preserve"> &amp; Negative for Flu A, &amp; TPB</w:t>
            </w:r>
          </w:p>
          <w:p w14:paraId="391E4E50" w14:textId="56F86B69" w:rsidR="00E724F2" w:rsidRDefault="00E724F2" w:rsidP="00691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This information has been updated on the clipboard, as well</w:t>
            </w:r>
          </w:p>
        </w:tc>
        <w:tc>
          <w:tcPr>
            <w:tcW w:w="1481" w:type="dxa"/>
          </w:tcPr>
          <w:p w14:paraId="5AAF1573" w14:textId="77777777" w:rsidR="00E724F2" w:rsidRDefault="00E724F2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</w:p>
        </w:tc>
      </w:tr>
      <w:tr w:rsidR="00C93E19" w14:paraId="3973B332" w14:textId="77777777" w:rsidTr="00A5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219AFD28" w14:textId="27E93E0C" w:rsidR="00C93E19" w:rsidRDefault="00A56EF2" w:rsidP="0031130F">
            <w:pPr>
              <w:jc w:val="center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Phrazer</w:t>
            </w:r>
            <w:proofErr w:type="spellEnd"/>
            <w:r>
              <w:rPr>
                <w:sz w:val="32"/>
                <w:szCs w:val="36"/>
              </w:rPr>
              <w:t xml:space="preserve"> headphone pairing</w:t>
            </w:r>
          </w:p>
        </w:tc>
        <w:tc>
          <w:tcPr>
            <w:tcW w:w="10416" w:type="dxa"/>
          </w:tcPr>
          <w:p w14:paraId="60B2BF35" w14:textId="77777777" w:rsidR="00C93E19" w:rsidRDefault="00A56EF2" w:rsidP="00691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Hints for pairing the headphones:</w:t>
            </w:r>
          </w:p>
          <w:p w14:paraId="6690E73D" w14:textId="73B3D5E6" w:rsidR="00A56EF2" w:rsidRDefault="00A56EF2" w:rsidP="00A56EF2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Make sure headphones are powered ON before pairing or </w:t>
            </w:r>
            <w:proofErr w:type="spellStart"/>
            <w:r>
              <w:rPr>
                <w:sz w:val="28"/>
                <w:szCs w:val="36"/>
              </w:rPr>
              <w:t>unpairing</w:t>
            </w:r>
            <w:proofErr w:type="spellEnd"/>
            <w:r>
              <w:rPr>
                <w:sz w:val="28"/>
                <w:szCs w:val="36"/>
              </w:rPr>
              <w:t xml:space="preserve"> – it will remember automatically so this step should be unnecessary</w:t>
            </w:r>
          </w:p>
          <w:p w14:paraId="616BFA1B" w14:textId="5521C44D" w:rsidR="00A56EF2" w:rsidRDefault="00A56EF2" w:rsidP="00A56EF2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To get into pairing mode – the headphones should be OFF, then hold down power key for 10 seconds and red and blue lights start flashing</w:t>
            </w:r>
          </w:p>
          <w:p w14:paraId="0B749F9C" w14:textId="77777777" w:rsidR="00A56EF2" w:rsidRDefault="00A56EF2" w:rsidP="00A56EF2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You can only have 1 device paired at a time to patient mode</w:t>
            </w:r>
          </w:p>
          <w:p w14:paraId="73C3A7A2" w14:textId="77777777" w:rsidR="00A56EF2" w:rsidRDefault="00A56EF2" w:rsidP="00A56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Charging:</w:t>
            </w:r>
          </w:p>
          <w:p w14:paraId="51EEBAB3" w14:textId="23BD52A0" w:rsidR="00A56EF2" w:rsidRPr="00A56EF2" w:rsidRDefault="00A56EF2" w:rsidP="00A56EF2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It will have a red light when plugged in and successfully charging</w:t>
            </w:r>
          </w:p>
        </w:tc>
        <w:tc>
          <w:tcPr>
            <w:tcW w:w="1481" w:type="dxa"/>
          </w:tcPr>
          <w:p w14:paraId="4E7D56B1" w14:textId="51BB9AEF" w:rsidR="00C93E19" w:rsidRDefault="00254A6B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45270E" w14:paraId="6C02033E" w14:textId="77777777" w:rsidTr="00A56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534A9F68" w14:textId="0FAB6582" w:rsidR="0045270E" w:rsidRDefault="00A56EF2" w:rsidP="00D80B1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Phrazer</w:t>
            </w:r>
            <w:proofErr w:type="spellEnd"/>
            <w:r>
              <w:rPr>
                <w:sz w:val="32"/>
                <w:szCs w:val="32"/>
              </w:rPr>
              <w:t xml:space="preserve"> at the end of the night</w:t>
            </w:r>
          </w:p>
        </w:tc>
        <w:tc>
          <w:tcPr>
            <w:tcW w:w="10416" w:type="dxa"/>
          </w:tcPr>
          <w:p w14:paraId="70D22BA7" w14:textId="73389943" w:rsidR="00254A6B" w:rsidRDefault="00A56EF2" w:rsidP="00B35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Please make sure </w:t>
            </w:r>
            <w:proofErr w:type="spellStart"/>
            <w:r>
              <w:rPr>
                <w:sz w:val="28"/>
                <w:szCs w:val="36"/>
              </w:rPr>
              <w:t>phrazers</w:t>
            </w:r>
            <w:proofErr w:type="spellEnd"/>
            <w:r>
              <w:rPr>
                <w:sz w:val="28"/>
                <w:szCs w:val="36"/>
              </w:rPr>
              <w:t xml:space="preserve"> are plugged in at the end of the night.  We will ONLY ‘log’ them off on Saturday nights.  Then on Monday morning we can power them back up.  </w:t>
            </w:r>
          </w:p>
        </w:tc>
        <w:tc>
          <w:tcPr>
            <w:tcW w:w="1481" w:type="dxa"/>
          </w:tcPr>
          <w:p w14:paraId="49E186ED" w14:textId="2DEE084B" w:rsidR="0045270E" w:rsidRDefault="008545C5" w:rsidP="00D8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A56EF2" w14:paraId="492BB53C" w14:textId="77777777" w:rsidTr="00A5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</w:tcPr>
          <w:p w14:paraId="40327855" w14:textId="2CD49A23" w:rsidR="00A56EF2" w:rsidRDefault="00A56EF2" w:rsidP="00D80B1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Bukky</w:t>
            </w:r>
            <w:proofErr w:type="spellEnd"/>
          </w:p>
        </w:tc>
        <w:tc>
          <w:tcPr>
            <w:tcW w:w="10416" w:type="dxa"/>
          </w:tcPr>
          <w:p w14:paraId="6B3F18E9" w14:textId="7329F44C" w:rsidR="00A56EF2" w:rsidRDefault="00A56EF2" w:rsidP="00B35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Please join me in welcoming </w:t>
            </w:r>
            <w:proofErr w:type="spellStart"/>
            <w:r>
              <w:rPr>
                <w:sz w:val="28"/>
                <w:szCs w:val="36"/>
              </w:rPr>
              <w:t>Bukky</w:t>
            </w:r>
            <w:proofErr w:type="spellEnd"/>
            <w:r>
              <w:rPr>
                <w:sz w:val="28"/>
                <w:szCs w:val="36"/>
              </w:rPr>
              <w:t>, our new phlebotomist.  She joins us with much experience from Memorial Blood Centers.</w:t>
            </w:r>
          </w:p>
        </w:tc>
        <w:tc>
          <w:tcPr>
            <w:tcW w:w="1481" w:type="dxa"/>
          </w:tcPr>
          <w:p w14:paraId="6EABA026" w14:textId="2B8E01AB" w:rsidR="00A56EF2" w:rsidRDefault="00A56EF2" w:rsidP="00D8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AE3AE96" w14:textId="7AD5638F" w:rsidR="00C93E19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6" w:history="1">
        <w:r w:rsidR="00C93E19" w:rsidRPr="00C93E19">
          <w:rPr>
            <w:rStyle w:val="Hyperlink"/>
            <w:b/>
            <w:sz w:val="24"/>
            <w:szCs w:val="36"/>
          </w:rPr>
          <w:t>Messaging in EPIC</w:t>
        </w:r>
      </w:hyperlink>
    </w:p>
    <w:p w14:paraId="17B839CA" w14:textId="4E5CEFF7" w:rsidR="00C93E19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7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DocumentingTelephoneEncounterinEPIC</w:t>
        </w:r>
        <w:proofErr w:type="spellEnd"/>
      </w:hyperlink>
    </w:p>
    <w:p w14:paraId="003746DB" w14:textId="587D7071" w:rsidR="00C93E19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8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OrderingExtraTubesinCerner</w:t>
        </w:r>
        <w:proofErr w:type="spellEnd"/>
      </w:hyperlink>
    </w:p>
    <w:p w14:paraId="1C3560C5" w14:textId="682DB30A" w:rsidR="00A72978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9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TransfersPendingList</w:t>
        </w:r>
        <w:proofErr w:type="spellEnd"/>
      </w:hyperlink>
    </w:p>
    <w:p w14:paraId="379E6700" w14:textId="2062C110" w:rsidR="008E019C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0" w:history="1">
        <w:proofErr w:type="spellStart"/>
        <w:r w:rsidR="008E019C" w:rsidRPr="008E019C">
          <w:rPr>
            <w:rStyle w:val="Hyperlink"/>
            <w:b/>
            <w:sz w:val="24"/>
            <w:szCs w:val="36"/>
          </w:rPr>
          <w:t>CheckingtheTigrisList</w:t>
        </w:r>
        <w:proofErr w:type="spellEnd"/>
      </w:hyperlink>
    </w:p>
    <w:p w14:paraId="3CB06EDC" w14:textId="082D17E9" w:rsidR="00904AF8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1" w:history="1">
        <w:proofErr w:type="spellStart"/>
        <w:r w:rsidR="00904AF8" w:rsidRPr="00904AF8">
          <w:rPr>
            <w:rStyle w:val="Hyperlink"/>
            <w:b/>
            <w:sz w:val="24"/>
            <w:szCs w:val="36"/>
          </w:rPr>
          <w:t>SysmexProcedure</w:t>
        </w:r>
        <w:proofErr w:type="spellEnd"/>
      </w:hyperlink>
    </w:p>
    <w:p w14:paraId="27A8E7D0" w14:textId="12962A55" w:rsidR="00904AF8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2" w:history="1">
        <w:r w:rsidR="00AF2515" w:rsidRPr="00AF2515">
          <w:rPr>
            <w:rStyle w:val="Hyperlink"/>
            <w:b/>
            <w:sz w:val="24"/>
            <w:szCs w:val="36"/>
          </w:rPr>
          <w:t xml:space="preserve">ESR Auto Plus </w:t>
        </w:r>
        <w:proofErr w:type="spellStart"/>
        <w:r w:rsidR="00AF2515" w:rsidRPr="00AF2515">
          <w:rPr>
            <w:rStyle w:val="Hyperlink"/>
            <w:b/>
            <w:sz w:val="24"/>
            <w:szCs w:val="36"/>
          </w:rPr>
          <w:t>Sed</w:t>
        </w:r>
        <w:proofErr w:type="spellEnd"/>
        <w:r w:rsidR="00AF2515" w:rsidRPr="00AF2515">
          <w:rPr>
            <w:rStyle w:val="Hyperlink"/>
            <w:b/>
            <w:sz w:val="24"/>
            <w:szCs w:val="36"/>
          </w:rPr>
          <w:t xml:space="preserve"> Rate</w:t>
        </w:r>
      </w:hyperlink>
    </w:p>
    <w:p w14:paraId="2F75044C" w14:textId="6AAC4871" w:rsidR="00AF2515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3" w:history="1">
        <w:r w:rsidR="004F17FB" w:rsidRPr="004F17FB">
          <w:rPr>
            <w:rStyle w:val="Hyperlink"/>
            <w:b/>
            <w:sz w:val="24"/>
            <w:szCs w:val="36"/>
          </w:rPr>
          <w:t>Sickle Cell Screen</w:t>
        </w:r>
      </w:hyperlink>
    </w:p>
    <w:p w14:paraId="2C3532FC" w14:textId="2F7D9519" w:rsidR="004F17FB" w:rsidRPr="00C93E19" w:rsidRDefault="00A56EF2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4" w:history="1">
        <w:r w:rsidR="004440D8" w:rsidRPr="004440D8">
          <w:rPr>
            <w:rStyle w:val="Hyperlink"/>
            <w:b/>
            <w:sz w:val="24"/>
            <w:szCs w:val="36"/>
          </w:rPr>
          <w:t>Wet Preps</w:t>
        </w:r>
      </w:hyperlink>
    </w:p>
    <w:sectPr w:rsidR="004F17FB" w:rsidRPr="00C93E19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1537"/>
      </v:shape>
    </w:pict>
  </w:numPicBullet>
  <w:abstractNum w:abstractNumId="0" w15:restartNumberingAfterBreak="0">
    <w:nsid w:val="01C91B64"/>
    <w:multiLevelType w:val="hybridMultilevel"/>
    <w:tmpl w:val="A4283AD0"/>
    <w:lvl w:ilvl="0" w:tplc="D1C04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1B4B"/>
    <w:multiLevelType w:val="hybridMultilevel"/>
    <w:tmpl w:val="641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06E0"/>
    <w:multiLevelType w:val="hybridMultilevel"/>
    <w:tmpl w:val="FCE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6C8"/>
    <w:multiLevelType w:val="hybridMultilevel"/>
    <w:tmpl w:val="F91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505E"/>
    <w:multiLevelType w:val="hybridMultilevel"/>
    <w:tmpl w:val="3B429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A3F84"/>
    <w:multiLevelType w:val="hybridMultilevel"/>
    <w:tmpl w:val="EDD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68AC"/>
    <w:multiLevelType w:val="multilevel"/>
    <w:tmpl w:val="A43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547CB"/>
    <w:multiLevelType w:val="multilevel"/>
    <w:tmpl w:val="DB4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62556"/>
    <w:multiLevelType w:val="hybridMultilevel"/>
    <w:tmpl w:val="2AD44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94007"/>
    <w:multiLevelType w:val="hybridMultilevel"/>
    <w:tmpl w:val="0A7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C5C"/>
    <w:multiLevelType w:val="hybridMultilevel"/>
    <w:tmpl w:val="FD94B6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97F37E6"/>
    <w:multiLevelType w:val="hybridMultilevel"/>
    <w:tmpl w:val="4A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8680E"/>
    <w:multiLevelType w:val="hybridMultilevel"/>
    <w:tmpl w:val="82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70FB"/>
    <w:multiLevelType w:val="hybridMultilevel"/>
    <w:tmpl w:val="39B8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E4D92"/>
    <w:multiLevelType w:val="hybridMultilevel"/>
    <w:tmpl w:val="225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408B"/>
    <w:multiLevelType w:val="hybridMultilevel"/>
    <w:tmpl w:val="C7B2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B40C0"/>
    <w:multiLevelType w:val="hybridMultilevel"/>
    <w:tmpl w:val="A88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906E9"/>
    <w:multiLevelType w:val="hybridMultilevel"/>
    <w:tmpl w:val="946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75500"/>
    <w:multiLevelType w:val="hybridMultilevel"/>
    <w:tmpl w:val="3F72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42E28"/>
    <w:multiLevelType w:val="multilevel"/>
    <w:tmpl w:val="E5B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82E7C"/>
    <w:multiLevelType w:val="hybridMultilevel"/>
    <w:tmpl w:val="0F4C1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4E0D"/>
    <w:multiLevelType w:val="hybridMultilevel"/>
    <w:tmpl w:val="9AF08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223A"/>
    <w:multiLevelType w:val="hybridMultilevel"/>
    <w:tmpl w:val="8466B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B3168B"/>
    <w:multiLevelType w:val="hybridMultilevel"/>
    <w:tmpl w:val="13B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80445"/>
    <w:multiLevelType w:val="hybridMultilevel"/>
    <w:tmpl w:val="E35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2581E"/>
    <w:multiLevelType w:val="hybridMultilevel"/>
    <w:tmpl w:val="8360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43893"/>
    <w:multiLevelType w:val="hybridMultilevel"/>
    <w:tmpl w:val="9AB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04C2"/>
    <w:multiLevelType w:val="hybridMultilevel"/>
    <w:tmpl w:val="5F5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0628D"/>
    <w:multiLevelType w:val="hybridMultilevel"/>
    <w:tmpl w:val="1B8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3647"/>
    <w:multiLevelType w:val="hybridMultilevel"/>
    <w:tmpl w:val="E2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751D0"/>
    <w:multiLevelType w:val="hybridMultilevel"/>
    <w:tmpl w:val="D916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74D9A"/>
    <w:multiLevelType w:val="hybridMultilevel"/>
    <w:tmpl w:val="386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74F2"/>
    <w:multiLevelType w:val="hybridMultilevel"/>
    <w:tmpl w:val="7DC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60782"/>
    <w:multiLevelType w:val="hybridMultilevel"/>
    <w:tmpl w:val="051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D2667"/>
    <w:multiLevelType w:val="hybridMultilevel"/>
    <w:tmpl w:val="D6E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17F45"/>
    <w:multiLevelType w:val="hybridMultilevel"/>
    <w:tmpl w:val="7E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D0811"/>
    <w:multiLevelType w:val="hybridMultilevel"/>
    <w:tmpl w:val="26D2A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8179C"/>
    <w:multiLevelType w:val="hybridMultilevel"/>
    <w:tmpl w:val="E9D2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100C"/>
    <w:multiLevelType w:val="hybridMultilevel"/>
    <w:tmpl w:val="B090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629D5"/>
    <w:multiLevelType w:val="hybridMultilevel"/>
    <w:tmpl w:val="2C5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91734"/>
    <w:multiLevelType w:val="hybridMultilevel"/>
    <w:tmpl w:val="B856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38"/>
  </w:num>
  <w:num w:numId="5">
    <w:abstractNumId w:val="0"/>
  </w:num>
  <w:num w:numId="6">
    <w:abstractNumId w:val="13"/>
  </w:num>
  <w:num w:numId="7">
    <w:abstractNumId w:val="27"/>
  </w:num>
  <w:num w:numId="8">
    <w:abstractNumId w:val="41"/>
  </w:num>
  <w:num w:numId="9">
    <w:abstractNumId w:val="5"/>
  </w:num>
  <w:num w:numId="10">
    <w:abstractNumId w:val="35"/>
  </w:num>
  <w:num w:numId="11">
    <w:abstractNumId w:val="33"/>
  </w:num>
  <w:num w:numId="12">
    <w:abstractNumId w:val="11"/>
  </w:num>
  <w:num w:numId="13">
    <w:abstractNumId w:val="34"/>
  </w:num>
  <w:num w:numId="14">
    <w:abstractNumId w:val="26"/>
  </w:num>
  <w:num w:numId="15">
    <w:abstractNumId w:val="3"/>
  </w:num>
  <w:num w:numId="16">
    <w:abstractNumId w:val="2"/>
  </w:num>
  <w:num w:numId="17">
    <w:abstractNumId w:val="29"/>
  </w:num>
  <w:num w:numId="18">
    <w:abstractNumId w:val="28"/>
  </w:num>
  <w:num w:numId="19">
    <w:abstractNumId w:val="17"/>
  </w:num>
  <w:num w:numId="20">
    <w:abstractNumId w:val="12"/>
  </w:num>
  <w:num w:numId="21">
    <w:abstractNumId w:val="31"/>
  </w:num>
  <w:num w:numId="22">
    <w:abstractNumId w:val="14"/>
  </w:num>
  <w:num w:numId="23">
    <w:abstractNumId w:val="21"/>
  </w:num>
  <w:num w:numId="24">
    <w:abstractNumId w:val="20"/>
  </w:num>
  <w:num w:numId="25">
    <w:abstractNumId w:val="37"/>
  </w:num>
  <w:num w:numId="26">
    <w:abstractNumId w:val="19"/>
  </w:num>
  <w:num w:numId="27">
    <w:abstractNumId w:val="6"/>
  </w:num>
  <w:num w:numId="28">
    <w:abstractNumId w:val="7"/>
  </w:num>
  <w:num w:numId="29">
    <w:abstractNumId w:val="18"/>
  </w:num>
  <w:num w:numId="30">
    <w:abstractNumId w:val="30"/>
  </w:num>
  <w:num w:numId="31">
    <w:abstractNumId w:val="15"/>
  </w:num>
  <w:num w:numId="32">
    <w:abstractNumId w:val="4"/>
  </w:num>
  <w:num w:numId="33">
    <w:abstractNumId w:val="8"/>
  </w:num>
  <w:num w:numId="34">
    <w:abstractNumId w:val="9"/>
  </w:num>
  <w:num w:numId="35">
    <w:abstractNumId w:val="25"/>
  </w:num>
  <w:num w:numId="36">
    <w:abstractNumId w:val="22"/>
  </w:num>
  <w:num w:numId="37">
    <w:abstractNumId w:val="23"/>
  </w:num>
  <w:num w:numId="38">
    <w:abstractNumId w:val="36"/>
  </w:num>
  <w:num w:numId="39">
    <w:abstractNumId w:val="1"/>
  </w:num>
  <w:num w:numId="40">
    <w:abstractNumId w:val="10"/>
  </w:num>
  <w:num w:numId="41">
    <w:abstractNumId w:val="40"/>
  </w:num>
  <w:num w:numId="42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71A3"/>
    <w:rsid w:val="00017BA5"/>
    <w:rsid w:val="0002152B"/>
    <w:rsid w:val="000215D2"/>
    <w:rsid w:val="00021E73"/>
    <w:rsid w:val="00031D9C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2191"/>
    <w:rsid w:val="000A3181"/>
    <w:rsid w:val="000A3CC4"/>
    <w:rsid w:val="000A6A5C"/>
    <w:rsid w:val="000A6AE5"/>
    <w:rsid w:val="000B384B"/>
    <w:rsid w:val="000B49B4"/>
    <w:rsid w:val="000C031F"/>
    <w:rsid w:val="000C0DEE"/>
    <w:rsid w:val="000C649A"/>
    <w:rsid w:val="000D0255"/>
    <w:rsid w:val="000D2310"/>
    <w:rsid w:val="000D26E5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52FC"/>
    <w:rsid w:val="00116A67"/>
    <w:rsid w:val="0011736D"/>
    <w:rsid w:val="00121C9E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42E1"/>
    <w:rsid w:val="0026457E"/>
    <w:rsid w:val="002724A1"/>
    <w:rsid w:val="0027362F"/>
    <w:rsid w:val="002765D9"/>
    <w:rsid w:val="00276BE4"/>
    <w:rsid w:val="00280F85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19A3"/>
    <w:rsid w:val="00462F9B"/>
    <w:rsid w:val="004647FE"/>
    <w:rsid w:val="00473215"/>
    <w:rsid w:val="004738D4"/>
    <w:rsid w:val="00475728"/>
    <w:rsid w:val="00476B8F"/>
    <w:rsid w:val="0047713E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FE2"/>
    <w:rsid w:val="006206F7"/>
    <w:rsid w:val="00621CD0"/>
    <w:rsid w:val="006228D2"/>
    <w:rsid w:val="00624B5B"/>
    <w:rsid w:val="00630EC8"/>
    <w:rsid w:val="00634E9E"/>
    <w:rsid w:val="00636333"/>
    <w:rsid w:val="006414AE"/>
    <w:rsid w:val="00642229"/>
    <w:rsid w:val="00642703"/>
    <w:rsid w:val="006431E4"/>
    <w:rsid w:val="00647B4F"/>
    <w:rsid w:val="00653894"/>
    <w:rsid w:val="00664C71"/>
    <w:rsid w:val="00665790"/>
    <w:rsid w:val="00671A7A"/>
    <w:rsid w:val="00683502"/>
    <w:rsid w:val="00684A1E"/>
    <w:rsid w:val="00687E45"/>
    <w:rsid w:val="0069100E"/>
    <w:rsid w:val="00691298"/>
    <w:rsid w:val="00692357"/>
    <w:rsid w:val="006A2220"/>
    <w:rsid w:val="006A372D"/>
    <w:rsid w:val="006A5D0A"/>
    <w:rsid w:val="006B2C61"/>
    <w:rsid w:val="006B458D"/>
    <w:rsid w:val="006B575E"/>
    <w:rsid w:val="006B592A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D76"/>
    <w:rsid w:val="007A1187"/>
    <w:rsid w:val="007A1943"/>
    <w:rsid w:val="007A611C"/>
    <w:rsid w:val="007B3995"/>
    <w:rsid w:val="007B6E41"/>
    <w:rsid w:val="007C114D"/>
    <w:rsid w:val="007C38C2"/>
    <w:rsid w:val="007C3F10"/>
    <w:rsid w:val="007D17DE"/>
    <w:rsid w:val="007D2906"/>
    <w:rsid w:val="007D3CD6"/>
    <w:rsid w:val="007D4FEA"/>
    <w:rsid w:val="007E1F15"/>
    <w:rsid w:val="007F2520"/>
    <w:rsid w:val="007F4305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D3123"/>
    <w:rsid w:val="008D325C"/>
    <w:rsid w:val="008D4BCC"/>
    <w:rsid w:val="008D7A94"/>
    <w:rsid w:val="008E019C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4AD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3707"/>
    <w:rsid w:val="00A93EEE"/>
    <w:rsid w:val="00A95EF6"/>
    <w:rsid w:val="00A9773B"/>
    <w:rsid w:val="00AA0935"/>
    <w:rsid w:val="00AA16FA"/>
    <w:rsid w:val="00AA1733"/>
    <w:rsid w:val="00AA4437"/>
    <w:rsid w:val="00AA64EA"/>
    <w:rsid w:val="00AB05F2"/>
    <w:rsid w:val="00AB178A"/>
    <w:rsid w:val="00AB20B6"/>
    <w:rsid w:val="00AB26D8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10877"/>
    <w:rsid w:val="00B109FE"/>
    <w:rsid w:val="00B22A1A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F67"/>
    <w:rsid w:val="00BB1631"/>
    <w:rsid w:val="00BB249F"/>
    <w:rsid w:val="00BB298E"/>
    <w:rsid w:val="00BB34B7"/>
    <w:rsid w:val="00BB3BE8"/>
    <w:rsid w:val="00BB3F5D"/>
    <w:rsid w:val="00BB44AB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D33"/>
    <w:rsid w:val="00D46C5A"/>
    <w:rsid w:val="00D47671"/>
    <w:rsid w:val="00D51524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F1E6A"/>
    <w:rsid w:val="00EF2935"/>
    <w:rsid w:val="00F009A0"/>
    <w:rsid w:val="00F00CCA"/>
    <w:rsid w:val="00F01C73"/>
    <w:rsid w:val="00F02EE9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Procedure_Manual\Cerner%20EPIC%20Protocols\OrderingExtraTubesInCerner.002.docx" TargetMode="External"/><Relationship Id="rId13" Type="http://schemas.openxmlformats.org/officeDocument/2006/relationships/hyperlink" Target="file:///\\yonkers\pchcteam\Lab\Procedure_Manual\Test%20Procedures\SickleCellScreen.0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yonkers\pchcteam\Lab\Procedure_Manual\Cerner%20EPIC%20Protocols\DocumentingTelephoneEncountersInEpic.002.docx" TargetMode="External"/><Relationship Id="rId12" Type="http://schemas.openxmlformats.org/officeDocument/2006/relationships/hyperlink" Target="file:///\\yonkers\pchcteam\Lab\Procedure_Manual\Test%20Procedures\ESRAutoPlusSedRate.002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_Manual\Cerner%20EPIC%20Protocols\MessagingInEpic.docx" TargetMode="External"/><Relationship Id="rId11" Type="http://schemas.openxmlformats.org/officeDocument/2006/relationships/hyperlink" Target="file:///\\yonkers\pchcteam\Lab\Procedure_Manual\Test%20Procedures\SysmexProcedure.002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file:///\\yonkers\pchcteam\Lab\Procedure_Manual\Cerner%20EPIC%20Protocols\CheckingTheTigrisList.0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yonkers\pchcteam\Lab\Procedure_Manual\Cerner%20EPIC%20Protocols\TransferPendingLog.002.docx" TargetMode="External"/><Relationship Id="rId14" Type="http://schemas.openxmlformats.org/officeDocument/2006/relationships/hyperlink" Target="file:///\\yonkers\pchcteam\Lab\Procedure_Manual\Test%20Procedures\WetPreps.002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5</cp:revision>
  <cp:lastPrinted>2014-07-10T21:46:00Z</cp:lastPrinted>
  <dcterms:created xsi:type="dcterms:W3CDTF">2016-03-08T22:50:00Z</dcterms:created>
  <dcterms:modified xsi:type="dcterms:W3CDTF">2016-03-11T17:22:00Z</dcterms:modified>
</cp:coreProperties>
</file>