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rsidR="00684A1E" w:rsidRPr="00684A1E" w:rsidRDefault="000F7A6B" w:rsidP="00684A1E">
      <w:pPr>
        <w:jc w:val="center"/>
        <w:rPr>
          <w:b/>
          <w:color w:val="17365D" w:themeColor="text2" w:themeShade="BF"/>
          <w:sz w:val="48"/>
          <w:szCs w:val="48"/>
        </w:rPr>
      </w:pPr>
      <w:r>
        <w:rPr>
          <w:b/>
          <w:color w:val="17365D" w:themeColor="text2" w:themeShade="BF"/>
          <w:sz w:val="48"/>
          <w:szCs w:val="48"/>
        </w:rPr>
        <w:t>Octo</w:t>
      </w:r>
      <w:r w:rsidR="00BB5D22">
        <w:rPr>
          <w:b/>
          <w:color w:val="17365D" w:themeColor="text2" w:themeShade="BF"/>
          <w:sz w:val="48"/>
          <w:szCs w:val="48"/>
        </w:rPr>
        <w:t xml:space="preserve">ber </w:t>
      </w:r>
      <w:r>
        <w:rPr>
          <w:b/>
          <w:color w:val="17365D" w:themeColor="text2" w:themeShade="BF"/>
          <w:sz w:val="48"/>
          <w:szCs w:val="48"/>
        </w:rPr>
        <w:t>4</w:t>
      </w:r>
      <w:r w:rsidR="00BB5D22">
        <w:rPr>
          <w:b/>
          <w:color w:val="17365D" w:themeColor="text2" w:themeShade="BF"/>
          <w:sz w:val="48"/>
          <w:szCs w:val="48"/>
        </w:rPr>
        <w:t>, 2012</w:t>
      </w:r>
    </w:p>
    <w:tbl>
      <w:tblPr>
        <w:tblStyle w:val="MediumShading1-Accent1"/>
        <w:tblW w:w="13788" w:type="dxa"/>
        <w:tblLook w:val="04A0" w:firstRow="1" w:lastRow="0" w:firstColumn="1" w:lastColumn="0" w:noHBand="0" w:noVBand="1"/>
      </w:tblPr>
      <w:tblGrid>
        <w:gridCol w:w="1886"/>
        <w:gridCol w:w="8696"/>
        <w:gridCol w:w="3206"/>
      </w:tblGrid>
      <w:tr w:rsidR="00211D87" w:rsidTr="00A4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rsidR="00684A1E" w:rsidRPr="007D17DE" w:rsidRDefault="00684A1E" w:rsidP="00684A1E">
            <w:pPr>
              <w:jc w:val="center"/>
              <w:rPr>
                <w:sz w:val="28"/>
                <w:szCs w:val="28"/>
              </w:rPr>
            </w:pPr>
            <w:r w:rsidRPr="007D17DE">
              <w:rPr>
                <w:sz w:val="28"/>
                <w:szCs w:val="28"/>
              </w:rPr>
              <w:t>Test</w:t>
            </w:r>
          </w:p>
        </w:tc>
        <w:tc>
          <w:tcPr>
            <w:tcW w:w="8696" w:type="dxa"/>
          </w:tcPr>
          <w:p w:rsidR="00684A1E" w:rsidRPr="007D17DE" w:rsidRDefault="00684A1E"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3206" w:type="dxa"/>
          </w:tcPr>
          <w:p w:rsidR="00684A1E" w:rsidRPr="007D17DE" w:rsidRDefault="00684A1E"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211D87" w:rsidTr="00A44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684A1E" w:rsidRPr="007D17DE" w:rsidRDefault="001947FF" w:rsidP="00D16062">
            <w:pPr>
              <w:jc w:val="center"/>
              <w:rPr>
                <w:sz w:val="28"/>
                <w:szCs w:val="28"/>
              </w:rPr>
            </w:pPr>
            <w:r>
              <w:rPr>
                <w:sz w:val="28"/>
                <w:szCs w:val="28"/>
              </w:rPr>
              <w:t>Weekly QA Comparison</w:t>
            </w:r>
          </w:p>
        </w:tc>
        <w:tc>
          <w:tcPr>
            <w:tcW w:w="8696" w:type="dxa"/>
          </w:tcPr>
          <w:p w:rsidR="001D6EE1" w:rsidRPr="00B56D81" w:rsidRDefault="001947FF" w:rsidP="00BB3F5D">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Each Thursday – starting next week on </w:t>
            </w:r>
            <w:r w:rsidRPr="00BB3F5D">
              <w:rPr>
                <w:sz w:val="28"/>
                <w:szCs w:val="28"/>
                <w:highlight w:val="yellow"/>
              </w:rPr>
              <w:t>Thursday 10/13/12</w:t>
            </w:r>
            <w:r>
              <w:rPr>
                <w:sz w:val="28"/>
                <w:szCs w:val="28"/>
              </w:rPr>
              <w:t xml:space="preserve"> – we will send a </w:t>
            </w:r>
            <w:proofErr w:type="spellStart"/>
            <w:r>
              <w:rPr>
                <w:sz w:val="28"/>
                <w:szCs w:val="28"/>
              </w:rPr>
              <w:t>heme</w:t>
            </w:r>
            <w:proofErr w:type="spellEnd"/>
            <w:r>
              <w:rPr>
                <w:sz w:val="28"/>
                <w:szCs w:val="28"/>
              </w:rPr>
              <w:t xml:space="preserve"> and </w:t>
            </w:r>
            <w:proofErr w:type="spellStart"/>
            <w:r>
              <w:rPr>
                <w:sz w:val="28"/>
                <w:szCs w:val="28"/>
              </w:rPr>
              <w:t>chem</w:t>
            </w:r>
            <w:proofErr w:type="spellEnd"/>
            <w:r>
              <w:rPr>
                <w:sz w:val="28"/>
                <w:szCs w:val="28"/>
              </w:rPr>
              <w:t xml:space="preserve"> specimen to HCMC for comparison</w:t>
            </w:r>
            <w:r w:rsidR="00BB3F5D">
              <w:rPr>
                <w:sz w:val="28"/>
                <w:szCs w:val="28"/>
              </w:rPr>
              <w:t xml:space="preserve">.  This will be the responsibility of the Chemistry bench tech.  The clipboard with blank worksheets will be hung on the wall above Sherry’s basket.  Please see </w:t>
            </w:r>
            <w:proofErr w:type="spellStart"/>
            <w:r w:rsidR="00BB3F5D">
              <w:rPr>
                <w:sz w:val="28"/>
                <w:szCs w:val="28"/>
              </w:rPr>
              <w:t>Denelle</w:t>
            </w:r>
            <w:proofErr w:type="spellEnd"/>
            <w:r w:rsidR="00BB3F5D">
              <w:rPr>
                <w:sz w:val="28"/>
                <w:szCs w:val="28"/>
              </w:rPr>
              <w:t xml:space="preserve"> if you have questions.  Also, the worksheet with directions is attached below.</w:t>
            </w:r>
            <w:r w:rsidR="009712F0">
              <w:rPr>
                <w:sz w:val="28"/>
                <w:szCs w:val="28"/>
              </w:rPr>
              <w:t xml:space="preserve"> </w:t>
            </w:r>
          </w:p>
        </w:tc>
        <w:tc>
          <w:tcPr>
            <w:tcW w:w="3206" w:type="dxa"/>
            <w:vAlign w:val="center"/>
          </w:tcPr>
          <w:p w:rsidR="00684A1E" w:rsidRPr="007D17DE" w:rsidRDefault="00B27A4E"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Bench Techs</w:t>
            </w:r>
          </w:p>
        </w:tc>
      </w:tr>
      <w:tr w:rsidR="00EE0836" w:rsidTr="00A445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684A1E" w:rsidRPr="007D17DE" w:rsidRDefault="00083B7E" w:rsidP="007D17DE">
            <w:pPr>
              <w:jc w:val="center"/>
              <w:rPr>
                <w:sz w:val="28"/>
                <w:szCs w:val="28"/>
              </w:rPr>
            </w:pPr>
            <w:r>
              <w:rPr>
                <w:sz w:val="28"/>
                <w:szCs w:val="28"/>
              </w:rPr>
              <w:t>Computer</w:t>
            </w:r>
            <w:r w:rsidR="009712F0">
              <w:rPr>
                <w:sz w:val="28"/>
                <w:szCs w:val="28"/>
              </w:rPr>
              <w:t xml:space="preserve"> Usage in the lab</w:t>
            </w:r>
          </w:p>
        </w:tc>
        <w:tc>
          <w:tcPr>
            <w:tcW w:w="8696" w:type="dxa"/>
          </w:tcPr>
          <w:p w:rsidR="004F48EE" w:rsidRPr="002642E1" w:rsidRDefault="009712F0" w:rsidP="00083B7E">
            <w:pPr>
              <w:cnfStyle w:val="000000010000" w:firstRow="0" w:lastRow="0" w:firstColumn="0" w:lastColumn="0" w:oddVBand="0" w:evenVBand="0" w:oddHBand="0" w:evenHBand="1" w:firstRowFirstColumn="0" w:firstRowLastColumn="0" w:lastRowFirstColumn="0" w:lastRowLastColumn="0"/>
              <w:rPr>
                <w:sz w:val="28"/>
                <w:szCs w:val="28"/>
              </w:rPr>
            </w:pPr>
            <w:r w:rsidRPr="009712F0">
              <w:rPr>
                <w:b/>
                <w:sz w:val="28"/>
                <w:szCs w:val="28"/>
              </w:rPr>
              <w:t>From Sherry:</w:t>
            </w:r>
            <w:r>
              <w:rPr>
                <w:sz w:val="28"/>
                <w:szCs w:val="28"/>
              </w:rPr>
              <w:t xml:space="preserve">    </w:t>
            </w:r>
            <w:r w:rsidR="006E5F2D" w:rsidRPr="006E5F2D">
              <w:rPr>
                <w:i/>
                <w:sz w:val="28"/>
                <w:szCs w:val="28"/>
              </w:rPr>
              <w:t xml:space="preserve">Per our discussion at our last lab meeting computer use for surfing the internet, streaming music and other non-work related reasons should be done on break or lunch time only.  If you have time on your hands please let me or </w:t>
            </w:r>
            <w:proofErr w:type="spellStart"/>
            <w:r w:rsidR="006E5F2D" w:rsidRPr="006E5F2D">
              <w:rPr>
                <w:i/>
                <w:sz w:val="28"/>
                <w:szCs w:val="28"/>
              </w:rPr>
              <w:t>Denelle</w:t>
            </w:r>
            <w:proofErr w:type="spellEnd"/>
            <w:r w:rsidR="006E5F2D" w:rsidRPr="006E5F2D">
              <w:rPr>
                <w:i/>
                <w:sz w:val="28"/>
                <w:szCs w:val="28"/>
              </w:rPr>
              <w:t xml:space="preserve"> know and we will likely have options for things that you can do.  Also, you should make sure that all of your reading and documentation is complete before approaching us for other options.  Many of you still need to read and fill out the document form for the New Employee/yearly notebook that I brought to the last meeting.  This needs to be done yearly.</w:t>
            </w:r>
            <w:r w:rsidR="006E5F2D">
              <w:rPr>
                <w:sz w:val="28"/>
                <w:szCs w:val="28"/>
              </w:rPr>
              <w:t xml:space="preserve"> </w:t>
            </w:r>
          </w:p>
        </w:tc>
        <w:tc>
          <w:tcPr>
            <w:tcW w:w="3206" w:type="dxa"/>
            <w:vAlign w:val="center"/>
          </w:tcPr>
          <w:p w:rsidR="00684A1E" w:rsidRPr="007D17DE" w:rsidRDefault="00B56D81" w:rsidP="00C9744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FF48CB" w:rsidTr="00A44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FF48CB" w:rsidRPr="007D17DE" w:rsidRDefault="00083B7E" w:rsidP="00BB5D22">
            <w:pPr>
              <w:jc w:val="center"/>
              <w:rPr>
                <w:sz w:val="28"/>
                <w:szCs w:val="28"/>
              </w:rPr>
            </w:pPr>
            <w:r>
              <w:rPr>
                <w:sz w:val="28"/>
                <w:szCs w:val="28"/>
              </w:rPr>
              <w:t>LDL errors in Cerner</w:t>
            </w:r>
          </w:p>
        </w:tc>
        <w:tc>
          <w:tcPr>
            <w:tcW w:w="8696" w:type="dxa"/>
          </w:tcPr>
          <w:p w:rsidR="000A2191" w:rsidRPr="000A2191" w:rsidRDefault="00083B7E" w:rsidP="009712F0">
            <w:pPr>
              <w:cnfStyle w:val="000000100000" w:firstRow="0" w:lastRow="0" w:firstColumn="0" w:lastColumn="0" w:oddVBand="0" w:evenVBand="0" w:oddHBand="1" w:evenHBand="0" w:firstRowFirstColumn="0" w:firstRowLastColumn="0" w:lastRowFirstColumn="0" w:lastRowLastColumn="0"/>
              <w:rPr>
                <w:i/>
                <w:sz w:val="20"/>
                <w:szCs w:val="20"/>
              </w:rPr>
            </w:pPr>
            <w:r>
              <w:rPr>
                <w:sz w:val="28"/>
                <w:szCs w:val="28"/>
              </w:rPr>
              <w:t>When a provider only orders an LDL, there will be an error message because Cerner is unable to calculate the VLDL without the cholesterol and triglyceride results.  See attached sheet for details on resulting.</w:t>
            </w:r>
          </w:p>
        </w:tc>
        <w:tc>
          <w:tcPr>
            <w:tcW w:w="3206" w:type="dxa"/>
            <w:vAlign w:val="center"/>
          </w:tcPr>
          <w:p w:rsidR="00FF48CB" w:rsidRPr="007D17DE" w:rsidRDefault="00B27A4E" w:rsidP="00B27A4E">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B</w:t>
            </w:r>
            <w:r w:rsidR="00807E2F">
              <w:rPr>
                <w:sz w:val="28"/>
                <w:szCs w:val="28"/>
              </w:rPr>
              <w:t xml:space="preserve">ench </w:t>
            </w:r>
            <w:r>
              <w:rPr>
                <w:sz w:val="28"/>
                <w:szCs w:val="28"/>
              </w:rPr>
              <w:t>techs</w:t>
            </w:r>
          </w:p>
        </w:tc>
      </w:tr>
      <w:tr w:rsidR="00FF48CB" w:rsidTr="00A445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FF48CB" w:rsidRPr="007D17DE" w:rsidRDefault="00083B7E" w:rsidP="00EE0836">
            <w:pPr>
              <w:jc w:val="center"/>
              <w:rPr>
                <w:sz w:val="28"/>
                <w:szCs w:val="28"/>
              </w:rPr>
            </w:pPr>
            <w:proofErr w:type="spellStart"/>
            <w:r>
              <w:rPr>
                <w:sz w:val="28"/>
                <w:szCs w:val="28"/>
              </w:rPr>
              <w:lastRenderedPageBreak/>
              <w:t>Clinitek</w:t>
            </w:r>
            <w:proofErr w:type="spellEnd"/>
          </w:p>
        </w:tc>
        <w:tc>
          <w:tcPr>
            <w:tcW w:w="8696" w:type="dxa"/>
          </w:tcPr>
          <w:p w:rsidR="005E2AF9" w:rsidRPr="000F0186" w:rsidRDefault="00083B7E" w:rsidP="000F0186">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The </w:t>
            </w:r>
            <w:proofErr w:type="spellStart"/>
            <w:r>
              <w:rPr>
                <w:sz w:val="28"/>
                <w:szCs w:val="28"/>
              </w:rPr>
              <w:t>Clinitek</w:t>
            </w:r>
            <w:proofErr w:type="spellEnd"/>
            <w:r>
              <w:rPr>
                <w:sz w:val="28"/>
                <w:szCs w:val="28"/>
              </w:rPr>
              <w:t xml:space="preserve"> is now determining the color of the urine</w:t>
            </w:r>
            <w:r w:rsidR="00BC04D9">
              <w:rPr>
                <w:sz w:val="28"/>
                <w:szCs w:val="28"/>
              </w:rPr>
              <w:t xml:space="preserve">.  The user will still need to input the </w:t>
            </w:r>
            <w:r w:rsidR="00B27A4E">
              <w:rPr>
                <w:sz w:val="28"/>
                <w:szCs w:val="28"/>
              </w:rPr>
              <w:t xml:space="preserve">specimen </w:t>
            </w:r>
            <w:r w:rsidR="00BC04D9">
              <w:rPr>
                <w:sz w:val="28"/>
                <w:szCs w:val="28"/>
              </w:rPr>
              <w:t xml:space="preserve">clarity.  If problems with analyzer begin to occur again please notify Sherry or </w:t>
            </w:r>
            <w:proofErr w:type="spellStart"/>
            <w:r w:rsidR="00BC04D9">
              <w:rPr>
                <w:sz w:val="28"/>
                <w:szCs w:val="28"/>
              </w:rPr>
              <w:t>Denelle</w:t>
            </w:r>
            <w:proofErr w:type="spellEnd"/>
            <w:r w:rsidR="00BC04D9">
              <w:rPr>
                <w:sz w:val="28"/>
                <w:szCs w:val="28"/>
              </w:rPr>
              <w:t>.</w:t>
            </w:r>
          </w:p>
        </w:tc>
        <w:tc>
          <w:tcPr>
            <w:tcW w:w="3206" w:type="dxa"/>
            <w:vAlign w:val="center"/>
          </w:tcPr>
          <w:p w:rsidR="00FF48CB" w:rsidRPr="007D17DE" w:rsidRDefault="000F0186" w:rsidP="00B27A4E">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Bench </w:t>
            </w:r>
            <w:r w:rsidR="00B27A4E">
              <w:rPr>
                <w:sz w:val="28"/>
                <w:szCs w:val="28"/>
              </w:rPr>
              <w:t>Techs</w:t>
            </w:r>
          </w:p>
        </w:tc>
      </w:tr>
      <w:tr w:rsidR="004325F8" w:rsidTr="00A44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4325F8" w:rsidRDefault="006E5F2D" w:rsidP="000F0186">
            <w:pPr>
              <w:jc w:val="center"/>
              <w:rPr>
                <w:sz w:val="28"/>
                <w:szCs w:val="28"/>
              </w:rPr>
            </w:pPr>
            <w:r>
              <w:rPr>
                <w:sz w:val="28"/>
                <w:szCs w:val="28"/>
              </w:rPr>
              <w:t>Break times</w:t>
            </w:r>
            <w:r w:rsidR="008859E1">
              <w:rPr>
                <w:sz w:val="28"/>
                <w:szCs w:val="28"/>
              </w:rPr>
              <w:t xml:space="preserve"> </w:t>
            </w:r>
          </w:p>
        </w:tc>
        <w:tc>
          <w:tcPr>
            <w:tcW w:w="8696" w:type="dxa"/>
          </w:tcPr>
          <w:p w:rsidR="006E5F2D" w:rsidRDefault="006E5F2D" w:rsidP="000A2191">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There should be always be </w:t>
            </w:r>
            <w:r w:rsidR="00BC45E2">
              <w:rPr>
                <w:sz w:val="28"/>
                <w:szCs w:val="28"/>
              </w:rPr>
              <w:t xml:space="preserve">a </w:t>
            </w:r>
            <w:proofErr w:type="gramStart"/>
            <w:r w:rsidR="00BC45E2" w:rsidRPr="006E5F2D">
              <w:rPr>
                <w:b/>
                <w:sz w:val="28"/>
                <w:szCs w:val="28"/>
                <w:u w:val="single"/>
              </w:rPr>
              <w:t>minimum</w:t>
            </w:r>
            <w:r w:rsidR="00BC45E2">
              <w:rPr>
                <w:sz w:val="28"/>
                <w:szCs w:val="28"/>
              </w:rPr>
              <w:t xml:space="preserve">  of</w:t>
            </w:r>
            <w:proofErr w:type="gramEnd"/>
            <w:r w:rsidR="00BC45E2">
              <w:rPr>
                <w:sz w:val="28"/>
                <w:szCs w:val="28"/>
              </w:rPr>
              <w:t xml:space="preserve"> </w:t>
            </w:r>
            <w:r>
              <w:rPr>
                <w:sz w:val="28"/>
                <w:szCs w:val="28"/>
              </w:rPr>
              <w:t xml:space="preserve">1 person to cover </w:t>
            </w:r>
            <w:proofErr w:type="spellStart"/>
            <w:r>
              <w:rPr>
                <w:sz w:val="28"/>
                <w:szCs w:val="28"/>
              </w:rPr>
              <w:t>Phleb</w:t>
            </w:r>
            <w:proofErr w:type="spellEnd"/>
            <w:r>
              <w:rPr>
                <w:sz w:val="28"/>
                <w:szCs w:val="28"/>
              </w:rPr>
              <w:t>/</w:t>
            </w:r>
            <w:proofErr w:type="spellStart"/>
            <w:r>
              <w:rPr>
                <w:sz w:val="28"/>
                <w:szCs w:val="28"/>
              </w:rPr>
              <w:t>sendouts</w:t>
            </w:r>
            <w:proofErr w:type="spellEnd"/>
            <w:r>
              <w:rPr>
                <w:sz w:val="28"/>
                <w:szCs w:val="28"/>
              </w:rPr>
              <w:t xml:space="preserve"> and 1 bench tech in the back.  </w:t>
            </w:r>
            <w:r w:rsidR="00BC45E2">
              <w:rPr>
                <w:sz w:val="28"/>
                <w:szCs w:val="28"/>
              </w:rPr>
              <w:t xml:space="preserve">The phlebotomists and </w:t>
            </w:r>
            <w:proofErr w:type="spellStart"/>
            <w:r w:rsidR="00BC45E2">
              <w:rPr>
                <w:sz w:val="28"/>
                <w:szCs w:val="28"/>
              </w:rPr>
              <w:t>sendouts</w:t>
            </w:r>
            <w:proofErr w:type="spellEnd"/>
            <w:r w:rsidR="00BC45E2">
              <w:rPr>
                <w:sz w:val="28"/>
                <w:szCs w:val="28"/>
              </w:rPr>
              <w:t xml:space="preserve"> work to cover the breaks and the bench tech</w:t>
            </w:r>
          </w:p>
          <w:p w:rsidR="004325F8" w:rsidRPr="006E5F2D" w:rsidRDefault="006E5F2D" w:rsidP="006E5F2D">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8"/>
                <w:szCs w:val="28"/>
              </w:rPr>
            </w:pPr>
            <w:r w:rsidRPr="006E5F2D">
              <w:rPr>
                <w:sz w:val="28"/>
                <w:szCs w:val="28"/>
              </w:rPr>
              <w:t xml:space="preserve">At our next lab meeting, </w:t>
            </w:r>
            <w:r>
              <w:rPr>
                <w:sz w:val="28"/>
                <w:szCs w:val="28"/>
              </w:rPr>
              <w:t>your input with be requested</w:t>
            </w:r>
            <w:r w:rsidRPr="006E5F2D">
              <w:rPr>
                <w:sz w:val="28"/>
                <w:szCs w:val="28"/>
              </w:rPr>
              <w:t xml:space="preserve"> to help structure the break time policy.</w:t>
            </w:r>
          </w:p>
        </w:tc>
        <w:tc>
          <w:tcPr>
            <w:tcW w:w="3206" w:type="dxa"/>
            <w:vAlign w:val="center"/>
          </w:tcPr>
          <w:p w:rsidR="004325F8" w:rsidRDefault="004325F8" w:rsidP="000F0186">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9E7DA5" w:rsidTr="00A445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9E7DA5" w:rsidRDefault="006E5F2D" w:rsidP="004325F8">
            <w:pPr>
              <w:jc w:val="center"/>
              <w:rPr>
                <w:sz w:val="28"/>
                <w:szCs w:val="28"/>
              </w:rPr>
            </w:pPr>
            <w:r>
              <w:rPr>
                <w:sz w:val="28"/>
                <w:szCs w:val="28"/>
              </w:rPr>
              <w:t>Re-stocking</w:t>
            </w:r>
          </w:p>
        </w:tc>
        <w:tc>
          <w:tcPr>
            <w:tcW w:w="8696" w:type="dxa"/>
          </w:tcPr>
          <w:p w:rsidR="008859E1" w:rsidRPr="000F0186" w:rsidRDefault="00437D72" w:rsidP="00437D72">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The draw rooms should be restocked at a minimum of each night.  This may also be done during down times.  The benches also need to be restocked each night.  (This also includes Saturdays.)</w:t>
            </w:r>
            <w:r w:rsidR="00F376FA">
              <w:rPr>
                <w:sz w:val="28"/>
                <w:szCs w:val="28"/>
              </w:rPr>
              <w:t xml:space="preserve">  </w:t>
            </w:r>
          </w:p>
        </w:tc>
        <w:tc>
          <w:tcPr>
            <w:tcW w:w="3206" w:type="dxa"/>
            <w:vAlign w:val="center"/>
          </w:tcPr>
          <w:p w:rsidR="009E7DA5" w:rsidRDefault="009E7DA5" w:rsidP="004325F8">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0A2191" w:rsidTr="00A44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vAlign w:val="center"/>
          </w:tcPr>
          <w:p w:rsidR="000A2191" w:rsidRDefault="00437D72" w:rsidP="004325F8">
            <w:pPr>
              <w:jc w:val="center"/>
              <w:rPr>
                <w:sz w:val="28"/>
                <w:szCs w:val="28"/>
              </w:rPr>
            </w:pPr>
            <w:r>
              <w:rPr>
                <w:sz w:val="28"/>
                <w:szCs w:val="28"/>
              </w:rPr>
              <w:t>See Test &amp; Treat</w:t>
            </w:r>
          </w:p>
        </w:tc>
        <w:tc>
          <w:tcPr>
            <w:tcW w:w="8696" w:type="dxa"/>
          </w:tcPr>
          <w:p w:rsidR="000A2191" w:rsidRPr="00437D72" w:rsidRDefault="00437D72" w:rsidP="000A2191">
            <w:pPr>
              <w:cnfStyle w:val="000000100000" w:firstRow="0" w:lastRow="0" w:firstColumn="0" w:lastColumn="0" w:oddVBand="0" w:evenVBand="0" w:oddHBand="1" w:evenHBand="0" w:firstRowFirstColumn="0" w:firstRowLastColumn="0" w:lastRowFirstColumn="0" w:lastRowLastColumn="0"/>
              <w:rPr>
                <w:sz w:val="28"/>
                <w:szCs w:val="28"/>
              </w:rPr>
            </w:pPr>
            <w:r w:rsidRPr="00437D72">
              <w:rPr>
                <w:sz w:val="28"/>
                <w:szCs w:val="28"/>
              </w:rPr>
              <w:t xml:space="preserve">See, Test and Treat is next week.  The T shirts and food that is ordered is for those who are working ST&amp;T ONLY.  That means </w:t>
            </w:r>
            <w:proofErr w:type="spellStart"/>
            <w:r w:rsidRPr="00437D72">
              <w:rPr>
                <w:sz w:val="28"/>
                <w:szCs w:val="28"/>
              </w:rPr>
              <w:t>Hamsa</w:t>
            </w:r>
            <w:proofErr w:type="spellEnd"/>
            <w:r w:rsidRPr="00437D72">
              <w:rPr>
                <w:sz w:val="28"/>
                <w:szCs w:val="28"/>
              </w:rPr>
              <w:t xml:space="preserve">, Manuel and </w:t>
            </w:r>
            <w:proofErr w:type="spellStart"/>
            <w:r w:rsidRPr="00437D72">
              <w:rPr>
                <w:sz w:val="28"/>
                <w:szCs w:val="28"/>
              </w:rPr>
              <w:t>Denelle</w:t>
            </w:r>
            <w:proofErr w:type="spellEnd"/>
            <w:r w:rsidRPr="00437D72">
              <w:rPr>
                <w:sz w:val="28"/>
                <w:szCs w:val="28"/>
              </w:rPr>
              <w:t xml:space="preserve"> need to get </w:t>
            </w:r>
            <w:proofErr w:type="spellStart"/>
            <w:r w:rsidRPr="00437D72">
              <w:rPr>
                <w:sz w:val="28"/>
                <w:szCs w:val="28"/>
              </w:rPr>
              <w:t>Tshirts</w:t>
            </w:r>
            <w:proofErr w:type="spellEnd"/>
            <w:r w:rsidRPr="00437D72">
              <w:rPr>
                <w:sz w:val="28"/>
                <w:szCs w:val="28"/>
              </w:rPr>
              <w:t xml:space="preserve"> on Tuesday.  Sherry, Le and </w:t>
            </w:r>
            <w:proofErr w:type="spellStart"/>
            <w:r w:rsidRPr="00437D72">
              <w:rPr>
                <w:sz w:val="28"/>
                <w:szCs w:val="28"/>
              </w:rPr>
              <w:t>Wakia</w:t>
            </w:r>
            <w:proofErr w:type="spellEnd"/>
            <w:r w:rsidRPr="00437D72">
              <w:rPr>
                <w:sz w:val="28"/>
                <w:szCs w:val="28"/>
              </w:rPr>
              <w:t xml:space="preserve"> already have one from last year.  That also means that these are the people who can get lunch.  And it should only be on the day that you are working ST&amp;T.  Last year we ran out of shirts and food for patients and we don't want that to happen again.</w:t>
            </w:r>
          </w:p>
        </w:tc>
        <w:tc>
          <w:tcPr>
            <w:tcW w:w="3206" w:type="dxa"/>
            <w:vAlign w:val="center"/>
          </w:tcPr>
          <w:p w:rsidR="000A2191" w:rsidRDefault="00B27A4E" w:rsidP="004325F8">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bookmarkStart w:id="0" w:name="_GoBack"/>
            <w:bookmarkEnd w:id="0"/>
          </w:p>
        </w:tc>
      </w:tr>
    </w:tbl>
    <w:p w:rsidR="00684A1E" w:rsidRDefault="00684A1E"/>
    <w:p w:rsidR="00C14735"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rsidR="00D06160" w:rsidRPr="00BB3F5D" w:rsidRDefault="00BB3F5D" w:rsidP="00D06160">
      <w:pPr>
        <w:pStyle w:val="ListParagraph"/>
        <w:numPr>
          <w:ilvl w:val="0"/>
          <w:numId w:val="10"/>
        </w:numPr>
        <w:rPr>
          <w:rStyle w:val="Hyperlink"/>
          <w:b/>
          <w:sz w:val="28"/>
          <w:szCs w:val="28"/>
        </w:rPr>
      </w:pPr>
      <w:r>
        <w:rPr>
          <w:b/>
          <w:sz w:val="28"/>
          <w:szCs w:val="28"/>
        </w:rPr>
        <w:fldChar w:fldCharType="begin"/>
      </w:r>
      <w:r>
        <w:rPr>
          <w:b/>
          <w:sz w:val="28"/>
          <w:szCs w:val="28"/>
        </w:rPr>
        <w:instrText xml:space="preserve"> HYPERLINK "\\\\yonkers\\pchcteam\\Lab\\QA\\Weekly Comparison.xlsx" </w:instrText>
      </w:r>
      <w:r>
        <w:rPr>
          <w:b/>
          <w:sz w:val="28"/>
          <w:szCs w:val="28"/>
        </w:rPr>
      </w:r>
      <w:r>
        <w:rPr>
          <w:b/>
          <w:sz w:val="28"/>
          <w:szCs w:val="28"/>
        </w:rPr>
        <w:fldChar w:fldCharType="separate"/>
      </w:r>
      <w:r w:rsidRPr="00BB3F5D">
        <w:rPr>
          <w:rStyle w:val="Hyperlink"/>
          <w:b/>
          <w:sz w:val="28"/>
          <w:szCs w:val="28"/>
        </w:rPr>
        <w:t>NPH W</w:t>
      </w:r>
      <w:r w:rsidRPr="00BB3F5D">
        <w:rPr>
          <w:rStyle w:val="Hyperlink"/>
          <w:b/>
          <w:sz w:val="28"/>
          <w:szCs w:val="28"/>
        </w:rPr>
        <w:t>eekly QA Comparison</w:t>
      </w:r>
    </w:p>
    <w:p w:rsidR="00F376FA" w:rsidRPr="00D06160" w:rsidRDefault="00BB3F5D" w:rsidP="00D06160">
      <w:pPr>
        <w:pStyle w:val="ListParagraph"/>
        <w:numPr>
          <w:ilvl w:val="0"/>
          <w:numId w:val="10"/>
        </w:numPr>
        <w:rPr>
          <w:b/>
          <w:sz w:val="28"/>
          <w:szCs w:val="28"/>
        </w:rPr>
      </w:pPr>
      <w:r>
        <w:rPr>
          <w:b/>
          <w:sz w:val="28"/>
          <w:szCs w:val="28"/>
        </w:rPr>
        <w:fldChar w:fldCharType="end"/>
      </w:r>
      <w:hyperlink r:id="rId6" w:history="1">
        <w:r w:rsidR="00083B7E" w:rsidRPr="00083B7E">
          <w:rPr>
            <w:rStyle w:val="Hyperlink"/>
            <w:b/>
            <w:sz w:val="28"/>
            <w:szCs w:val="28"/>
          </w:rPr>
          <w:t>LDL on</w:t>
        </w:r>
        <w:r w:rsidR="00083B7E" w:rsidRPr="00083B7E">
          <w:rPr>
            <w:rStyle w:val="Hyperlink"/>
            <w:b/>
            <w:sz w:val="28"/>
            <w:szCs w:val="28"/>
          </w:rPr>
          <w:t>l</w:t>
        </w:r>
        <w:r w:rsidR="00083B7E" w:rsidRPr="00083B7E">
          <w:rPr>
            <w:rStyle w:val="Hyperlink"/>
            <w:b/>
            <w:sz w:val="28"/>
            <w:szCs w:val="28"/>
          </w:rPr>
          <w:t>y dire</w:t>
        </w:r>
        <w:r w:rsidR="00083B7E" w:rsidRPr="00083B7E">
          <w:rPr>
            <w:rStyle w:val="Hyperlink"/>
            <w:b/>
            <w:sz w:val="28"/>
            <w:szCs w:val="28"/>
          </w:rPr>
          <w:t>c</w:t>
        </w:r>
        <w:r w:rsidR="00083B7E" w:rsidRPr="00083B7E">
          <w:rPr>
            <w:rStyle w:val="Hyperlink"/>
            <w:b/>
            <w:sz w:val="28"/>
            <w:szCs w:val="28"/>
          </w:rPr>
          <w:t>tions</w:t>
        </w:r>
      </w:hyperlink>
    </w:p>
    <w:sectPr w:rsidR="00F376FA" w:rsidRPr="00D06160"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2E0B"/>
    <w:multiLevelType w:val="hybridMultilevel"/>
    <w:tmpl w:val="1D10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B4F60"/>
    <w:multiLevelType w:val="hybridMultilevel"/>
    <w:tmpl w:val="DA3C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165807"/>
    <w:multiLevelType w:val="hybridMultilevel"/>
    <w:tmpl w:val="9C724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C2D7323"/>
    <w:multiLevelType w:val="hybridMultilevel"/>
    <w:tmpl w:val="A588C0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3BEC0592"/>
    <w:multiLevelType w:val="hybridMultilevel"/>
    <w:tmpl w:val="A44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7A0854"/>
    <w:multiLevelType w:val="hybridMultilevel"/>
    <w:tmpl w:val="5B86AD5A"/>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331009F"/>
    <w:multiLevelType w:val="hybridMultilevel"/>
    <w:tmpl w:val="1BE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B9616A"/>
    <w:multiLevelType w:val="hybridMultilevel"/>
    <w:tmpl w:val="D62048BE"/>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B21612"/>
    <w:multiLevelType w:val="hybridMultilevel"/>
    <w:tmpl w:val="C5B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66021A"/>
    <w:multiLevelType w:val="hybridMultilevel"/>
    <w:tmpl w:val="B3B6F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42E06"/>
    <w:multiLevelType w:val="hybridMultilevel"/>
    <w:tmpl w:val="C4CA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F145D7"/>
    <w:multiLevelType w:val="hybridMultilevel"/>
    <w:tmpl w:val="F69A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A553C7"/>
    <w:multiLevelType w:val="hybridMultilevel"/>
    <w:tmpl w:val="655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C87D41"/>
    <w:multiLevelType w:val="hybridMultilevel"/>
    <w:tmpl w:val="024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235E34"/>
    <w:multiLevelType w:val="hybridMultilevel"/>
    <w:tmpl w:val="51C68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F1F3F62"/>
    <w:multiLevelType w:val="hybridMultilevel"/>
    <w:tmpl w:val="C8EC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1"/>
  </w:num>
  <w:num w:numId="5">
    <w:abstractNumId w:val="8"/>
  </w:num>
  <w:num w:numId="6">
    <w:abstractNumId w:val="0"/>
  </w:num>
  <w:num w:numId="7">
    <w:abstractNumId w:val="11"/>
  </w:num>
  <w:num w:numId="8">
    <w:abstractNumId w:val="14"/>
  </w:num>
  <w:num w:numId="9">
    <w:abstractNumId w:val="15"/>
  </w:num>
  <w:num w:numId="10">
    <w:abstractNumId w:val="13"/>
  </w:num>
  <w:num w:numId="11">
    <w:abstractNumId w:val="3"/>
  </w:num>
  <w:num w:numId="12">
    <w:abstractNumId w:val="4"/>
  </w:num>
  <w:num w:numId="13">
    <w:abstractNumId w:val="5"/>
  </w:num>
  <w:num w:numId="14">
    <w:abstractNumId w:val="2"/>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171A3"/>
    <w:rsid w:val="0004270A"/>
    <w:rsid w:val="00062446"/>
    <w:rsid w:val="0007086A"/>
    <w:rsid w:val="00083B7E"/>
    <w:rsid w:val="000A2191"/>
    <w:rsid w:val="000F0186"/>
    <w:rsid w:val="000F7A6B"/>
    <w:rsid w:val="00102931"/>
    <w:rsid w:val="00122CE8"/>
    <w:rsid w:val="001336C5"/>
    <w:rsid w:val="001947FF"/>
    <w:rsid w:val="001D313C"/>
    <w:rsid w:val="001D6EE1"/>
    <w:rsid w:val="00211D87"/>
    <w:rsid w:val="00243F19"/>
    <w:rsid w:val="002642E1"/>
    <w:rsid w:val="003216E3"/>
    <w:rsid w:val="0038621F"/>
    <w:rsid w:val="003E1DF4"/>
    <w:rsid w:val="003F5D6D"/>
    <w:rsid w:val="004325F8"/>
    <w:rsid w:val="00437D72"/>
    <w:rsid w:val="004647FE"/>
    <w:rsid w:val="00492BAB"/>
    <w:rsid w:val="004E3DC7"/>
    <w:rsid w:val="004F48EE"/>
    <w:rsid w:val="004F755B"/>
    <w:rsid w:val="00581D01"/>
    <w:rsid w:val="005A6E0A"/>
    <w:rsid w:val="005E2AF9"/>
    <w:rsid w:val="005F1CDC"/>
    <w:rsid w:val="005F3DE9"/>
    <w:rsid w:val="00614D6C"/>
    <w:rsid w:val="00684A1E"/>
    <w:rsid w:val="006E5F2D"/>
    <w:rsid w:val="00786E28"/>
    <w:rsid w:val="007D17DE"/>
    <w:rsid w:val="00807E2F"/>
    <w:rsid w:val="00867401"/>
    <w:rsid w:val="00882664"/>
    <w:rsid w:val="00882902"/>
    <w:rsid w:val="008859E1"/>
    <w:rsid w:val="008F261F"/>
    <w:rsid w:val="00901630"/>
    <w:rsid w:val="00965F5F"/>
    <w:rsid w:val="009712F0"/>
    <w:rsid w:val="00975755"/>
    <w:rsid w:val="0098184F"/>
    <w:rsid w:val="0098301B"/>
    <w:rsid w:val="0098505D"/>
    <w:rsid w:val="009E7DA5"/>
    <w:rsid w:val="00A12BCF"/>
    <w:rsid w:val="00A44555"/>
    <w:rsid w:val="00A77473"/>
    <w:rsid w:val="00A95EF6"/>
    <w:rsid w:val="00AB4310"/>
    <w:rsid w:val="00AC3515"/>
    <w:rsid w:val="00AF007B"/>
    <w:rsid w:val="00AF19A5"/>
    <w:rsid w:val="00B27A4E"/>
    <w:rsid w:val="00B525DB"/>
    <w:rsid w:val="00B56D81"/>
    <w:rsid w:val="00BB1631"/>
    <w:rsid w:val="00BB3F5D"/>
    <w:rsid w:val="00BB5D22"/>
    <w:rsid w:val="00BC04D9"/>
    <w:rsid w:val="00BC45E2"/>
    <w:rsid w:val="00BD7141"/>
    <w:rsid w:val="00BE0681"/>
    <w:rsid w:val="00C14735"/>
    <w:rsid w:val="00C6062C"/>
    <w:rsid w:val="00C97449"/>
    <w:rsid w:val="00CB7F80"/>
    <w:rsid w:val="00CD4063"/>
    <w:rsid w:val="00CE610A"/>
    <w:rsid w:val="00D06160"/>
    <w:rsid w:val="00D16062"/>
    <w:rsid w:val="00D37604"/>
    <w:rsid w:val="00D51524"/>
    <w:rsid w:val="00D5438D"/>
    <w:rsid w:val="00D726AD"/>
    <w:rsid w:val="00D97A0D"/>
    <w:rsid w:val="00E43B4D"/>
    <w:rsid w:val="00E76793"/>
    <w:rsid w:val="00E848E1"/>
    <w:rsid w:val="00E92F99"/>
    <w:rsid w:val="00E97B29"/>
    <w:rsid w:val="00EE0836"/>
    <w:rsid w:val="00F00CCA"/>
    <w:rsid w:val="00F10D73"/>
    <w:rsid w:val="00F251B6"/>
    <w:rsid w:val="00F37684"/>
    <w:rsid w:val="00F376FA"/>
    <w:rsid w:val="00F6056F"/>
    <w:rsid w:val="00FF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yonkers\pchcteam\Lab\Procedures,%20Current\Cerner%20Protocols\LDL%20only%20protocol.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Denelle B. Hygrell</cp:lastModifiedBy>
  <cp:revision>4</cp:revision>
  <cp:lastPrinted>2012-09-13T19:04:00Z</cp:lastPrinted>
  <dcterms:created xsi:type="dcterms:W3CDTF">2012-10-04T18:11:00Z</dcterms:created>
  <dcterms:modified xsi:type="dcterms:W3CDTF">2012-10-04T18:40:00Z</dcterms:modified>
</cp:coreProperties>
</file>