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B" w:rsidRDefault="004B6505">
      <w:r>
        <w:rPr>
          <w:noProof/>
        </w:rPr>
        <w:drawing>
          <wp:inline distT="0" distB="0" distL="0" distR="0">
            <wp:extent cx="5943600" cy="2445385"/>
            <wp:effectExtent l="0" t="0" r="1905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EC4620">
        <w:rPr>
          <w:noProof/>
        </w:rPr>
        <w:drawing>
          <wp:inline distT="0" distB="0" distL="0" distR="0">
            <wp:extent cx="5943600" cy="2352040"/>
            <wp:effectExtent l="0" t="0" r="1905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C4620">
        <w:rPr>
          <w:noProof/>
        </w:rPr>
        <w:drawing>
          <wp:inline distT="0" distB="0" distL="0" distR="0">
            <wp:extent cx="5943600" cy="2490470"/>
            <wp:effectExtent l="0" t="0" r="1905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C4620">
        <w:rPr>
          <w:noProof/>
        </w:rPr>
        <w:lastRenderedPageBreak/>
        <w:drawing>
          <wp:inline distT="0" distB="0" distL="0" distR="0">
            <wp:extent cx="5943600" cy="2359025"/>
            <wp:effectExtent l="0" t="0" r="19050" b="222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0436E">
        <w:rPr>
          <w:noProof/>
        </w:rPr>
        <w:drawing>
          <wp:inline distT="0" distB="0" distL="0" distR="0">
            <wp:extent cx="5943600" cy="2467610"/>
            <wp:effectExtent l="0" t="0" r="19050" b="279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D15DA" w:rsidRPr="00CD15DA">
        <w:drawing>
          <wp:inline distT="0" distB="0" distL="0" distR="0">
            <wp:extent cx="5943600" cy="2343150"/>
            <wp:effectExtent l="19050" t="0" r="19050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0436E">
        <w:rPr>
          <w:noProof/>
        </w:rPr>
        <w:lastRenderedPageBreak/>
        <w:drawing>
          <wp:inline distT="0" distB="0" distL="0" distR="0">
            <wp:extent cx="5943600" cy="2600960"/>
            <wp:effectExtent l="0" t="0" r="19050" b="279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93C65">
        <w:rPr>
          <w:noProof/>
        </w:rPr>
        <w:drawing>
          <wp:inline distT="0" distB="0" distL="0" distR="0">
            <wp:extent cx="5943600" cy="2760345"/>
            <wp:effectExtent l="0" t="0" r="19050" b="209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323EB" w:rsidRPr="00C323EB">
        <w:drawing>
          <wp:inline distT="0" distB="0" distL="0" distR="0">
            <wp:extent cx="5943600" cy="2529840"/>
            <wp:effectExtent l="19050" t="0" r="19050" b="381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323EB" w:rsidRPr="00C323EB">
        <w:lastRenderedPageBreak/>
        <w:drawing>
          <wp:inline distT="0" distB="0" distL="0" distR="0">
            <wp:extent cx="5943600" cy="2305050"/>
            <wp:effectExtent l="19050" t="0" r="19050" b="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323EB" w:rsidRPr="00C323EB">
        <w:drawing>
          <wp:inline distT="0" distB="0" distL="0" distR="0">
            <wp:extent cx="5943600" cy="2566035"/>
            <wp:effectExtent l="19050" t="0" r="19050" b="5715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D15DA" w:rsidRPr="00CD15DA">
        <w:drawing>
          <wp:inline distT="0" distB="0" distL="0" distR="0">
            <wp:extent cx="5943600" cy="2531110"/>
            <wp:effectExtent l="19050" t="0" r="19050" b="2540"/>
            <wp:docPr id="1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992CBB" w:rsidSect="0066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505"/>
    <w:rsid w:val="004B6505"/>
    <w:rsid w:val="00660618"/>
    <w:rsid w:val="00992CBB"/>
    <w:rsid w:val="00B0436E"/>
    <w:rsid w:val="00C15CC8"/>
    <w:rsid w:val="00C323EB"/>
    <w:rsid w:val="00C93C65"/>
    <w:rsid w:val="00CD15DA"/>
    <w:rsid w:val="00EC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6990855442432773E-2"/>
          <c:y val="0.16479163812651179"/>
          <c:w val="0.77433425280438672"/>
          <c:h val="0.72832130727881306"/>
        </c:manualLayout>
      </c:layout>
      <c:barChart>
        <c:barDir val="col"/>
        <c:grouping val="clustered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39.300000000000011</c:v>
                </c:pt>
                <c:pt idx="3">
                  <c:v>38.800000000000011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  <c:pt idx="7">
                  <c:v>35.1</c:v>
                </c:pt>
              </c:numCache>
            </c:numRef>
          </c:val>
        </c:ser>
        <c:dLbls/>
        <c:axId val="61199872"/>
        <c:axId val="61201408"/>
      </c:barChart>
      <c:lineChart>
        <c:grouping val="standard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  <c:pt idx="7">
                  <c:v>13.4</c:v>
                </c:pt>
              </c:numCache>
            </c:numRef>
          </c:val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</c:ser>
        <c:dLbls/>
        <c:marker val="1"/>
        <c:axId val="61199872"/>
        <c:axId val="61201408"/>
      </c:lineChart>
      <c:catAx>
        <c:axId val="61199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201408"/>
        <c:crosses val="autoZero"/>
        <c:auto val="1"/>
        <c:lblAlgn val="ctr"/>
        <c:lblOffset val="100"/>
      </c:catAx>
      <c:valAx>
        <c:axId val="61201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19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3880314960629922"/>
          <c:w val="0.14681164217530132"/>
          <c:h val="0.28585651251797867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922"/>
          <c:h val="0.705011176273595"/>
        </c:manualLayout>
      </c:layout>
      <c:barChart>
        <c:barDir val="col"/>
        <c:grouping val="clustered"/>
        <c:ser>
          <c:idx val="0"/>
          <c:order val="0"/>
          <c:tx>
            <c:v>OP Redraws</c:v>
          </c:tx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</c:numCache>
            </c:numRef>
          </c:val>
        </c:ser>
        <c:axId val="63921152"/>
        <c:axId val="63928576"/>
      </c:barChart>
      <c:catAx>
        <c:axId val="63921152"/>
        <c:scaling>
          <c:orientation val="minMax"/>
        </c:scaling>
        <c:axPos val="b"/>
        <c:tickLblPos val="nextTo"/>
        <c:crossAx val="63928576"/>
        <c:crosses val="autoZero"/>
        <c:auto val="1"/>
        <c:lblAlgn val="ctr"/>
        <c:lblOffset val="100"/>
      </c:catAx>
      <c:valAx>
        <c:axId val="63928576"/>
        <c:scaling>
          <c:orientation val="minMax"/>
        </c:scaling>
        <c:axPos val="l"/>
        <c:majorGridlines/>
        <c:numFmt formatCode="General" sourceLinked="1"/>
        <c:tickLblPos val="nextTo"/>
        <c:crossAx val="639211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/>
    </c:title>
    <c:plotArea>
      <c:layout>
        <c:manualLayout>
          <c:layoutTarget val="inner"/>
          <c:xMode val="edge"/>
          <c:yMode val="edge"/>
          <c:x val="4.9312301733143923E-2"/>
          <c:y val="0.19480351414406533"/>
          <c:w val="0.88604839638947674"/>
          <c:h val="0.68921660834062359"/>
        </c:manualLayout>
      </c:layout>
      <c:barChart>
        <c:barDir val="col"/>
        <c:grouping val="clustered"/>
        <c:ser>
          <c:idx val="0"/>
          <c:order val="0"/>
          <c:tx>
            <c:v>2014 Mislabeled Specimens</c:v>
          </c:tx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6">
                  <c:v>7</c:v>
                </c:pt>
                <c:pt idx="7">
                  <c:v>5</c:v>
                </c:pt>
              </c:numCache>
            </c:numRef>
          </c:val>
        </c:ser>
        <c:axId val="65495424"/>
        <c:axId val="65497344"/>
      </c:barChart>
      <c:catAx>
        <c:axId val="65495424"/>
        <c:scaling>
          <c:orientation val="minMax"/>
        </c:scaling>
        <c:axPos val="b"/>
        <c:tickLblPos val="nextTo"/>
        <c:crossAx val="65497344"/>
        <c:crosses val="autoZero"/>
        <c:auto val="1"/>
        <c:lblAlgn val="ctr"/>
        <c:lblOffset val="100"/>
      </c:catAx>
      <c:valAx>
        <c:axId val="65497344"/>
        <c:scaling>
          <c:orientation val="minMax"/>
        </c:scaling>
        <c:axPos val="l"/>
        <c:majorGridlines/>
        <c:numFmt formatCode="General" sourceLinked="1"/>
        <c:tickLblPos val="nextTo"/>
        <c:crossAx val="6549542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dLbls>
            <c:showVal val="1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</c:ser>
        <c:axId val="65711104"/>
        <c:axId val="65840256"/>
      </c:barChart>
      <c:catAx>
        <c:axId val="65711104"/>
        <c:scaling>
          <c:orientation val="minMax"/>
        </c:scaling>
        <c:axPos val="b"/>
        <c:tickLblPos val="nextTo"/>
        <c:crossAx val="65840256"/>
        <c:crosses val="autoZero"/>
        <c:auto val="1"/>
        <c:lblAlgn val="ctr"/>
        <c:lblOffset val="100"/>
      </c:catAx>
      <c:valAx>
        <c:axId val="65840256"/>
        <c:scaling>
          <c:orientation val="minMax"/>
        </c:scaling>
        <c:axPos val="l"/>
        <c:majorGridlines/>
        <c:numFmt formatCode="General" sourceLinked="1"/>
        <c:tickLblPos val="nextTo"/>
        <c:crossAx val="6571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92587048363625"/>
          <c:y val="0.52414255802294141"/>
          <c:w val="0.10450475272768102"/>
          <c:h val="0.14263263440384558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232353914562181E-2"/>
          <c:y val="0.12681421131506826"/>
          <c:w val="0.77383152948578071"/>
          <c:h val="0.76764965105552463"/>
        </c:manualLayout>
      </c:layout>
      <c:barChart>
        <c:barDir val="col"/>
        <c:grouping val="clustered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35.800000000000011</c:v>
                </c:pt>
                <c:pt idx="7">
                  <c:v>34.700000000000003</c:v>
                </c:pt>
              </c:numCache>
            </c:numRef>
          </c:val>
        </c:ser>
        <c:dLbls/>
        <c:axId val="61639296"/>
        <c:axId val="61661568"/>
      </c:barChart>
      <c:lineChart>
        <c:grouping val="standard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  <c:pt idx="7">
                  <c:v>9.7000000000000011</c:v>
                </c:pt>
              </c:numCache>
            </c:numRef>
          </c:val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</c:ser>
        <c:dLbls/>
        <c:marker val="1"/>
        <c:axId val="61639296"/>
        <c:axId val="61661568"/>
      </c:lineChart>
      <c:catAx>
        <c:axId val="61639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661568"/>
        <c:crosses val="autoZero"/>
        <c:auto val="1"/>
        <c:lblAlgn val="ctr"/>
        <c:lblOffset val="100"/>
      </c:catAx>
      <c:valAx>
        <c:axId val="616615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63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34"/>
          <c:y val="0.38591221838595108"/>
          <c:w val="0.14221448910646481"/>
          <c:h val="0.28706094703461765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7369640590759177E-2"/>
          <c:y val="0.14353398519667721"/>
          <c:w val="0.78852168027333369"/>
          <c:h val="0.75651302844683921"/>
        </c:manualLayout>
      </c:layout>
      <c:barChart>
        <c:barDir val="col"/>
        <c:grouping val="clustered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  <c:pt idx="7">
                  <c:v>47</c:v>
                </c:pt>
              </c:numCache>
            </c:numRef>
          </c:val>
        </c:ser>
        <c:dLbls/>
        <c:axId val="61709312"/>
        <c:axId val="61723392"/>
      </c:barChart>
      <c:lineChart>
        <c:grouping val="standard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  <c:pt idx="7">
                  <c:v>24.6</c:v>
                </c:pt>
              </c:numCache>
            </c:numRef>
          </c:val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</c:ser>
        <c:dLbls/>
        <c:marker val="1"/>
        <c:axId val="61709312"/>
        <c:axId val="61723392"/>
      </c:lineChart>
      <c:catAx>
        <c:axId val="61709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723392"/>
        <c:crosses val="autoZero"/>
        <c:auto val="1"/>
        <c:lblAlgn val="ctr"/>
        <c:lblOffset val="100"/>
      </c:catAx>
      <c:valAx>
        <c:axId val="617233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7093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818246609513238E-2"/>
          <c:y val="0.16700683796104437"/>
          <c:w val="0.76094748600289219"/>
          <c:h val="0.70557362895427544"/>
        </c:manualLayout>
      </c:layout>
      <c:barChart>
        <c:barDir val="col"/>
        <c:grouping val="clustered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  <c:pt idx="7">
                  <c:v>43.4</c:v>
                </c:pt>
              </c:numCache>
            </c:numRef>
          </c:val>
        </c:ser>
        <c:dLbls/>
        <c:axId val="61762944"/>
        <c:axId val="61772928"/>
      </c:barChart>
      <c:lineChart>
        <c:grouping val="standard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  <c:pt idx="7">
                  <c:v>23.6</c:v>
                </c:pt>
              </c:numCache>
            </c:numRef>
          </c:val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</c:ser>
        <c:dLbls/>
        <c:marker val="1"/>
        <c:axId val="61762944"/>
        <c:axId val="61772928"/>
      </c:lineChart>
      <c:catAx>
        <c:axId val="617629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1772928"/>
        <c:crosses val="autoZero"/>
        <c:auto val="1"/>
        <c:lblAlgn val="ctr"/>
        <c:lblOffset val="100"/>
      </c:catAx>
      <c:valAx>
        <c:axId val="617729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1762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Missed Pendings</a:t>
            </a:r>
          </a:p>
        </c:rich>
      </c:tx>
      <c:layout>
        <c:manualLayout>
          <c:xMode val="edge"/>
          <c:yMode val="edge"/>
          <c:x val="0.31905131522207997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572E-2"/>
          <c:y val="0.1367762201032432"/>
          <c:w val="0.79009972477620127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90</c:v>
                </c:pt>
                <c:pt idx="6">
                  <c:v>93</c:v>
                </c:pt>
                <c:pt idx="7">
                  <c:v>93</c:v>
                </c:pt>
              </c:numCache>
            </c:numRef>
          </c:val>
        </c:ser>
        <c:dLbls/>
        <c:axId val="61815424"/>
        <c:axId val="61833600"/>
      </c:barChart>
      <c:catAx>
        <c:axId val="6181542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33600"/>
        <c:crosses val="autoZero"/>
        <c:auto val="1"/>
        <c:lblAlgn val="ctr"/>
        <c:lblOffset val="100"/>
        <c:tickMarkSkip val="1"/>
      </c:catAx>
      <c:valAx>
        <c:axId val="618336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 of Pendings</a:t>
                </a:r>
              </a:p>
            </c:rich>
          </c:tx>
          <c:layout>
            <c:manualLayout>
              <c:xMode val="edge"/>
              <c:yMode val="edge"/>
              <c:x val="5.8607680115319782E-3"/>
              <c:y val="0.399434760139609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1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4896783102596"/>
          <c:y val="0.49067230067780526"/>
          <c:w val="0.14937208790577969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1134039279572805E-2"/>
          <c:y val="0.1744144671872864"/>
          <c:w val="0.74272109089812155"/>
          <c:h val="0.65368297652610419"/>
        </c:manualLayout>
      </c:layout>
      <c:barChart>
        <c:barDir val="col"/>
        <c:grouping val="clustered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  <c:pt idx="6">
                  <c:v>5</c:v>
                </c:pt>
                <c:pt idx="7">
                  <c:v>15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axId val="65534208"/>
        <c:axId val="65564672"/>
      </c:barChart>
      <c:lineChart>
        <c:grouping val="standard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1754</c:v>
                </c:pt>
                <c:pt idx="3">
                  <c:v>2579</c:v>
                </c:pt>
                <c:pt idx="4">
                  <c:v>2436</c:v>
                </c:pt>
                <c:pt idx="5">
                  <c:v>2481</c:v>
                </c:pt>
                <c:pt idx="6">
                  <c:v>2376</c:v>
                </c:pt>
                <c:pt idx="7">
                  <c:v>2134</c:v>
                </c:pt>
              </c:numCache>
            </c:numRef>
          </c:val>
        </c:ser>
        <c:marker val="1"/>
        <c:axId val="65591936"/>
        <c:axId val="65590400"/>
      </c:lineChart>
      <c:catAx>
        <c:axId val="65534208"/>
        <c:scaling>
          <c:orientation val="minMax"/>
        </c:scaling>
        <c:axPos val="b"/>
        <c:tickLblPos val="nextTo"/>
        <c:crossAx val="65564672"/>
        <c:crosses val="autoZero"/>
        <c:auto val="1"/>
        <c:lblAlgn val="ctr"/>
        <c:lblOffset val="100"/>
      </c:catAx>
      <c:valAx>
        <c:axId val="65564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</c:title>
        <c:numFmt formatCode="General" sourceLinked="1"/>
        <c:tickLblPos val="nextTo"/>
        <c:crossAx val="65534208"/>
        <c:crosses val="autoZero"/>
        <c:crossBetween val="between"/>
      </c:valAx>
      <c:valAx>
        <c:axId val="65590400"/>
        <c:scaling>
          <c:orientation val="minMax"/>
        </c:scaling>
        <c:axPos val="r"/>
        <c:numFmt formatCode="General" sourceLinked="1"/>
        <c:tickLblPos val="nextTo"/>
        <c:crossAx val="65591936"/>
        <c:crosses val="max"/>
        <c:crossBetween val="between"/>
      </c:valAx>
      <c:catAx>
        <c:axId val="65591936"/>
        <c:scaling>
          <c:orientation val="minMax"/>
        </c:scaling>
        <c:delete val="1"/>
        <c:axPos val="b"/>
        <c:tickLblPos val="none"/>
        <c:crossAx val="65590400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85129900141792669"/>
          <c:y val="0.34626063401913804"/>
          <c:w val="0.14103816333303171"/>
          <c:h val="0.42581262651735102"/>
        </c:manualLayout>
      </c:layout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922880402661526E-2"/>
          <c:y val="0.14131841832113559"/>
          <c:w val="0.80894663590779969"/>
          <c:h val="0.65507659149659203"/>
        </c:manualLayout>
      </c:layout>
      <c:barChart>
        <c:barDir val="col"/>
        <c:grouping val="clustered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dLbls/>
        <c:axId val="61854464"/>
        <c:axId val="61856000"/>
      </c:barChart>
      <c:catAx>
        <c:axId val="6185446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56000"/>
        <c:crosses val="autoZero"/>
        <c:auto val="1"/>
        <c:lblAlgn val="ctr"/>
        <c:lblOffset val="100"/>
      </c:catAx>
      <c:valAx>
        <c:axId val="61856000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544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2369591344335187E-2"/>
          <c:y val="0.16036451443569555"/>
          <c:w val="0.75873909834411135"/>
          <c:h val="0.69488243173143149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36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  <c:pt idx="7">
                  <c:v>31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/>
        <c:axId val="61913728"/>
        <c:axId val="61923712"/>
      </c:barChart>
      <c:catAx>
        <c:axId val="61913728"/>
        <c:scaling>
          <c:orientation val="minMax"/>
        </c:scaling>
        <c:axPos val="b"/>
        <c:tickLblPos val="nextTo"/>
        <c:crossAx val="61923712"/>
        <c:crosses val="autoZero"/>
        <c:auto val="1"/>
        <c:lblAlgn val="ctr"/>
        <c:lblOffset val="100"/>
      </c:catAx>
      <c:valAx>
        <c:axId val="619237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crossAx val="6191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  <c:dispBlanksAs val="gap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610427789295779E-2"/>
          <c:y val="0.19894826976415189"/>
          <c:w val="0.80402845960762404"/>
          <c:h val="0.6474778950503528"/>
        </c:manualLayout>
      </c:layout>
      <c:barChart>
        <c:barDir val="col"/>
        <c:grouping val="clustered"/>
        <c:ser>
          <c:idx val="0"/>
          <c:order val="0"/>
          <c:tx>
            <c:v>Duplicate MRN's</c:v>
          </c:tx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</c:numCache>
            </c:numRef>
          </c:val>
        </c:ser>
        <c:axId val="65039744"/>
        <c:axId val="65057536"/>
      </c:barChart>
      <c:catAx>
        <c:axId val="650397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057536"/>
        <c:crosses val="autoZero"/>
        <c:auto val="1"/>
        <c:lblAlgn val="ctr"/>
        <c:lblOffset val="100"/>
      </c:catAx>
      <c:valAx>
        <c:axId val="6505753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039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57"/>
          <c:w val="0.13349618473679897"/>
          <c:h val="0.14696412948381454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0.1558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3223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0/Month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0.14676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2336" y="106635"/>
          <a:ext cx="2339044" cy="2648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0.13768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2780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0.76923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71999" y="93128"/>
          <a:ext cx="1248865" cy="259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0.23077</cdr:x>
      <cdr:y>0.06647</cdr:y>
    </cdr:from>
    <cdr:to>
      <cdr:x>0.76122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71601" y="155749"/>
          <a:ext cx="3152774" cy="247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Northern Arizona Healthcare</cp:lastModifiedBy>
  <cp:revision>6</cp:revision>
  <dcterms:created xsi:type="dcterms:W3CDTF">2014-09-23T20:13:00Z</dcterms:created>
  <dcterms:modified xsi:type="dcterms:W3CDTF">2014-09-28T17:32:00Z</dcterms:modified>
</cp:coreProperties>
</file>