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drawings/drawing8.xml" ContentType="application/vnd.openxmlformats-officedocument.drawingml.chartshapes+xml"/>
  <Override PartName="/word/charts/chart9.xml" ContentType="application/vnd.openxmlformats-officedocument.drawingml.chart+xml"/>
  <Override PartName="/word/drawings/drawing9.xml" ContentType="application/vnd.openxmlformats-officedocument.drawingml.chartshapes+xml"/>
  <Override PartName="/word/charts/chart10.xml" ContentType="application/vnd.openxmlformats-officedocument.drawingml.chart+xml"/>
  <Override PartName="/word/drawings/drawing10.xml" ContentType="application/vnd.openxmlformats-officedocument.drawingml.chartshapes+xml"/>
  <Override PartName="/word/charts/chart11.xml" ContentType="application/vnd.openxmlformats-officedocument.drawingml.chart+xml"/>
  <Override PartName="/word/drawings/drawing11.xml" ContentType="application/vnd.openxmlformats-officedocument.drawingml.chartshapes+xml"/>
  <Override PartName="/word/charts/chart12.xml" ContentType="application/vnd.openxmlformats-officedocument.drawingml.chart+xml"/>
  <Override PartName="/word/drawings/drawing12.xml" ContentType="application/vnd.openxmlformats-officedocument.drawingml.chartshapes+xml"/>
  <Override PartName="/word/charts/chart13.xml" ContentType="application/vnd.openxmlformats-officedocument.drawingml.chart+xml"/>
  <Override PartName="/word/drawings/drawing13.xml" ContentType="application/vnd.openxmlformats-officedocument.drawingml.chartshapes+xml"/>
  <Override PartName="/word/charts/chart14.xml" ContentType="application/vnd.openxmlformats-officedocument.drawingml.chart+xml"/>
  <Override PartName="/word/drawings/drawing14.xml" ContentType="application/vnd.openxmlformats-officedocument.drawingml.chartshapes+xml"/>
  <Override PartName="/word/charts/chart15.xml" ContentType="application/vnd.openxmlformats-officedocument.drawingml.chart+xml"/>
  <Override PartName="/word/drawings/drawing15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93" w:rsidRDefault="007F3A24">
      <w:r>
        <w:rPr>
          <w:noProof/>
        </w:rPr>
        <w:drawing>
          <wp:inline distT="0" distB="0" distL="0" distR="0" wp14:anchorId="68DFB972" wp14:editId="4FA35244">
            <wp:extent cx="5943600" cy="2445385"/>
            <wp:effectExtent l="0" t="0" r="19050" b="1206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533356">
        <w:rPr>
          <w:noProof/>
        </w:rPr>
        <w:drawing>
          <wp:inline distT="0" distB="0" distL="0" distR="0" wp14:anchorId="0E9CA891" wp14:editId="1935DB42">
            <wp:extent cx="5943600" cy="2352040"/>
            <wp:effectExtent l="0" t="0" r="19050" b="1016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387083">
        <w:rPr>
          <w:noProof/>
        </w:rPr>
        <w:drawing>
          <wp:inline distT="0" distB="0" distL="0" distR="0" wp14:anchorId="71EE46D5" wp14:editId="667104EA">
            <wp:extent cx="5943600" cy="2359025"/>
            <wp:effectExtent l="0" t="0" r="19050" b="222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CA450E">
        <w:rPr>
          <w:noProof/>
        </w:rPr>
        <w:lastRenderedPageBreak/>
        <w:drawing>
          <wp:inline distT="0" distB="0" distL="0" distR="0" wp14:anchorId="10618695" wp14:editId="549BA65E">
            <wp:extent cx="5943600" cy="2490470"/>
            <wp:effectExtent l="0" t="0" r="19050" b="2413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6F0280">
        <w:rPr>
          <w:noProof/>
        </w:rPr>
        <w:drawing>
          <wp:inline distT="0" distB="0" distL="0" distR="0" wp14:anchorId="1FA054EC" wp14:editId="4DDEDA6D">
            <wp:extent cx="5943600" cy="2567305"/>
            <wp:effectExtent l="0" t="0" r="19050" b="2349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6F0280">
        <w:rPr>
          <w:noProof/>
        </w:rPr>
        <w:drawing>
          <wp:inline distT="0" distB="0" distL="0" distR="0" wp14:anchorId="4A5936AD" wp14:editId="1598FACF">
            <wp:extent cx="5943600" cy="2476500"/>
            <wp:effectExtent l="0" t="0" r="19050" b="190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745A5D">
        <w:rPr>
          <w:noProof/>
        </w:rPr>
        <w:lastRenderedPageBreak/>
        <w:drawing>
          <wp:inline distT="0" distB="0" distL="0" distR="0" wp14:anchorId="1A5E38AC" wp14:editId="0CD4DB0A">
            <wp:extent cx="5943600" cy="2531110"/>
            <wp:effectExtent l="0" t="0" r="19050" b="2159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AE187B">
        <w:rPr>
          <w:noProof/>
        </w:rPr>
        <w:drawing>
          <wp:inline distT="0" distB="0" distL="0" distR="0" wp14:anchorId="192CC3CF" wp14:editId="3FC62ACA">
            <wp:extent cx="5943600" cy="2529840"/>
            <wp:effectExtent l="0" t="0" r="19050" b="2286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1B4A3E">
        <w:rPr>
          <w:noProof/>
        </w:rPr>
        <w:drawing>
          <wp:inline distT="0" distB="0" distL="0" distR="0" wp14:anchorId="66DE8BF4" wp14:editId="4294B340">
            <wp:extent cx="5943600" cy="2566035"/>
            <wp:effectExtent l="0" t="0" r="19050" b="2476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DF1353">
        <w:rPr>
          <w:noProof/>
        </w:rPr>
        <w:lastRenderedPageBreak/>
        <w:drawing>
          <wp:inline distT="0" distB="0" distL="0" distR="0" wp14:anchorId="0FA100C2" wp14:editId="3B6F3397">
            <wp:extent cx="5943600" cy="2760345"/>
            <wp:effectExtent l="0" t="0" r="19050" b="2095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814493" w:rsidRPr="00814493">
        <w:rPr>
          <w:noProof/>
        </w:rPr>
        <w:t xml:space="preserve"> </w:t>
      </w:r>
      <w:r w:rsidR="00814493">
        <w:rPr>
          <w:noProof/>
        </w:rPr>
        <w:drawing>
          <wp:inline distT="0" distB="0" distL="0" distR="0" wp14:anchorId="2BB61BD7" wp14:editId="56FB5EAF">
            <wp:extent cx="5943600" cy="2467610"/>
            <wp:effectExtent l="0" t="0" r="19050" b="2794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F6251C">
        <w:rPr>
          <w:noProof/>
        </w:rPr>
        <w:drawing>
          <wp:inline distT="0" distB="0" distL="0" distR="0" wp14:anchorId="49671698" wp14:editId="2DC4D0A9">
            <wp:extent cx="5943600" cy="2505710"/>
            <wp:effectExtent l="0" t="0" r="19050" b="2794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F6251C">
        <w:rPr>
          <w:noProof/>
        </w:rPr>
        <w:lastRenderedPageBreak/>
        <w:drawing>
          <wp:inline distT="0" distB="0" distL="0" distR="0" wp14:anchorId="78FEFC53" wp14:editId="70927BAA">
            <wp:extent cx="5943600" cy="2597150"/>
            <wp:effectExtent l="0" t="0" r="19050" b="1270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F57231">
        <w:rPr>
          <w:noProof/>
        </w:rPr>
        <w:drawing>
          <wp:inline distT="0" distB="0" distL="0" distR="0" wp14:anchorId="3F60534C" wp14:editId="36F415AB">
            <wp:extent cx="5943600" cy="2305050"/>
            <wp:effectExtent l="0" t="0" r="19050" b="1905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BC0950">
        <w:rPr>
          <w:noProof/>
        </w:rPr>
        <w:drawing>
          <wp:inline distT="0" distB="0" distL="0" distR="0" wp14:anchorId="424D0D48" wp14:editId="3C4B7391">
            <wp:extent cx="5943600" cy="2600960"/>
            <wp:effectExtent l="0" t="0" r="19050" b="2794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bookmarkStart w:id="0" w:name="_GoBack"/>
      <w:bookmarkEnd w:id="0"/>
    </w:p>
    <w:sectPr w:rsidR="00814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24"/>
    <w:rsid w:val="001B4A3E"/>
    <w:rsid w:val="003510E5"/>
    <w:rsid w:val="00387083"/>
    <w:rsid w:val="00407023"/>
    <w:rsid w:val="00533356"/>
    <w:rsid w:val="005A327D"/>
    <w:rsid w:val="006B2AA5"/>
    <w:rsid w:val="006F0280"/>
    <w:rsid w:val="00745A5D"/>
    <w:rsid w:val="007604D1"/>
    <w:rsid w:val="007F3A24"/>
    <w:rsid w:val="00811B5F"/>
    <w:rsid w:val="00814493"/>
    <w:rsid w:val="008C4620"/>
    <w:rsid w:val="00AE187B"/>
    <w:rsid w:val="00BC0950"/>
    <w:rsid w:val="00CA450E"/>
    <w:rsid w:val="00CF724F"/>
    <w:rsid w:val="00DF1353"/>
    <w:rsid w:val="00E071FA"/>
    <w:rsid w:val="00E37C61"/>
    <w:rsid w:val="00F57231"/>
    <w:rsid w:val="00F6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fmdata01\Sdrive\shared\VVMC%20LAB%202\QA\Heme%20QA's\Protime%20TAT\2014%20Data\PT%20TAT%202014.xls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\\fmdata01\Sdrive\shared\VVMC%20LAB%202\QA\Gen%20Lab%20QA's\ED%20Redraws\2014%20ED%20Redraws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oleObject" Target="file:///\\fmdata01\Sdrive\shared\VVMC%20LAB%202\QA\Gen%20Lab%20QA's\Pending%20QA\Pending%20QA%202014.xlsx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oleObject" Target="file:///\\fmdata01\Sdrive\shared\VVMC%20LAB%202\QA\Safety%20QA's\2014\2014%20lab%20safety%20qa.xlsx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oleObject" Target="file:///\\fmdata01\Sdrive\shared\VVMC%20LAB%202\QA\Safety%20QA's\2014\2014%20lab%20safety%20qa.xlsx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.xml"/><Relationship Id="rId1" Type="http://schemas.openxmlformats.org/officeDocument/2006/relationships/oleObject" Target="file:///\\fmdata01\Sdrive\shared\VVMC%20LAB%202\QA\Phlebotomy\Outpatient%20Redraw%20QA\2014%20OP%20Redraws.xlsx" TargetMode="Externa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5.xml"/><Relationship Id="rId1" Type="http://schemas.openxmlformats.org/officeDocument/2006/relationships/oleObject" Target="file:///\\fmdata01\Sdrive\shared\VVMC%20LAB%202\QA\Gen%20Lab%20QA's\RBV%20QA\RBV%20QA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fmdata01\Sdrive\shared\VVMC%20LAB%202\QA\Heme%20QA's\Hgb%20TAT\2014%20Data\Hgb%20TAT%202014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fmdata01\Sdrive\shared\VVMC%20LAB%202\QA\Chemistry%20QA's\Trop%20QA\2014%20Data\2014%20Trop%20TAT.xls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\\fmdata01\Sdrive\shared\VVMC%20LAB%202\QA\Chemistry%20QA's\K%20QA\2014%20Data\K%20TAT%202014.xls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\\fmdata01\Sdrive\shared\VVMC%20LAB%202\QA\Microbiology%20QA's\blood%20culture%20contamination%20rate\2014%20bc%20contam%20rate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\\fmdata01\Sdrive\shared\VVMC%20LAB%202\QA\Microbiology%20QA's\Blood%20Culture%20Volume%20QA\2014%20Blood%20Culture%20Volume%20QA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\\fmdata01\Sdrive\shared\VVMC%20LAB%202\QA\Gen%20Lab%20QA's\Corrected%20Activity%20QA\Corrected%20Report%20QA%202014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\\fmdata01\Sdrive\shared\VVMC%20LAB%202\QA\Phlebotomy\Duplicate%20MRN's\DUPLICATE%20MRN's.xls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\\fmdata01\Sdrive\shared\VVMC%20LAB%202\QA\Phlebotomy\Mislabeled%20Specimen%20QA\2014%20Mislabled%20Specimen%20Q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6990855442432759E-2"/>
          <c:y val="0.14921126939111837"/>
          <c:w val="0.77433425280438672"/>
          <c:h val="0.74392311855959636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39</c:v>
                </c:pt>
                <c:pt idx="1">
                  <c:v>35.1</c:v>
                </c:pt>
                <c:pt idx="2">
                  <c:v>39.299999999999997</c:v>
                </c:pt>
                <c:pt idx="3">
                  <c:v>38.799999999999997</c:v>
                </c:pt>
                <c:pt idx="4">
                  <c:v>37.200000000000003</c:v>
                </c:pt>
                <c:pt idx="5">
                  <c:v>34.5</c:v>
                </c:pt>
                <c:pt idx="6">
                  <c:v>36.9</c:v>
                </c:pt>
                <c:pt idx="7">
                  <c:v>35.1</c:v>
                </c:pt>
                <c:pt idx="8">
                  <c:v>37.6</c:v>
                </c:pt>
                <c:pt idx="9">
                  <c:v>37.4</c:v>
                </c:pt>
                <c:pt idx="10">
                  <c:v>38</c:v>
                </c:pt>
                <c:pt idx="11">
                  <c:v>35.200000000000003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914368"/>
        <c:axId val="25928448"/>
      </c:barChart>
      <c:lineChart>
        <c:grouping val="standard"/>
        <c:varyColors val="0"/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15</c:v>
                </c:pt>
                <c:pt idx="1">
                  <c:v>14.5</c:v>
                </c:pt>
                <c:pt idx="2">
                  <c:v>15.5</c:v>
                </c:pt>
                <c:pt idx="3">
                  <c:v>16.2</c:v>
                </c:pt>
                <c:pt idx="4">
                  <c:v>13.5</c:v>
                </c:pt>
                <c:pt idx="5">
                  <c:v>11.6</c:v>
                </c:pt>
                <c:pt idx="6">
                  <c:v>14.2</c:v>
                </c:pt>
                <c:pt idx="7">
                  <c:v>13.4</c:v>
                </c:pt>
                <c:pt idx="8">
                  <c:v>13.5</c:v>
                </c:pt>
                <c:pt idx="9">
                  <c:v>14.7</c:v>
                </c:pt>
                <c:pt idx="10">
                  <c:v>14</c:v>
                </c:pt>
                <c:pt idx="11">
                  <c:v>12.6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Charts!$E$2</c:f>
              <c:strCache>
                <c:ptCount val="1"/>
                <c:pt idx="0">
                  <c:v>Target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Charts!$E$3:$E$14</c:f>
              <c:numCache>
                <c:formatCode>General</c:formatCode>
                <c:ptCount val="12"/>
                <c:pt idx="0">
                  <c:v>22</c:v>
                </c:pt>
                <c:pt idx="1">
                  <c:v>22</c:v>
                </c:pt>
                <c:pt idx="2">
                  <c:v>22</c:v>
                </c:pt>
                <c:pt idx="3">
                  <c:v>22</c:v>
                </c:pt>
                <c:pt idx="4">
                  <c:v>22</c:v>
                </c:pt>
                <c:pt idx="5">
                  <c:v>22</c:v>
                </c:pt>
                <c:pt idx="6">
                  <c:v>22</c:v>
                </c:pt>
                <c:pt idx="7">
                  <c:v>22</c:v>
                </c:pt>
                <c:pt idx="8">
                  <c:v>22</c:v>
                </c:pt>
                <c:pt idx="9">
                  <c:v>22</c:v>
                </c:pt>
                <c:pt idx="10">
                  <c:v>22</c:v>
                </c:pt>
                <c:pt idx="11">
                  <c:v>22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914368"/>
        <c:axId val="25928448"/>
      </c:lineChart>
      <c:catAx>
        <c:axId val="25914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5928448"/>
        <c:crosses val="autoZero"/>
        <c:auto val="1"/>
        <c:lblAlgn val="ctr"/>
        <c:lblOffset val="100"/>
        <c:noMultiLvlLbl val="0"/>
      </c:catAx>
      <c:valAx>
        <c:axId val="2592844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Minutes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59143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299727502215094"/>
          <c:y val="0.34652695650397786"/>
          <c:w val="0.14681164217530129"/>
          <c:h val="0.48886535249050761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ED Redraws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6.2369591344335173E-2"/>
          <c:y val="0.16036451443569555"/>
          <c:w val="0.75873909834411113"/>
          <c:h val="0.69488243173143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Chart!$B$2</c:f>
              <c:strCache>
                <c:ptCount val="1"/>
                <c:pt idx="0">
                  <c:v>Total Redraws</c:v>
                </c:pt>
              </c:strCache>
            </c:strRef>
          </c:tx>
          <c:invertIfNegative val="0"/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Chart!$B$3:$B$14</c:f>
              <c:numCache>
                <c:formatCode>General</c:formatCode>
                <c:ptCount val="12"/>
                <c:pt idx="0">
                  <c:v>14</c:v>
                </c:pt>
                <c:pt idx="1">
                  <c:v>18</c:v>
                </c:pt>
                <c:pt idx="2">
                  <c:v>19</c:v>
                </c:pt>
                <c:pt idx="3">
                  <c:v>14</c:v>
                </c:pt>
                <c:pt idx="4">
                  <c:v>24</c:v>
                </c:pt>
                <c:pt idx="5">
                  <c:v>18</c:v>
                </c:pt>
                <c:pt idx="6">
                  <c:v>24</c:v>
                </c:pt>
                <c:pt idx="7">
                  <c:v>36</c:v>
                </c:pt>
                <c:pt idx="8">
                  <c:v>28</c:v>
                </c:pt>
                <c:pt idx="9">
                  <c:v>27</c:v>
                </c:pt>
                <c:pt idx="10">
                  <c:v>26</c:v>
                </c:pt>
                <c:pt idx="11">
                  <c:v>16</c:v>
                </c:pt>
              </c:numCache>
            </c:numRef>
          </c:val>
        </c:ser>
        <c:ser>
          <c:idx val="1"/>
          <c:order val="1"/>
          <c:tx>
            <c:strRef>
              <c:f>Chart!$C$2</c:f>
              <c:strCache>
                <c:ptCount val="1"/>
                <c:pt idx="0">
                  <c:v>Hemolysis</c:v>
                </c:pt>
              </c:strCache>
            </c:strRef>
          </c:tx>
          <c:invertIfNegative val="0"/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Chart!$C$3:$C$14</c:f>
              <c:numCache>
                <c:formatCode>General</c:formatCode>
                <c:ptCount val="12"/>
                <c:pt idx="0">
                  <c:v>5</c:v>
                </c:pt>
                <c:pt idx="1">
                  <c:v>15</c:v>
                </c:pt>
                <c:pt idx="2">
                  <c:v>17</c:v>
                </c:pt>
                <c:pt idx="3">
                  <c:v>13</c:v>
                </c:pt>
                <c:pt idx="4">
                  <c:v>20</c:v>
                </c:pt>
                <c:pt idx="5">
                  <c:v>14</c:v>
                </c:pt>
                <c:pt idx="6">
                  <c:v>13</c:v>
                </c:pt>
                <c:pt idx="7">
                  <c:v>31</c:v>
                </c:pt>
                <c:pt idx="8">
                  <c:v>17</c:v>
                </c:pt>
                <c:pt idx="9">
                  <c:v>24</c:v>
                </c:pt>
                <c:pt idx="10">
                  <c:v>17</c:v>
                </c:pt>
                <c:pt idx="11">
                  <c:v>16</c:v>
                </c:pt>
              </c:numCache>
            </c:numRef>
          </c:val>
        </c:ser>
        <c:ser>
          <c:idx val="2"/>
          <c:order val="2"/>
          <c:tx>
            <c:strRef>
              <c:f>Chart!$D$2</c:f>
              <c:strCache>
                <c:ptCount val="1"/>
                <c:pt idx="0">
                  <c:v>Clotted</c:v>
                </c:pt>
              </c:strCache>
            </c:strRef>
          </c:tx>
          <c:invertIfNegative val="0"/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Chart!$D$3:$D$14</c:f>
              <c:numCache>
                <c:formatCode>General</c:formatCode>
                <c:ptCount val="12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5</c:v>
                </c:pt>
                <c:pt idx="7">
                  <c:v>4</c:v>
                </c:pt>
                <c:pt idx="8">
                  <c:v>8</c:v>
                </c:pt>
                <c:pt idx="9">
                  <c:v>2</c:v>
                </c:pt>
                <c:pt idx="10">
                  <c:v>6</c:v>
                </c:pt>
                <c:pt idx="11">
                  <c:v>0</c:v>
                </c:pt>
              </c:numCache>
            </c:numRef>
          </c:val>
        </c:ser>
        <c:ser>
          <c:idx val="3"/>
          <c:order val="3"/>
          <c:tx>
            <c:strRef>
              <c:f>Chart!$E$2</c:f>
              <c:strCache>
                <c:ptCount val="1"/>
                <c:pt idx="0">
                  <c:v>QNS</c:v>
                </c:pt>
              </c:strCache>
            </c:strRef>
          </c:tx>
          <c:invertIfNegative val="0"/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Chart!$E$3:$E$14</c:f>
              <c:numCache>
                <c:formatCode>General</c:formatCode>
                <c:ptCount val="12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2</c:v>
                </c:pt>
                <c:pt idx="11">
                  <c:v>0</c:v>
                </c:pt>
              </c:numCache>
            </c:numRef>
          </c:val>
        </c:ser>
        <c:ser>
          <c:idx val="4"/>
          <c:order val="4"/>
          <c:tx>
            <c:strRef>
              <c:f>Chart!$F$2</c:f>
              <c:strCache>
                <c:ptCount val="1"/>
                <c:pt idx="0">
                  <c:v>Contam</c:v>
                </c:pt>
              </c:strCache>
            </c:strRef>
          </c:tx>
          <c:invertIfNegative val="0"/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Chart!$F$3:$F$14</c:f>
              <c:numCache>
                <c:formatCode>General</c:formatCode>
                <c:ptCount val="12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6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</c:ser>
        <c:ser>
          <c:idx val="5"/>
          <c:order val="5"/>
          <c:tx>
            <c:strRef>
              <c:f>Chart!#REF!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557312"/>
        <c:axId val="76563200"/>
      </c:barChart>
      <c:catAx>
        <c:axId val="76557312"/>
        <c:scaling>
          <c:orientation val="minMax"/>
        </c:scaling>
        <c:delete val="0"/>
        <c:axPos val="b"/>
        <c:majorTickMark val="out"/>
        <c:minorTickMark val="none"/>
        <c:tickLblPos val="nextTo"/>
        <c:crossAx val="76563200"/>
        <c:crosses val="autoZero"/>
        <c:auto val="1"/>
        <c:lblAlgn val="ctr"/>
        <c:lblOffset val="100"/>
        <c:noMultiLvlLbl val="0"/>
      </c:catAx>
      <c:valAx>
        <c:axId val="765632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# of ED</a:t>
                </a:r>
                <a:r>
                  <a:rPr lang="en-US" baseline="0"/>
                  <a:t> Redraws</a:t>
                </a:r>
                <a:endParaRPr lang="en-US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765573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888274369234739"/>
          <c:y val="0.34754682213395932"/>
          <c:w val="0.12580830296591236"/>
          <c:h val="0.4267354191345553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2014 # of Missed Pendings</a:t>
            </a:r>
          </a:p>
        </c:rich>
      </c:tx>
      <c:layout>
        <c:manualLayout>
          <c:xMode val="edge"/>
          <c:yMode val="edge"/>
          <c:x val="0.22930765865805236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7733413854242544E-2"/>
          <c:y val="0.16765615311982041"/>
          <c:w val="0.79009972477620127"/>
          <c:h val="0.656774368721151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Charts!$B$2</c:f>
              <c:strCache>
                <c:ptCount val="1"/>
                <c:pt idx="0">
                  <c:v># of Missed Pendings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8</c:v>
                </c:pt>
                <c:pt idx="1">
                  <c:v>5</c:v>
                </c:pt>
                <c:pt idx="2">
                  <c:v>14</c:v>
                </c:pt>
                <c:pt idx="3">
                  <c:v>5</c:v>
                </c:pt>
                <c:pt idx="4">
                  <c:v>6</c:v>
                </c:pt>
                <c:pt idx="5">
                  <c:v>6</c:v>
                </c:pt>
                <c:pt idx="6">
                  <c:v>7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2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# shifts checked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93</c:v>
                </c:pt>
                <c:pt idx="1">
                  <c:v>84</c:v>
                </c:pt>
                <c:pt idx="2">
                  <c:v>93</c:v>
                </c:pt>
                <c:pt idx="3">
                  <c:v>90</c:v>
                </c:pt>
                <c:pt idx="4">
                  <c:v>93</c:v>
                </c:pt>
                <c:pt idx="5">
                  <c:v>90</c:v>
                </c:pt>
                <c:pt idx="6">
                  <c:v>93</c:v>
                </c:pt>
                <c:pt idx="7">
                  <c:v>93</c:v>
                </c:pt>
                <c:pt idx="8">
                  <c:v>90</c:v>
                </c:pt>
                <c:pt idx="9">
                  <c:v>93</c:v>
                </c:pt>
                <c:pt idx="10">
                  <c:v>90</c:v>
                </c:pt>
                <c:pt idx="11">
                  <c:v>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599296"/>
        <c:axId val="76600832"/>
      </c:barChart>
      <c:catAx>
        <c:axId val="76599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6600832"/>
        <c:crosses val="autoZero"/>
        <c:auto val="1"/>
        <c:lblAlgn val="ctr"/>
        <c:lblOffset val="100"/>
        <c:tickMarkSkip val="1"/>
        <c:noMultiLvlLbl val="0"/>
      </c:catAx>
      <c:valAx>
        <c:axId val="766008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b="1"/>
                  <a:t># of Pendings</a:t>
                </a:r>
              </a:p>
            </c:rich>
          </c:tx>
          <c:layout>
            <c:manualLayout>
              <c:xMode val="edge"/>
              <c:yMode val="edge"/>
              <c:x val="5.8607680115319765E-3"/>
              <c:y val="0.3994347601396089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6599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50629248267041"/>
          <c:y val="0.3722680610869587"/>
          <c:w val="0.13441483276128943"/>
          <c:h val="0.34532604422903129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2411722420047914E-2"/>
          <c:y val="0.15436647706103124"/>
          <c:w val="0.72549320575434351"/>
          <c:h val="0.727051673745833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'2014 data and chart'!$B$36</c:f>
              <c:strCache>
                <c:ptCount val="1"/>
                <c:pt idx="0">
                  <c:v>No PPE</c:v>
                </c:pt>
              </c:strCache>
            </c:strRef>
          </c:tx>
          <c:invertIfNegative val="0"/>
          <c:cat>
            <c:strRef>
              <c:f>'2014 data and chart'!$A$37:$A$48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'2014 data and chart'!$B$37:$B$48</c:f>
              <c:numCache>
                <c:formatCode>General</c:formatCode>
                <c:ptCount val="12"/>
                <c:pt idx="2">
                  <c:v>4</c:v>
                </c:pt>
                <c:pt idx="3">
                  <c:v>1</c:v>
                </c:pt>
                <c:pt idx="5">
                  <c:v>1</c:v>
                </c:pt>
                <c:pt idx="7">
                  <c:v>1</c:v>
                </c:pt>
              </c:numCache>
            </c:numRef>
          </c:val>
        </c:ser>
        <c:ser>
          <c:idx val="1"/>
          <c:order val="1"/>
          <c:tx>
            <c:strRef>
              <c:f>'2014 data and chart'!$C$36</c:f>
              <c:strCache>
                <c:ptCount val="1"/>
                <c:pt idx="0">
                  <c:v>No Handwashing </c:v>
                </c:pt>
              </c:strCache>
            </c:strRef>
          </c:tx>
          <c:invertIfNegative val="0"/>
          <c:cat>
            <c:strRef>
              <c:f>'2014 data and chart'!$A$37:$A$48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'2014 data and chart'!$C$37:$C$48</c:f>
              <c:numCache>
                <c:formatCode>General</c:formatCode>
                <c:ptCount val="12"/>
              </c:numCache>
            </c:numRef>
          </c:val>
        </c:ser>
        <c:ser>
          <c:idx val="2"/>
          <c:order val="2"/>
          <c:tx>
            <c:strRef>
              <c:f>'2014 data and chart'!$D$36</c:f>
              <c:strCache>
                <c:ptCount val="1"/>
                <c:pt idx="0">
                  <c:v>Gloves/Coats in Clean Areas</c:v>
                </c:pt>
              </c:strCache>
            </c:strRef>
          </c:tx>
          <c:invertIfNegative val="0"/>
          <c:cat>
            <c:strRef>
              <c:f>'2014 data and chart'!$A$37:$A$48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'2014 data and chart'!$D$37:$D$48</c:f>
              <c:numCache>
                <c:formatCode>General</c:formatCode>
                <c:ptCount val="12"/>
                <c:pt idx="11">
                  <c:v>1</c:v>
                </c:pt>
              </c:numCache>
            </c:numRef>
          </c:val>
        </c:ser>
        <c:ser>
          <c:idx val="3"/>
          <c:order val="3"/>
          <c:tx>
            <c:strRef>
              <c:f>'2014 data and chart'!$E$36</c:f>
              <c:strCache>
                <c:ptCount val="1"/>
                <c:pt idx="0">
                  <c:v>Chemical Mishandling</c:v>
                </c:pt>
              </c:strCache>
            </c:strRef>
          </c:tx>
          <c:invertIfNegative val="0"/>
          <c:cat>
            <c:strRef>
              <c:f>'2014 data and chart'!$A$37:$A$48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'2014 data and chart'!$E$37:$E$48</c:f>
              <c:numCache>
                <c:formatCode>General</c:formatCode>
                <c:ptCount val="12"/>
              </c:numCache>
            </c:numRef>
          </c:val>
        </c:ser>
        <c:ser>
          <c:idx val="4"/>
          <c:order val="4"/>
          <c:tx>
            <c:strRef>
              <c:f>'2014 data and chart'!$F$36</c:f>
              <c:strCache>
                <c:ptCount val="1"/>
                <c:pt idx="0">
                  <c:v>Fumes</c:v>
                </c:pt>
              </c:strCache>
            </c:strRef>
          </c:tx>
          <c:invertIfNegative val="0"/>
          <c:cat>
            <c:strRef>
              <c:f>'2014 data and chart'!$A$37:$A$48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'2014 data and chart'!$F$37:$F$48</c:f>
              <c:numCache>
                <c:formatCode>General</c:formatCode>
                <c:ptCount val="12"/>
              </c:numCache>
            </c:numRef>
          </c:val>
        </c:ser>
        <c:ser>
          <c:idx val="5"/>
          <c:order val="5"/>
          <c:tx>
            <c:strRef>
              <c:f>'2014 data and chart'!$G$36</c:f>
              <c:strCache>
                <c:ptCount val="1"/>
                <c:pt idx="0">
                  <c:v>Eating/ chapstick</c:v>
                </c:pt>
              </c:strCache>
            </c:strRef>
          </c:tx>
          <c:invertIfNegative val="0"/>
          <c:cat>
            <c:strRef>
              <c:f>'2014 data and chart'!$A$37:$A$48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'2014 data and chart'!$G$37:$G$48</c:f>
              <c:numCache>
                <c:formatCode>General</c:formatCode>
                <c:ptCount val="12"/>
                <c:pt idx="4">
                  <c:v>1</c:v>
                </c:pt>
                <c:pt idx="1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253824"/>
        <c:axId val="76263808"/>
      </c:barChart>
      <c:catAx>
        <c:axId val="76253824"/>
        <c:scaling>
          <c:orientation val="minMax"/>
        </c:scaling>
        <c:delete val="0"/>
        <c:axPos val="b"/>
        <c:majorTickMark val="out"/>
        <c:minorTickMark val="none"/>
        <c:tickLblPos val="nextTo"/>
        <c:crossAx val="76263808"/>
        <c:crosses val="autoZero"/>
        <c:auto val="1"/>
        <c:lblAlgn val="ctr"/>
        <c:lblOffset val="100"/>
        <c:noMultiLvlLbl val="0"/>
      </c:catAx>
      <c:valAx>
        <c:axId val="76263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253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910256410256407"/>
          <c:y val="0.12871989860583016"/>
          <c:w val="0.19807692307692304"/>
          <c:h val="0.86913924732792436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Safety  % Compliance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'2014 data and chart'!$D$2</c:f>
              <c:strCache>
                <c:ptCount val="1"/>
                <c:pt idx="0">
                  <c:v>% Compliance</c:v>
                </c:pt>
              </c:strCache>
            </c:strRef>
          </c:tx>
          <c:invertIfNegative val="0"/>
          <c:cat>
            <c:strRef>
              <c:f>'2014 data and chart'!$A$3:$A$14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'2014 data and chart'!$D$3:$D$14</c:f>
              <c:numCache>
                <c:formatCode>0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76.470588235294116</c:v>
                </c:pt>
                <c:pt idx="3">
                  <c:v>95.454545454545453</c:v>
                </c:pt>
                <c:pt idx="4">
                  <c:v>95</c:v>
                </c:pt>
                <c:pt idx="5">
                  <c:v>95</c:v>
                </c:pt>
                <c:pt idx="6">
                  <c:v>100</c:v>
                </c:pt>
                <c:pt idx="7">
                  <c:v>95.454545454545453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620544"/>
        <c:axId val="76622080"/>
      </c:barChart>
      <c:catAx>
        <c:axId val="76620544"/>
        <c:scaling>
          <c:orientation val="minMax"/>
        </c:scaling>
        <c:delete val="0"/>
        <c:axPos val="b"/>
        <c:majorTickMark val="out"/>
        <c:minorTickMark val="none"/>
        <c:tickLblPos val="nextTo"/>
        <c:crossAx val="76622080"/>
        <c:crosses val="autoZero"/>
        <c:auto val="1"/>
        <c:lblAlgn val="ctr"/>
        <c:lblOffset val="100"/>
        <c:noMultiLvlLbl val="0"/>
      </c:catAx>
      <c:valAx>
        <c:axId val="76622080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766205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OP Redraws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3.8888883519402159E-2"/>
          <c:y val="0.14669657390749041"/>
          <c:w val="0.83372408430652922"/>
          <c:h val="0.705011176273595"/>
        </c:manualLayout>
      </c:layout>
      <c:barChart>
        <c:barDir val="col"/>
        <c:grouping val="clustered"/>
        <c:varyColors val="0"/>
        <c:ser>
          <c:idx val="0"/>
          <c:order val="0"/>
          <c:tx>
            <c:v>OP Redraws</c:v>
          </c:tx>
          <c:invertIfNegative val="0"/>
          <c:cat>
            <c:strRef>
              <c:f>'2014 Chart'!$A$2:$A$13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'2014 Chart'!$B$2:$B$13</c:f>
              <c:numCache>
                <c:formatCode>General</c:formatCode>
                <c:ptCount val="12"/>
                <c:pt idx="0">
                  <c:v>7</c:v>
                </c:pt>
                <c:pt idx="1">
                  <c:v>7</c:v>
                </c:pt>
                <c:pt idx="2">
                  <c:v>4</c:v>
                </c:pt>
                <c:pt idx="3">
                  <c:v>21</c:v>
                </c:pt>
                <c:pt idx="4">
                  <c:v>7</c:v>
                </c:pt>
                <c:pt idx="5">
                  <c:v>5</c:v>
                </c:pt>
                <c:pt idx="6">
                  <c:v>6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7</c:v>
                </c:pt>
                <c:pt idx="11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638848"/>
        <c:axId val="76652928"/>
      </c:barChart>
      <c:catAx>
        <c:axId val="76638848"/>
        <c:scaling>
          <c:orientation val="minMax"/>
        </c:scaling>
        <c:delete val="0"/>
        <c:axPos val="b"/>
        <c:majorTickMark val="out"/>
        <c:minorTickMark val="none"/>
        <c:tickLblPos val="nextTo"/>
        <c:crossAx val="76652928"/>
        <c:crosses val="autoZero"/>
        <c:auto val="1"/>
        <c:lblAlgn val="ctr"/>
        <c:lblOffset val="100"/>
        <c:noMultiLvlLbl val="0"/>
      </c:catAx>
      <c:valAx>
        <c:axId val="76652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6388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2014 RBV % Compliance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7.4922880402661526E-2"/>
          <c:y val="0.14131841832113556"/>
          <c:w val="0.80894663590779969"/>
          <c:h val="0.655076591496591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'2014'!$C$2</c:f>
              <c:strCache>
                <c:ptCount val="1"/>
                <c:pt idx="0">
                  <c:v>% Compliance</c:v>
                </c:pt>
              </c:strCache>
            </c:strRef>
          </c:tx>
          <c:invertIfNegative val="0"/>
          <c:cat>
            <c:strRef>
              <c:f>'2014'!$B$3:$B$14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'2014'!$C$3:$C$14</c:f>
              <c:numCache>
                <c:formatCode>0</c:formatCode>
                <c:ptCount val="12"/>
                <c:pt idx="0">
                  <c:v>100</c:v>
                </c:pt>
                <c:pt idx="1">
                  <c:v>99.4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98.6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98.7</c:v>
                </c:pt>
                <c:pt idx="10">
                  <c:v>100</c:v>
                </c:pt>
                <c:pt idx="1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62496"/>
        <c:axId val="3164032"/>
      </c:barChart>
      <c:catAx>
        <c:axId val="3162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3164032"/>
        <c:crosses val="autoZero"/>
        <c:auto val="1"/>
        <c:lblAlgn val="ctr"/>
        <c:lblOffset val="100"/>
        <c:noMultiLvlLbl val="0"/>
      </c:catAx>
      <c:valAx>
        <c:axId val="3164032"/>
        <c:scaling>
          <c:orientation val="minMax"/>
          <c:max val="100"/>
        </c:scaling>
        <c:delete val="0"/>
        <c:axPos val="l"/>
        <c:majorGridlines/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316249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32353914562179E-2"/>
          <c:y val="0.12681421131506826"/>
          <c:w val="0.7738315294857806"/>
          <c:h val="0.76764965105552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Charts!$D$2</c:f>
              <c:strCache>
                <c:ptCount val="1"/>
                <c:pt idx="0">
                  <c:v>Total  TAT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36.700000000000003</c:v>
                </c:pt>
                <c:pt idx="1">
                  <c:v>34.200000000000003</c:v>
                </c:pt>
                <c:pt idx="2">
                  <c:v>36.9</c:v>
                </c:pt>
                <c:pt idx="3">
                  <c:v>34.200000000000003</c:v>
                </c:pt>
                <c:pt idx="4">
                  <c:v>38</c:v>
                </c:pt>
                <c:pt idx="5">
                  <c:v>36.1</c:v>
                </c:pt>
                <c:pt idx="6">
                  <c:v>35.799999999999997</c:v>
                </c:pt>
                <c:pt idx="7">
                  <c:v>34.700000000000003</c:v>
                </c:pt>
                <c:pt idx="8">
                  <c:v>38.4</c:v>
                </c:pt>
                <c:pt idx="9">
                  <c:v>37.5</c:v>
                </c:pt>
                <c:pt idx="10">
                  <c:v>36.1</c:v>
                </c:pt>
                <c:pt idx="11">
                  <c:v>33.6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924800"/>
        <c:axId val="74926336"/>
      </c:barChart>
      <c:lineChart>
        <c:grouping val="standard"/>
        <c:varyColors val="0"/>
        <c:ser>
          <c:idx val="2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spPr>
            <a:ln>
              <a:solidFill>
                <a:schemeClr val="accent2"/>
              </a:solidFill>
            </a:ln>
          </c:spPr>
          <c:marker>
            <c:spPr>
              <a:solidFill>
                <a:schemeClr val="accent2"/>
              </a:solidFill>
              <a:ln>
                <a:solidFill>
                  <a:schemeClr val="accent2"/>
                </a:solidFill>
              </a:ln>
            </c:spPr>
          </c:marker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10</c:v>
                </c:pt>
                <c:pt idx="1">
                  <c:v>9.1</c:v>
                </c:pt>
                <c:pt idx="2">
                  <c:v>9.1</c:v>
                </c:pt>
                <c:pt idx="3">
                  <c:v>8.5</c:v>
                </c:pt>
                <c:pt idx="4">
                  <c:v>9.3000000000000007</c:v>
                </c:pt>
                <c:pt idx="5">
                  <c:v>9.6</c:v>
                </c:pt>
                <c:pt idx="6">
                  <c:v>11.1</c:v>
                </c:pt>
                <c:pt idx="7">
                  <c:v>9.6999999999999993</c:v>
                </c:pt>
                <c:pt idx="8">
                  <c:v>9.6</c:v>
                </c:pt>
                <c:pt idx="9">
                  <c:v>10.1</c:v>
                </c:pt>
                <c:pt idx="10">
                  <c:v>9</c:v>
                </c:pt>
                <c:pt idx="11">
                  <c:v>8.5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Charts!$E$2</c:f>
              <c:strCache>
                <c:ptCount val="1"/>
                <c:pt idx="0">
                  <c:v>Target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Charts!$E$3:$E$14</c:f>
              <c:numCache>
                <c:formatCode>General</c:formatCode>
                <c:ptCount val="12"/>
                <c:pt idx="0">
                  <c:v>13</c:v>
                </c:pt>
                <c:pt idx="1">
                  <c:v>13</c:v>
                </c:pt>
                <c:pt idx="2">
                  <c:v>13</c:v>
                </c:pt>
                <c:pt idx="3">
                  <c:v>13</c:v>
                </c:pt>
                <c:pt idx="4">
                  <c:v>13</c:v>
                </c:pt>
                <c:pt idx="5">
                  <c:v>13</c:v>
                </c:pt>
                <c:pt idx="6">
                  <c:v>13</c:v>
                </c:pt>
                <c:pt idx="7">
                  <c:v>13</c:v>
                </c:pt>
                <c:pt idx="8">
                  <c:v>13</c:v>
                </c:pt>
                <c:pt idx="9">
                  <c:v>13</c:v>
                </c:pt>
                <c:pt idx="10">
                  <c:v>13</c:v>
                </c:pt>
                <c:pt idx="11">
                  <c:v>13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924800"/>
        <c:axId val="74926336"/>
      </c:lineChart>
      <c:catAx>
        <c:axId val="74924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4926336"/>
        <c:crosses val="autoZero"/>
        <c:auto val="1"/>
        <c:lblAlgn val="ctr"/>
        <c:lblOffset val="100"/>
        <c:noMultiLvlLbl val="0"/>
      </c:catAx>
      <c:valAx>
        <c:axId val="7492633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Minutes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4924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779799528804223"/>
          <c:y val="0.38591221838595097"/>
          <c:w val="0.14221448910646473"/>
          <c:h val="0.45444762844169317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ED Trop TAT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7.8182466095132366E-2"/>
          <c:y val="0.16700683796104435"/>
          <c:w val="0.76094748600289197"/>
          <c:h val="0.70557362895427544"/>
        </c:manualLayout>
      </c:layout>
      <c:barChart>
        <c:barDir val="col"/>
        <c:grouping val="clustered"/>
        <c:varyColors val="0"/>
        <c:ser>
          <c:idx val="3"/>
          <c:order val="1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48.5</c:v>
                </c:pt>
                <c:pt idx="1">
                  <c:v>43.9</c:v>
                </c:pt>
                <c:pt idx="2">
                  <c:v>48.5</c:v>
                </c:pt>
                <c:pt idx="3">
                  <c:v>46.9</c:v>
                </c:pt>
                <c:pt idx="4">
                  <c:v>45.9</c:v>
                </c:pt>
                <c:pt idx="5">
                  <c:v>44.8</c:v>
                </c:pt>
                <c:pt idx="6">
                  <c:v>42.9</c:v>
                </c:pt>
                <c:pt idx="7">
                  <c:v>43.4</c:v>
                </c:pt>
                <c:pt idx="8">
                  <c:v>48.4</c:v>
                </c:pt>
                <c:pt idx="9">
                  <c:v>45.9</c:v>
                </c:pt>
                <c:pt idx="10">
                  <c:v>44.1</c:v>
                </c:pt>
                <c:pt idx="11">
                  <c:v>44.3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970240"/>
        <c:axId val="74972160"/>
      </c:barChart>
      <c:lineChart>
        <c:grouping val="standard"/>
        <c:varyColors val="0"/>
        <c:ser>
          <c:idx val="2"/>
          <c:order val="0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spPr>
            <a:ln>
              <a:solidFill>
                <a:schemeClr val="accent2"/>
              </a:solidFill>
            </a:ln>
          </c:spPr>
          <c:marker>
            <c:spPr>
              <a:solidFill>
                <a:schemeClr val="accent2"/>
              </a:solidFill>
              <a:ln>
                <a:solidFill>
                  <a:schemeClr val="accent2"/>
                </a:solidFill>
              </a:ln>
            </c:spPr>
          </c:marker>
          <c:dLbls>
            <c:spPr>
              <a:solidFill>
                <a:schemeClr val="accent2"/>
              </a:solidFill>
              <a:ln>
                <a:solidFill>
                  <a:schemeClr val="accent2"/>
                </a:solidFill>
              </a:ln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26.3</c:v>
                </c:pt>
                <c:pt idx="1">
                  <c:v>24.7</c:v>
                </c:pt>
                <c:pt idx="2">
                  <c:v>24.4</c:v>
                </c:pt>
                <c:pt idx="3">
                  <c:v>24.2</c:v>
                </c:pt>
                <c:pt idx="4">
                  <c:v>23.1</c:v>
                </c:pt>
                <c:pt idx="5">
                  <c:v>23.3</c:v>
                </c:pt>
                <c:pt idx="6">
                  <c:v>23.8</c:v>
                </c:pt>
                <c:pt idx="7">
                  <c:v>23.6</c:v>
                </c:pt>
                <c:pt idx="8">
                  <c:v>24.8</c:v>
                </c:pt>
                <c:pt idx="9">
                  <c:v>24</c:v>
                </c:pt>
                <c:pt idx="10">
                  <c:v>23.6</c:v>
                </c:pt>
                <c:pt idx="11">
                  <c:v>24.4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Charts!$E$2</c:f>
              <c:strCache>
                <c:ptCount val="1"/>
                <c:pt idx="0">
                  <c:v>Target TAT</c:v>
                </c:pt>
              </c:strCache>
            </c:strRef>
          </c:tx>
          <c:spPr>
            <a:ln>
              <a:solidFill>
                <a:schemeClr val="accent4">
                  <a:lumMod val="60000"/>
                  <a:lumOff val="40000"/>
                </a:schemeClr>
              </a:solidFill>
            </a:ln>
          </c:spPr>
          <c:marker>
            <c:spPr>
              <a:solidFill>
                <a:schemeClr val="accent4"/>
              </a:solidFill>
              <a:ln>
                <a:solidFill>
                  <a:schemeClr val="accent4">
                    <a:lumMod val="60000"/>
                    <a:lumOff val="40000"/>
                  </a:schemeClr>
                </a:solidFill>
              </a:ln>
            </c:spPr>
          </c:marker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Charts!$E$3:$E$14</c:f>
              <c:numCache>
                <c:formatCode>General</c:formatCode>
                <c:ptCount val="12"/>
                <c:pt idx="0">
                  <c:v>28</c:v>
                </c:pt>
                <c:pt idx="1">
                  <c:v>28</c:v>
                </c:pt>
                <c:pt idx="2">
                  <c:v>28</c:v>
                </c:pt>
                <c:pt idx="3">
                  <c:v>28</c:v>
                </c:pt>
                <c:pt idx="4">
                  <c:v>28</c:v>
                </c:pt>
                <c:pt idx="5">
                  <c:v>28</c:v>
                </c:pt>
                <c:pt idx="6">
                  <c:v>28</c:v>
                </c:pt>
                <c:pt idx="7">
                  <c:v>28</c:v>
                </c:pt>
                <c:pt idx="8">
                  <c:v>28</c:v>
                </c:pt>
                <c:pt idx="9">
                  <c:v>28</c:v>
                </c:pt>
                <c:pt idx="10">
                  <c:v>28</c:v>
                </c:pt>
                <c:pt idx="11">
                  <c:v>28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970240"/>
        <c:axId val="74972160"/>
      </c:lineChart>
      <c:catAx>
        <c:axId val="74970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74972160"/>
        <c:crosses val="autoZero"/>
        <c:auto val="1"/>
        <c:lblAlgn val="ctr"/>
        <c:lblOffset val="100"/>
        <c:noMultiLvlLbl val="0"/>
      </c:catAx>
      <c:valAx>
        <c:axId val="749721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Minutes 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749702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377061040446867"/>
          <c:y val="0.38948845391634251"/>
          <c:w val="0.13554562891177063"/>
          <c:h val="0.42165131781138393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369640590759177E-2"/>
          <c:y val="0.15143366513148121"/>
          <c:w val="0.78852168027333369"/>
          <c:h val="0.7463141495380391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51.9</c:v>
                </c:pt>
                <c:pt idx="1">
                  <c:v>49.1</c:v>
                </c:pt>
                <c:pt idx="2">
                  <c:v>53.5</c:v>
                </c:pt>
                <c:pt idx="3">
                  <c:v>49.7</c:v>
                </c:pt>
                <c:pt idx="4">
                  <c:v>49</c:v>
                </c:pt>
                <c:pt idx="5">
                  <c:v>47.2</c:v>
                </c:pt>
                <c:pt idx="6">
                  <c:v>45.6</c:v>
                </c:pt>
                <c:pt idx="7">
                  <c:v>47</c:v>
                </c:pt>
                <c:pt idx="8">
                  <c:v>49.8</c:v>
                </c:pt>
                <c:pt idx="9">
                  <c:v>49.5</c:v>
                </c:pt>
                <c:pt idx="10">
                  <c:v>48.9</c:v>
                </c:pt>
                <c:pt idx="11">
                  <c:v>47.4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327552"/>
        <c:axId val="76329344"/>
      </c:barChart>
      <c:lineChart>
        <c:grouping val="standard"/>
        <c:varyColors val="0"/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25.5</c:v>
                </c:pt>
                <c:pt idx="1">
                  <c:v>24.2</c:v>
                </c:pt>
                <c:pt idx="2">
                  <c:v>24.8</c:v>
                </c:pt>
                <c:pt idx="3">
                  <c:v>23.8</c:v>
                </c:pt>
                <c:pt idx="4">
                  <c:v>23.1</c:v>
                </c:pt>
                <c:pt idx="5">
                  <c:v>23.3</c:v>
                </c:pt>
                <c:pt idx="6">
                  <c:v>23.7</c:v>
                </c:pt>
                <c:pt idx="7">
                  <c:v>24.6</c:v>
                </c:pt>
                <c:pt idx="8">
                  <c:v>23.8</c:v>
                </c:pt>
                <c:pt idx="9">
                  <c:v>24.9</c:v>
                </c:pt>
                <c:pt idx="10">
                  <c:v>23.7</c:v>
                </c:pt>
                <c:pt idx="11">
                  <c:v>23.7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Charts!$E$2</c:f>
              <c:strCache>
                <c:ptCount val="1"/>
                <c:pt idx="0">
                  <c:v>Target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Charts!$E$3:$E$14</c:f>
              <c:numCache>
                <c:formatCode>General</c:formatCode>
                <c:ptCount val="12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  <c:pt idx="4">
                  <c:v>30</c:v>
                </c:pt>
                <c:pt idx="5">
                  <c:v>30</c:v>
                </c:pt>
                <c:pt idx="6">
                  <c:v>30</c:v>
                </c:pt>
                <c:pt idx="7">
                  <c:v>30</c:v>
                </c:pt>
                <c:pt idx="8">
                  <c:v>30</c:v>
                </c:pt>
                <c:pt idx="9">
                  <c:v>30</c:v>
                </c:pt>
                <c:pt idx="10">
                  <c:v>30</c:v>
                </c:pt>
                <c:pt idx="11">
                  <c:v>30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327552"/>
        <c:axId val="76329344"/>
      </c:lineChart>
      <c:catAx>
        <c:axId val="76327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6329344"/>
        <c:crosses val="autoZero"/>
        <c:auto val="1"/>
        <c:lblAlgn val="ctr"/>
        <c:lblOffset val="100"/>
        <c:noMultiLvlLbl val="0"/>
      </c:catAx>
      <c:valAx>
        <c:axId val="7632934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Minutes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6327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410205935796491"/>
          <c:y val="0.38246836942424522"/>
          <c:w val="0.12307742782152231"/>
          <c:h val="0.41386229020223053"/>
        </c:manualLayout>
      </c:layout>
      <c:overlay val="0"/>
      <c:txPr>
        <a:bodyPr/>
        <a:lstStyle/>
        <a:p>
          <a:pPr>
            <a:defRPr sz="77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BC Contamination</a:t>
            </a:r>
            <a:r>
              <a:rPr lang="en-US" baseline="0"/>
              <a:t> Rate</a:t>
            </a:r>
            <a:endParaRPr lang="en-US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Data!$B$2</c:f>
              <c:strCache>
                <c:ptCount val="1"/>
                <c:pt idx="0">
                  <c:v>% Contaminated</c:v>
                </c:pt>
              </c:strCache>
            </c:strRef>
          </c:tx>
          <c:invertIfNegative val="0"/>
          <c:cat>
            <c:strRef>
              <c:f>Data!$A$3:$A$15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Data!$B$3:$B$15</c:f>
              <c:numCache>
                <c:formatCode>0.0%</c:formatCode>
                <c:ptCount val="12"/>
                <c:pt idx="0">
                  <c:v>2.7E-2</c:v>
                </c:pt>
                <c:pt idx="1">
                  <c:v>1.95E-2</c:v>
                </c:pt>
                <c:pt idx="2">
                  <c:v>1.4999999999999999E-2</c:v>
                </c:pt>
                <c:pt idx="3">
                  <c:v>1.2999999999999999E-2</c:v>
                </c:pt>
                <c:pt idx="4">
                  <c:v>1.4999999999999999E-2</c:v>
                </c:pt>
                <c:pt idx="5">
                  <c:v>2.0500000000000001E-2</c:v>
                </c:pt>
                <c:pt idx="6">
                  <c:v>1.6E-2</c:v>
                </c:pt>
                <c:pt idx="7">
                  <c:v>0.01</c:v>
                </c:pt>
                <c:pt idx="8">
                  <c:v>1.7999999999999999E-2</c:v>
                </c:pt>
                <c:pt idx="9">
                  <c:v>1.0999999999999999E-2</c:v>
                </c:pt>
                <c:pt idx="10">
                  <c:v>1.4999999999999999E-2</c:v>
                </c:pt>
                <c:pt idx="11">
                  <c:v>8.9999999999999993E-3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358784"/>
        <c:axId val="76360320"/>
      </c:barChart>
      <c:catAx>
        <c:axId val="76358784"/>
        <c:scaling>
          <c:orientation val="minMax"/>
        </c:scaling>
        <c:delete val="0"/>
        <c:axPos val="b"/>
        <c:majorTickMark val="out"/>
        <c:minorTickMark val="none"/>
        <c:tickLblPos val="nextTo"/>
        <c:crossAx val="76360320"/>
        <c:crosses val="autoZero"/>
        <c:auto val="1"/>
        <c:lblAlgn val="ctr"/>
        <c:lblOffset val="100"/>
        <c:noMultiLvlLbl val="0"/>
      </c:catAx>
      <c:valAx>
        <c:axId val="76360320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763587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854880101364359E-2"/>
          <c:y val="0.12799383843865897"/>
          <c:w val="0.69239511727700764"/>
          <c:h val="0.738340060808120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Chart!$B$3</c:f>
              <c:strCache>
                <c:ptCount val="1"/>
                <c:pt idx="0">
                  <c:v>Lab - % Avg Error Rate</c:v>
                </c:pt>
              </c:strCache>
            </c:strRef>
          </c:tx>
          <c:invertIfNegative val="0"/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Chart!$B$4:$B$15</c:f>
              <c:numCache>
                <c:formatCode>General</c:formatCode>
                <c:ptCount val="12"/>
                <c:pt idx="0">
                  <c:v>35</c:v>
                </c:pt>
                <c:pt idx="1">
                  <c:v>50</c:v>
                </c:pt>
                <c:pt idx="2">
                  <c:v>22</c:v>
                </c:pt>
                <c:pt idx="3">
                  <c:v>23</c:v>
                </c:pt>
                <c:pt idx="4">
                  <c:v>25</c:v>
                </c:pt>
                <c:pt idx="5">
                  <c:v>55</c:v>
                </c:pt>
                <c:pt idx="6">
                  <c:v>0</c:v>
                </c:pt>
                <c:pt idx="7">
                  <c:v>0</c:v>
                </c:pt>
                <c:pt idx="8">
                  <c:v>46</c:v>
                </c:pt>
                <c:pt idx="9">
                  <c:v>63</c:v>
                </c:pt>
                <c:pt idx="10">
                  <c:v>55</c:v>
                </c:pt>
                <c:pt idx="11">
                  <c:v>74</c:v>
                </c:pt>
              </c:numCache>
            </c:numRef>
          </c:val>
        </c:ser>
        <c:ser>
          <c:idx val="1"/>
          <c:order val="1"/>
          <c:tx>
            <c:strRef>
              <c:f>Chart!$C$3</c:f>
              <c:strCache>
                <c:ptCount val="1"/>
                <c:pt idx="0">
                  <c:v>VVMC ED - % Avg Error Rate</c:v>
                </c:pt>
              </c:strCache>
            </c:strRef>
          </c:tx>
          <c:invertIfNegative val="0"/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Chart!$C$4:$C$15</c:f>
              <c:numCache>
                <c:formatCode>General</c:formatCode>
                <c:ptCount val="12"/>
                <c:pt idx="0">
                  <c:v>53</c:v>
                </c:pt>
                <c:pt idx="1">
                  <c:v>70</c:v>
                </c:pt>
                <c:pt idx="2">
                  <c:v>71</c:v>
                </c:pt>
                <c:pt idx="3">
                  <c:v>75</c:v>
                </c:pt>
                <c:pt idx="4">
                  <c:v>50</c:v>
                </c:pt>
                <c:pt idx="5">
                  <c:v>75</c:v>
                </c:pt>
                <c:pt idx="6">
                  <c:v>0</c:v>
                </c:pt>
                <c:pt idx="7">
                  <c:v>0</c:v>
                </c:pt>
                <c:pt idx="8">
                  <c:v>63</c:v>
                </c:pt>
                <c:pt idx="9">
                  <c:v>51</c:v>
                </c:pt>
                <c:pt idx="10">
                  <c:v>80</c:v>
                </c:pt>
                <c:pt idx="11">
                  <c:v>65</c:v>
                </c:pt>
              </c:numCache>
            </c:numRef>
          </c:val>
        </c:ser>
        <c:ser>
          <c:idx val="2"/>
          <c:order val="2"/>
          <c:tx>
            <c:strRef>
              <c:f>Chart!$D$3</c:f>
              <c:strCache>
                <c:ptCount val="1"/>
                <c:pt idx="0">
                  <c:v>SMC - % Avg Error Rate</c:v>
                </c:pt>
              </c:strCache>
            </c:strRef>
          </c:tx>
          <c:invertIfNegative val="0"/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Chart!$D$4:$D$15</c:f>
              <c:numCache>
                <c:formatCode>General</c:formatCode>
                <c:ptCount val="12"/>
                <c:pt idx="0">
                  <c:v>70</c:v>
                </c:pt>
                <c:pt idx="1">
                  <c:v>50</c:v>
                </c:pt>
                <c:pt idx="2">
                  <c:v>84</c:v>
                </c:pt>
                <c:pt idx="3">
                  <c:v>65</c:v>
                </c:pt>
                <c:pt idx="4">
                  <c:v>45</c:v>
                </c:pt>
                <c:pt idx="5">
                  <c:v>79</c:v>
                </c:pt>
                <c:pt idx="6">
                  <c:v>0</c:v>
                </c:pt>
                <c:pt idx="7">
                  <c:v>0</c:v>
                </c:pt>
                <c:pt idx="8">
                  <c:v>80</c:v>
                </c:pt>
                <c:pt idx="9">
                  <c:v>55</c:v>
                </c:pt>
                <c:pt idx="10">
                  <c:v>75</c:v>
                </c:pt>
                <c:pt idx="11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393856"/>
        <c:axId val="76416128"/>
      </c:barChart>
      <c:lineChart>
        <c:grouping val="standard"/>
        <c:varyColors val="0"/>
        <c:ser>
          <c:idx val="3"/>
          <c:order val="3"/>
          <c:tx>
            <c:strRef>
              <c:f>Chart!$E$3</c:f>
              <c:strCache>
                <c:ptCount val="1"/>
                <c:pt idx="0">
                  <c:v>% Goal</c:v>
                </c:pt>
              </c:strCache>
            </c:strRef>
          </c:tx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Chart!$E$4:$E$15</c:f>
              <c:numCache>
                <c:formatCode>General</c:formatCode>
                <c:ptCount val="12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>
                  <c:v>20</c:v>
                </c:pt>
                <c:pt idx="4">
                  <c:v>20</c:v>
                </c:pt>
                <c:pt idx="5">
                  <c:v>20</c:v>
                </c:pt>
                <c:pt idx="6">
                  <c:v>20</c:v>
                </c:pt>
                <c:pt idx="7">
                  <c:v>20</c:v>
                </c:pt>
                <c:pt idx="8">
                  <c:v>20</c:v>
                </c:pt>
                <c:pt idx="9">
                  <c:v>20</c:v>
                </c:pt>
                <c:pt idx="10">
                  <c:v>20</c:v>
                </c:pt>
                <c:pt idx="11">
                  <c:v>20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393856"/>
        <c:axId val="76416128"/>
      </c:lineChart>
      <c:lineChart>
        <c:grouping val="stacked"/>
        <c:varyColors val="0"/>
        <c:ser>
          <c:idx val="4"/>
          <c:order val="4"/>
          <c:tx>
            <c:strRef>
              <c:f>Chart!$F$3</c:f>
              <c:strCache>
                <c:ptCount val="1"/>
                <c:pt idx="0">
                  <c:v>Total Monthly BC</c:v>
                </c:pt>
              </c:strCache>
            </c:strRef>
          </c:tx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Chart!$F$4:$F$15</c:f>
              <c:numCache>
                <c:formatCode>General</c:formatCode>
                <c:ptCount val="12"/>
                <c:pt idx="0">
                  <c:v>452</c:v>
                </c:pt>
                <c:pt idx="1">
                  <c:v>444</c:v>
                </c:pt>
                <c:pt idx="2">
                  <c:v>398</c:v>
                </c:pt>
                <c:pt idx="3">
                  <c:v>402</c:v>
                </c:pt>
                <c:pt idx="4">
                  <c:v>337</c:v>
                </c:pt>
                <c:pt idx="5">
                  <c:v>331</c:v>
                </c:pt>
                <c:pt idx="6">
                  <c:v>381</c:v>
                </c:pt>
                <c:pt idx="7">
                  <c:v>413</c:v>
                </c:pt>
                <c:pt idx="8">
                  <c:v>394</c:v>
                </c:pt>
                <c:pt idx="9">
                  <c:v>369</c:v>
                </c:pt>
                <c:pt idx="10">
                  <c:v>340</c:v>
                </c:pt>
                <c:pt idx="11">
                  <c:v>428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440704"/>
        <c:axId val="76418048"/>
      </c:lineChart>
      <c:catAx>
        <c:axId val="76393856"/>
        <c:scaling>
          <c:orientation val="minMax"/>
        </c:scaling>
        <c:delete val="0"/>
        <c:axPos val="b"/>
        <c:majorTickMark val="out"/>
        <c:minorTickMark val="none"/>
        <c:tickLblPos val="nextTo"/>
        <c:crossAx val="76416128"/>
        <c:crosses val="autoZero"/>
        <c:auto val="1"/>
        <c:lblAlgn val="ctr"/>
        <c:lblOffset val="100"/>
        <c:noMultiLvlLbl val="0"/>
      </c:catAx>
      <c:valAx>
        <c:axId val="76416128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% Error Rate</a:t>
                </a:r>
              </a:p>
            </c:rich>
          </c:tx>
          <c:layout/>
          <c:overlay val="0"/>
        </c:title>
        <c:numFmt formatCode="General" sourceLinked="0"/>
        <c:majorTickMark val="out"/>
        <c:minorTickMark val="none"/>
        <c:tickLblPos val="nextTo"/>
        <c:crossAx val="76393856"/>
        <c:crosses val="autoZero"/>
        <c:crossBetween val="between"/>
        <c:majorUnit val="10"/>
      </c:valAx>
      <c:valAx>
        <c:axId val="76418048"/>
        <c:scaling>
          <c:orientation val="minMax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Total Monthly BC 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76440704"/>
        <c:crosses val="max"/>
        <c:crossBetween val="between"/>
      </c:valAx>
      <c:catAx>
        <c:axId val="76440704"/>
        <c:scaling>
          <c:orientation val="minMax"/>
        </c:scaling>
        <c:delete val="1"/>
        <c:axPos val="b"/>
        <c:majorTickMark val="out"/>
        <c:minorTickMark val="none"/>
        <c:tickLblPos val="none"/>
        <c:crossAx val="76418048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.85499646678780539"/>
          <c:y val="9.6955784373107215E-2"/>
          <c:w val="0.14500353321219464"/>
          <c:h val="0.90267474258025437"/>
        </c:manualLayout>
      </c:layout>
      <c:overlay val="0"/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zero"/>
    <c:showDLblsOverMax val="0"/>
  </c:chart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510084452889804E-2"/>
          <c:y val="0.18268151127370996"/>
          <c:w val="0.82784640924205888"/>
          <c:h val="0.695687249620113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Chart!$B$2</c:f>
              <c:strCache>
                <c:ptCount val="1"/>
                <c:pt idx="0">
                  <c:v># Corrected Reports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Chart!$B$3:$B$14</c:f>
              <c:numCache>
                <c:formatCode>General</c:formatCode>
                <c:ptCount val="12"/>
                <c:pt idx="0">
                  <c:v>6</c:v>
                </c:pt>
                <c:pt idx="1">
                  <c:v>9</c:v>
                </c:pt>
                <c:pt idx="2">
                  <c:v>10</c:v>
                </c:pt>
                <c:pt idx="3">
                  <c:v>10</c:v>
                </c:pt>
                <c:pt idx="4">
                  <c:v>5</c:v>
                </c:pt>
                <c:pt idx="5">
                  <c:v>5</c:v>
                </c:pt>
                <c:pt idx="6">
                  <c:v>6</c:v>
                </c:pt>
                <c:pt idx="7">
                  <c:v>4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  <c:pt idx="1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461952"/>
        <c:axId val="76463488"/>
      </c:barChart>
      <c:catAx>
        <c:axId val="76461952"/>
        <c:scaling>
          <c:orientation val="minMax"/>
        </c:scaling>
        <c:delete val="0"/>
        <c:axPos val="b"/>
        <c:majorTickMark val="out"/>
        <c:minorTickMark val="none"/>
        <c:tickLblPos val="nextTo"/>
        <c:crossAx val="76463488"/>
        <c:crosses val="autoZero"/>
        <c:auto val="1"/>
        <c:lblAlgn val="ctr"/>
        <c:lblOffset val="100"/>
        <c:noMultiLvlLbl val="0"/>
      </c:catAx>
      <c:valAx>
        <c:axId val="76463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4619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737886129618414"/>
          <c:y val="0.3184223522486182"/>
          <c:w val="0.11305168584696144"/>
          <c:h val="0.43356580427446567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2014 Duplicate MRN's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4.610427789295779E-2"/>
          <c:y val="0.19894826976415181"/>
          <c:w val="0.80402845960762404"/>
          <c:h val="0.6474778950503528"/>
        </c:manualLayout>
      </c:layout>
      <c:barChart>
        <c:barDir val="col"/>
        <c:grouping val="clustered"/>
        <c:varyColors val="0"/>
        <c:ser>
          <c:idx val="0"/>
          <c:order val="0"/>
          <c:tx>
            <c:v>Duplicate MRN's</c:v>
          </c:tx>
          <c:invertIfNegative val="0"/>
          <c:cat>
            <c:strRef>
              <c:f>Charts!$A$94:$A$105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Charts!$B$94:$B$105</c:f>
              <c:numCache>
                <c:formatCode>General</c:formatCode>
                <c:ptCount val="12"/>
                <c:pt idx="0">
                  <c:v>5</c:v>
                </c:pt>
                <c:pt idx="1">
                  <c:v>17</c:v>
                </c:pt>
                <c:pt idx="2">
                  <c:v>12</c:v>
                </c:pt>
                <c:pt idx="3">
                  <c:v>9</c:v>
                </c:pt>
                <c:pt idx="4">
                  <c:v>3</c:v>
                </c:pt>
                <c:pt idx="5">
                  <c:v>4</c:v>
                </c:pt>
                <c:pt idx="6">
                  <c:v>6</c:v>
                </c:pt>
                <c:pt idx="7">
                  <c:v>2</c:v>
                </c:pt>
                <c:pt idx="8">
                  <c:v>3</c:v>
                </c:pt>
                <c:pt idx="9">
                  <c:v>4</c:v>
                </c:pt>
                <c:pt idx="10">
                  <c:v>6</c:v>
                </c:pt>
                <c:pt idx="1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484992"/>
        <c:axId val="76486528"/>
      </c:barChart>
      <c:catAx>
        <c:axId val="76484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6486528"/>
        <c:crosses val="autoZero"/>
        <c:auto val="1"/>
        <c:lblAlgn val="ctr"/>
        <c:lblOffset val="100"/>
        <c:noMultiLvlLbl val="0"/>
      </c:catAx>
      <c:valAx>
        <c:axId val="76486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64849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558976342145499"/>
          <c:y val="0.53047782488727369"/>
          <c:w val="0.13349618473679881"/>
          <c:h val="0.14696412948381454"/>
        </c:manualLayout>
      </c:layout>
      <c:overlay val="0"/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4.9312301733143826E-2"/>
          <c:y val="0.19480351414406533"/>
          <c:w val="0.88604839638947586"/>
          <c:h val="0.68921660834062393"/>
        </c:manualLayout>
      </c:layout>
      <c:barChart>
        <c:barDir val="col"/>
        <c:grouping val="clustered"/>
        <c:varyColors val="0"/>
        <c:ser>
          <c:idx val="0"/>
          <c:order val="0"/>
          <c:tx>
            <c:v>2014 Mislabeled Specimens</c:v>
          </c:tx>
          <c:invertIfNegative val="0"/>
          <c:cat>
            <c:strRef>
              <c:f>Charts!$A$2:$A$13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Charts!$B$2:$B$13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5</c:v>
                </c:pt>
                <c:pt idx="4">
                  <c:v>1</c:v>
                </c:pt>
                <c:pt idx="5">
                  <c:v>0</c:v>
                </c:pt>
                <c:pt idx="6">
                  <c:v>7</c:v>
                </c:pt>
                <c:pt idx="7">
                  <c:v>5</c:v>
                </c:pt>
                <c:pt idx="8">
                  <c:v>9</c:v>
                </c:pt>
                <c:pt idx="9">
                  <c:v>3</c:v>
                </c:pt>
                <c:pt idx="10">
                  <c:v>3</c:v>
                </c:pt>
                <c:pt idx="1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502912"/>
        <c:axId val="76504448"/>
      </c:barChart>
      <c:catAx>
        <c:axId val="76502912"/>
        <c:scaling>
          <c:orientation val="minMax"/>
        </c:scaling>
        <c:delete val="0"/>
        <c:axPos val="b"/>
        <c:majorTickMark val="out"/>
        <c:minorTickMark val="none"/>
        <c:tickLblPos val="nextTo"/>
        <c:crossAx val="76504448"/>
        <c:crosses val="autoZero"/>
        <c:auto val="1"/>
        <c:lblAlgn val="ctr"/>
        <c:lblOffset val="100"/>
        <c:noMultiLvlLbl val="0"/>
      </c:catAx>
      <c:valAx>
        <c:axId val="76504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5029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_rels/drawing8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</cdr:x>
      <cdr:y>0.024</cdr:y>
    </cdr:from>
    <cdr:to>
      <cdr:x>0.72229</cdr:x>
      <cdr:y>0.15191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2377440" y="58689"/>
          <a:ext cx="1915563" cy="3127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600" b="1"/>
            <a:t>2014 ED PT</a:t>
          </a:r>
          <a:r>
            <a:rPr lang="en-US" sz="1600" b="1" baseline="0"/>
            <a:t> TAT</a:t>
          </a:r>
        </a:p>
        <a:p xmlns:a="http://schemas.openxmlformats.org/drawingml/2006/main">
          <a:endParaRPr lang="en-US" sz="1100"/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0.26413</cdr:x>
      <cdr:y>0.03467</cdr:y>
    </cdr:from>
    <cdr:to>
      <cdr:x>0.66667</cdr:x>
      <cdr:y>0.10667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81232" y="123837"/>
          <a:ext cx="3324246" cy="2571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400" b="1"/>
            <a:t>                                 </a:t>
          </a:r>
        </a:p>
      </cdr:txBody>
    </cdr:sp>
  </cdr:relSizeAnchor>
  <cdr:relSizeAnchor xmlns:cdr="http://schemas.openxmlformats.org/drawingml/2006/chartDrawing">
    <cdr:from>
      <cdr:x>0.68051</cdr:x>
      <cdr:y>0.03733</cdr:y>
    </cdr:from>
    <cdr:to>
      <cdr:x>0.9481</cdr:x>
      <cdr:y>0.096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619751" y="133351"/>
          <a:ext cx="22098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0.65826</cdr:x>
      <cdr:y>0.03467</cdr:y>
    </cdr:from>
    <cdr:to>
      <cdr:x>0.88525</cdr:x>
      <cdr:y>0.12533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972050" y="111949"/>
          <a:ext cx="1714500" cy="2927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</a:t>
          </a:r>
          <a:r>
            <a:rPr lang="en-US" sz="1100" b="1" baseline="0">
              <a:solidFill>
                <a:srgbClr val="FF0000"/>
              </a:solidFill>
            </a:rPr>
            <a:t> = 0 Redraws/Month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0.6853</cdr:x>
      <cdr:y>0.03774</cdr:y>
    </cdr:from>
    <cdr:to>
      <cdr:x>1</cdr:x>
      <cdr:y>0.14286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073149" y="93128"/>
          <a:ext cx="1870451" cy="2593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Goal = 0 Missed Pendings</a:t>
          </a: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0.14583</cdr:x>
      <cdr:y>0.02378</cdr:y>
    </cdr:from>
    <cdr:to>
      <cdr:x>0.65071</cdr:x>
      <cdr:y>0.07983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66775" y="59592"/>
          <a:ext cx="3000779" cy="1404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400" b="1"/>
            <a:t>2014 Safety Compliance Violations</a:t>
          </a:r>
        </a:p>
        <a:p xmlns:a="http://schemas.openxmlformats.org/drawingml/2006/main">
          <a:r>
            <a:rPr lang="en-US" sz="1400" b="1" baseline="0"/>
            <a:t> </a:t>
          </a:r>
          <a:endParaRPr lang="en-US" sz="1400" b="1"/>
        </a:p>
      </cdr:txBody>
    </cdr:sp>
  </cdr:relSizeAnchor>
  <cdr:relSizeAnchor xmlns:cdr="http://schemas.openxmlformats.org/drawingml/2006/chartDrawing">
    <cdr:from>
      <cdr:x>0.65064</cdr:x>
      <cdr:y>0.0347</cdr:y>
    </cdr:from>
    <cdr:to>
      <cdr:x>1</cdr:x>
      <cdr:y>0.10644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867150" y="86947"/>
          <a:ext cx="2076450" cy="1797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Goal =</a:t>
          </a:r>
          <a:r>
            <a:rPr lang="en-US" sz="1200" b="1" baseline="0">
              <a:solidFill>
                <a:srgbClr val="FF0000"/>
              </a:solidFill>
            </a:rPr>
            <a:t> 0 Violations/Month</a:t>
          </a:r>
          <a:endParaRPr lang="en-US" sz="1200" b="1">
            <a:solidFill>
              <a:srgbClr val="FF0000"/>
            </a:solidFill>
          </a:endParaRP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0.74905</cdr:x>
      <cdr:y>0.05151</cdr:y>
    </cdr:from>
    <cdr:to>
      <cdr:x>0.975</cdr:x>
      <cdr:y>0.18182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878989" y="161924"/>
          <a:ext cx="1773395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= 100% compliance</a:t>
          </a: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0.68585</cdr:x>
      <cdr:y>0.02975</cdr:y>
    </cdr:from>
    <cdr:to>
      <cdr:x>0.96548</cdr:x>
      <cdr:y>0.1281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076418" y="68575"/>
          <a:ext cx="1662009" cy="22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Goal</a:t>
          </a:r>
          <a:r>
            <a:rPr lang="en-US" sz="1200" b="1" baseline="0">
              <a:solidFill>
                <a:srgbClr val="FF0000"/>
              </a:solidFill>
            </a:rPr>
            <a:t> = 0 Redraws/Month</a:t>
          </a:r>
          <a:endParaRPr lang="en-US" sz="1200" b="1">
            <a:solidFill>
              <a:srgbClr val="FF0000"/>
            </a:solidFill>
          </a:endParaRPr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0.69273</cdr:x>
      <cdr:y>0.02267</cdr:y>
    </cdr:from>
    <cdr:to>
      <cdr:x>0.98786</cdr:x>
      <cdr:y>0.10075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849709" y="85733"/>
          <a:ext cx="2066168" cy="295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= 100% compliance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0.36579</cdr:x>
      <cdr:y>0.01106</cdr:y>
    </cdr:from>
    <cdr:to>
      <cdr:x>0.6804</cdr:x>
      <cdr:y>0.11217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790825" y="33340"/>
          <a:ext cx="240030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600" b="1"/>
            <a:t>2014 ED Hgb TAT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0.40209</cdr:x>
      <cdr:y>0.01483</cdr:y>
    </cdr:from>
    <cdr:to>
      <cdr:x>0.71279</cdr:x>
      <cdr:y>0.11038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933700" y="42864"/>
          <a:ext cx="2266950" cy="2762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0.4</cdr:x>
      <cdr:y>0.02602</cdr:y>
    </cdr:from>
    <cdr:to>
      <cdr:x>0.6366</cdr:x>
      <cdr:y>0.14151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377440" y="64802"/>
          <a:ext cx="1406256" cy="2876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600" b="1"/>
            <a:t>2014 ED K TAT</a:t>
          </a:r>
        </a:p>
        <a:p xmlns:a="http://schemas.openxmlformats.org/drawingml/2006/main">
          <a:endParaRPr lang="en-US" sz="1100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0.74755</cdr:x>
      <cdr:y>0.03546</cdr:y>
    </cdr:from>
    <cdr:to>
      <cdr:x>0.9424</cdr:x>
      <cdr:y>0.11773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810250" y="119064"/>
          <a:ext cx="151447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</a:t>
          </a:r>
          <a:r>
            <a:rPr lang="en-US" sz="1100" b="1" baseline="0">
              <a:solidFill>
                <a:srgbClr val="FF0000"/>
              </a:solidFill>
            </a:rPr>
            <a:t> = &lt;3% Error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0.27477</cdr:x>
      <cdr:y>0.02469</cdr:y>
    </cdr:from>
    <cdr:to>
      <cdr:x>0.69617</cdr:x>
      <cdr:y>0.10185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981201" y="76201"/>
          <a:ext cx="3038474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200" b="1"/>
            <a:t>2014 Blood Culture</a:t>
          </a:r>
          <a:r>
            <a:rPr lang="en-US" sz="1200" b="1" baseline="0"/>
            <a:t> Volume QA</a:t>
          </a:r>
          <a:endParaRPr lang="en-US" sz="1200" b="1"/>
        </a:p>
      </cdr:txBody>
    </cdr:sp>
  </cdr:relSizeAnchor>
  <cdr:relSizeAnchor xmlns:cdr="http://schemas.openxmlformats.org/drawingml/2006/chartDrawing">
    <cdr:from>
      <cdr:x>0.72655</cdr:x>
      <cdr:y>0.03086</cdr:y>
    </cdr:from>
    <cdr:to>
      <cdr:x>0.98415</cdr:x>
      <cdr:y>0.10185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238751" y="95250"/>
          <a:ext cx="1857374" cy="2190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200" b="1" baseline="0">
            <a:solidFill>
              <a:srgbClr val="FF0000"/>
            </a:solidFill>
          </a:endParaRPr>
        </a:p>
        <a:p xmlns:a="http://schemas.openxmlformats.org/drawingml/2006/main">
          <a:endParaRPr lang="en-US" sz="1200" b="1" baseline="0">
            <a:solidFill>
              <a:srgbClr val="FF0000"/>
            </a:solidFill>
          </a:endParaRPr>
        </a:p>
        <a:p xmlns:a="http://schemas.openxmlformats.org/drawingml/2006/main">
          <a:endParaRPr lang="en-US" sz="1100"/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0.69856</cdr:x>
      <cdr:y>0.03371</cdr:y>
    </cdr:from>
    <cdr:to>
      <cdr:x>0.99641</cdr:x>
      <cdr:y>0.15169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62601" y="114299"/>
          <a:ext cx="2371725" cy="4000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</a:t>
          </a:r>
          <a:r>
            <a:rPr lang="en-US" sz="1100" b="1" baseline="0">
              <a:solidFill>
                <a:srgbClr val="FF0000"/>
              </a:solidFill>
            </a:rPr>
            <a:t> = &lt;1%/10,000 reports</a:t>
          </a:r>
          <a:endParaRPr lang="en-US" sz="11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0.4</cdr:x>
      <cdr:y>0.024</cdr:y>
    </cdr:from>
    <cdr:to>
      <cdr:x>0.72229</cdr:x>
      <cdr:y>0.10912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3185160" y="81382"/>
          <a:ext cx="2566364" cy="2886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600" b="1" baseline="0"/>
        </a:p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0.27632</cdr:x>
      <cdr:y>0.04213</cdr:y>
    </cdr:from>
    <cdr:to>
      <cdr:x>0.66986</cdr:x>
      <cdr:y>0.15053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642336" y="106636"/>
          <a:ext cx="2339044" cy="2743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600" b="1"/>
            <a:t>2014 Corrected</a:t>
          </a:r>
          <a:r>
            <a:rPr lang="en-US" sz="1600" b="1" baseline="0"/>
            <a:t> Activity Report</a:t>
          </a:r>
          <a:endParaRPr lang="en-US" sz="1600" b="1"/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0.66303</cdr:x>
      <cdr:y>0.00641</cdr:y>
    </cdr:from>
    <cdr:to>
      <cdr:x>0.98262</cdr:x>
      <cdr:y>0.11514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629150" y="19050"/>
          <a:ext cx="2231329" cy="323116"/>
        </a:xfrm>
        <a:prstGeom xmlns:a="http://schemas.openxmlformats.org/drawingml/2006/main" prst="rect">
          <a:avLst/>
        </a:prstGeom>
      </cdr:spPr>
    </cdr:pic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0.71098</cdr:x>
      <cdr:y>0.02994</cdr:y>
    </cdr:from>
    <cdr:to>
      <cdr:x>0.96829</cdr:x>
      <cdr:y>0.12874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53075" y="95250"/>
          <a:ext cx="2009775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= 0/Month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Healthcare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Delaney</dc:creator>
  <cp:keywords/>
  <dc:description/>
  <cp:lastModifiedBy>Kristine Delaney</cp:lastModifiedBy>
  <cp:revision>2</cp:revision>
  <dcterms:created xsi:type="dcterms:W3CDTF">2015-02-04T17:51:00Z</dcterms:created>
  <dcterms:modified xsi:type="dcterms:W3CDTF">2015-02-12T16:03:00Z</dcterms:modified>
</cp:coreProperties>
</file>