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8E" w:rsidRPr="00DE5F8E" w:rsidRDefault="00DE5F8E" w:rsidP="00DE5F8E">
      <w:pPr>
        <w:rPr>
          <w:color w:val="000000" w:themeColor="text1"/>
        </w:rPr>
      </w:pPr>
      <w:r w:rsidRPr="00DE5F8E">
        <w:rPr>
          <w:rFonts w:ascii="Calibri" w:hAnsi="Calibri"/>
          <w:color w:val="000000" w:themeColor="text1"/>
          <w:sz w:val="22"/>
          <w:szCs w:val="22"/>
        </w:rPr>
        <w:t>P</w:t>
      </w:r>
      <w:r w:rsidRPr="00DE5F8E">
        <w:rPr>
          <w:rFonts w:ascii="Calibri" w:hAnsi="Calibri"/>
          <w:color w:val="000000" w:themeColor="text1"/>
          <w:sz w:val="22"/>
          <w:szCs w:val="22"/>
        </w:rPr>
        <w:t>lease refer to HIPAA Security Policy HSP-37.</w:t>
      </w:r>
    </w:p>
    <w:p w:rsidR="00DE5F8E" w:rsidRPr="00DE5F8E" w:rsidRDefault="00DE5F8E" w:rsidP="00DE5F8E">
      <w:pPr>
        <w:rPr>
          <w:color w:val="000000" w:themeColor="text1"/>
        </w:rPr>
      </w:pPr>
      <w:r w:rsidRPr="00DE5F8E">
        <w:rPr>
          <w:rFonts w:ascii="Calibri" w:hAnsi="Calibri"/>
          <w:color w:val="000000" w:themeColor="text1"/>
          <w:sz w:val="22"/>
          <w:szCs w:val="22"/>
        </w:rPr>
        <w:t xml:space="preserve">This allows you to access you results by using your Cerner access.  </w:t>
      </w:r>
    </w:p>
    <w:p w:rsidR="00DE5F8E" w:rsidRPr="00DE5F8E" w:rsidRDefault="00DE5F8E" w:rsidP="00DE5F8E">
      <w:pPr>
        <w:rPr>
          <w:color w:val="000000" w:themeColor="text1"/>
        </w:rPr>
      </w:pPr>
      <w:r w:rsidRPr="00DE5F8E">
        <w:rPr>
          <w:rFonts w:ascii="Calibri" w:hAnsi="Calibri"/>
          <w:color w:val="000000" w:themeColor="text1"/>
          <w:sz w:val="22"/>
          <w:szCs w:val="22"/>
        </w:rPr>
        <w:t> </w:t>
      </w:r>
    </w:p>
    <w:p w:rsidR="00DE5F8E" w:rsidRPr="00DE5F8E" w:rsidRDefault="00DE5F8E" w:rsidP="00DE5F8E">
      <w:pPr>
        <w:rPr>
          <w:color w:val="000000" w:themeColor="text1"/>
        </w:rPr>
      </w:pPr>
      <w:r w:rsidRPr="00DE5F8E">
        <w:rPr>
          <w:rFonts w:ascii="Calibri" w:hAnsi="Calibri"/>
          <w:color w:val="000000" w:themeColor="text1"/>
          <w:sz w:val="22"/>
          <w:szCs w:val="22"/>
        </w:rPr>
        <w:t>You should not access the results of your children using Cerner Access as minors have pri</w:t>
      </w:r>
      <w:bookmarkStart w:id="0" w:name="_GoBack"/>
      <w:bookmarkEnd w:id="0"/>
      <w:r w:rsidRPr="00DE5F8E">
        <w:rPr>
          <w:rFonts w:ascii="Calibri" w:hAnsi="Calibri"/>
          <w:color w:val="000000" w:themeColor="text1"/>
          <w:sz w:val="22"/>
          <w:szCs w:val="22"/>
        </w:rPr>
        <w:t xml:space="preserve">vacy rights related to treatment for STDs and Reproductive Health that do not require parental consent.  Just because you get to pay the </w:t>
      </w:r>
      <w:proofErr w:type="gramStart"/>
      <w:r w:rsidRPr="00DE5F8E">
        <w:rPr>
          <w:rFonts w:ascii="Calibri" w:hAnsi="Calibri"/>
          <w:color w:val="000000" w:themeColor="text1"/>
          <w:sz w:val="22"/>
          <w:szCs w:val="22"/>
        </w:rPr>
        <w:t>bill  before</w:t>
      </w:r>
      <w:proofErr w:type="gramEnd"/>
      <w:r w:rsidRPr="00DE5F8E">
        <w:rPr>
          <w:rFonts w:ascii="Calibri" w:hAnsi="Calibri"/>
          <w:color w:val="000000" w:themeColor="text1"/>
          <w:sz w:val="22"/>
          <w:szCs w:val="22"/>
        </w:rPr>
        <w:t xml:space="preserve"> and after they are 18, does not mean you have a right to access some information.  </w:t>
      </w:r>
    </w:p>
    <w:p w:rsidR="00DE5F8E" w:rsidRPr="00DE5F8E" w:rsidRDefault="00DE5F8E" w:rsidP="00DE5F8E">
      <w:pPr>
        <w:rPr>
          <w:color w:val="000000" w:themeColor="text1"/>
        </w:rPr>
      </w:pPr>
      <w:r w:rsidRPr="00DE5F8E">
        <w:rPr>
          <w:rFonts w:ascii="Calibri" w:hAnsi="Calibri"/>
          <w:color w:val="000000" w:themeColor="text1"/>
          <w:sz w:val="22"/>
          <w:szCs w:val="22"/>
        </w:rPr>
        <w:t> </w:t>
      </w:r>
    </w:p>
    <w:p w:rsidR="00DE5F8E" w:rsidRPr="00DE5F8E" w:rsidRDefault="00DE5F8E" w:rsidP="00DE5F8E">
      <w:pPr>
        <w:rPr>
          <w:color w:val="000000" w:themeColor="text1"/>
        </w:rPr>
      </w:pPr>
      <w:r w:rsidRPr="00DE5F8E">
        <w:rPr>
          <w:rFonts w:ascii="Calibri" w:hAnsi="Calibri"/>
          <w:color w:val="000000" w:themeColor="text1"/>
          <w:sz w:val="22"/>
          <w:szCs w:val="22"/>
        </w:rPr>
        <w:t xml:space="preserve">You should not access your spouse’s records unless you comply with number two.  </w:t>
      </w:r>
    </w:p>
    <w:p w:rsidR="00DE5F8E" w:rsidRPr="00DE5F8E" w:rsidRDefault="00DE5F8E" w:rsidP="00DE5F8E">
      <w:pPr>
        <w:rPr>
          <w:color w:val="000000" w:themeColor="text1"/>
        </w:rPr>
      </w:pPr>
      <w:r w:rsidRPr="00DE5F8E">
        <w:rPr>
          <w:rFonts w:ascii="Calibri" w:hAnsi="Calibri"/>
          <w:color w:val="000000" w:themeColor="text1"/>
          <w:sz w:val="22"/>
          <w:szCs w:val="22"/>
        </w:rPr>
        <w:t> </w:t>
      </w:r>
    </w:p>
    <w:p w:rsidR="00DE5F8E" w:rsidRPr="00DE5F8E" w:rsidRDefault="00DE5F8E" w:rsidP="00DE5F8E">
      <w:pPr>
        <w:rPr>
          <w:color w:val="000000" w:themeColor="text1"/>
        </w:rPr>
      </w:pPr>
      <w:r w:rsidRPr="00DE5F8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PROCEDURE</w:t>
      </w:r>
    </w:p>
    <w:p w:rsidR="00DE5F8E" w:rsidRPr="00DE5F8E" w:rsidRDefault="00DE5F8E" w:rsidP="00DE5F8E">
      <w:pPr>
        <w:ind w:left="360"/>
        <w:rPr>
          <w:color w:val="000000" w:themeColor="text1"/>
        </w:rPr>
      </w:pPr>
      <w:r w:rsidRPr="00DE5F8E">
        <w:rPr>
          <w:rFonts w:ascii="Arial" w:hAnsi="Arial" w:cs="Arial"/>
          <w:b/>
          <w:bCs/>
          <w:color w:val="000000" w:themeColor="text1"/>
          <w:sz w:val="22"/>
          <w:szCs w:val="22"/>
        </w:rPr>
        <w:t>Treatment Payment and Operations (TPO)</w:t>
      </w:r>
    </w:p>
    <w:p w:rsidR="00DE5F8E" w:rsidRPr="00DE5F8E" w:rsidRDefault="00DE5F8E" w:rsidP="00DE5F8E">
      <w:pPr>
        <w:pStyle w:val="ListParagraph"/>
        <w:spacing w:after="200"/>
        <w:ind w:left="720" w:hanging="360"/>
        <w:rPr>
          <w:color w:val="000000" w:themeColor="text1"/>
        </w:rPr>
      </w:pPr>
      <w:r w:rsidRPr="00DE5F8E">
        <w:rPr>
          <w:rFonts w:ascii="Arial" w:hAnsi="Arial" w:cs="Arial"/>
          <w:color w:val="000000" w:themeColor="text1"/>
        </w:rPr>
        <w:t>1.</w:t>
      </w:r>
      <w:r w:rsidRPr="00DE5F8E">
        <w:rPr>
          <w:rFonts w:ascii="Times New Roman" w:hAnsi="Times New Roman"/>
          <w:color w:val="000000" w:themeColor="text1"/>
          <w:sz w:val="14"/>
          <w:szCs w:val="14"/>
        </w:rPr>
        <w:t xml:space="preserve">    </w:t>
      </w:r>
      <w:r w:rsidRPr="00DE5F8E">
        <w:rPr>
          <w:rFonts w:ascii="Arial" w:hAnsi="Arial" w:cs="Arial"/>
          <w:color w:val="000000" w:themeColor="text1"/>
        </w:rPr>
        <w:t>Members of the organization’s workforce and OHCA may access and use health information maintained in the EHR for Treatment, Payment, and Operations.</w:t>
      </w:r>
    </w:p>
    <w:p w:rsidR="00DE5F8E" w:rsidRPr="00DE5F8E" w:rsidRDefault="00DE5F8E" w:rsidP="00DE5F8E">
      <w:pPr>
        <w:pStyle w:val="ListParagraph"/>
        <w:spacing w:after="200"/>
        <w:ind w:left="720" w:hanging="360"/>
        <w:rPr>
          <w:color w:val="000000" w:themeColor="text1"/>
        </w:rPr>
      </w:pPr>
      <w:r w:rsidRPr="00DE5F8E">
        <w:rPr>
          <w:rFonts w:ascii="Arial" w:hAnsi="Arial" w:cs="Arial"/>
          <w:color w:val="000000" w:themeColor="text1"/>
        </w:rPr>
        <w:t>2.</w:t>
      </w:r>
      <w:r w:rsidRPr="00DE5F8E">
        <w:rPr>
          <w:rFonts w:ascii="Times New Roman" w:hAnsi="Times New Roman"/>
          <w:color w:val="000000" w:themeColor="text1"/>
          <w:sz w:val="14"/>
          <w:szCs w:val="14"/>
        </w:rPr>
        <w:t xml:space="preserve">    </w:t>
      </w:r>
      <w:r w:rsidRPr="00DE5F8E">
        <w:rPr>
          <w:rFonts w:ascii="Arial" w:hAnsi="Arial" w:cs="Arial"/>
          <w:color w:val="000000" w:themeColor="text1"/>
        </w:rPr>
        <w:t>Business Associates may access and use health information maintained in the EHR within the terms of the Business Associate Agreement.</w:t>
      </w:r>
    </w:p>
    <w:p w:rsidR="00DE5F8E" w:rsidRPr="00DE5F8E" w:rsidRDefault="00DE5F8E" w:rsidP="00DE5F8E">
      <w:pPr>
        <w:pStyle w:val="ListParagraph"/>
        <w:spacing w:after="200"/>
        <w:ind w:left="720" w:hanging="360"/>
        <w:rPr>
          <w:color w:val="000000" w:themeColor="text1"/>
        </w:rPr>
      </w:pPr>
      <w:r w:rsidRPr="00DE5F8E">
        <w:rPr>
          <w:rFonts w:ascii="Arial" w:hAnsi="Arial" w:cs="Arial"/>
          <w:color w:val="000000" w:themeColor="text1"/>
        </w:rPr>
        <w:t>3.</w:t>
      </w:r>
      <w:r w:rsidRPr="00DE5F8E">
        <w:rPr>
          <w:rFonts w:ascii="Times New Roman" w:hAnsi="Times New Roman"/>
          <w:color w:val="000000" w:themeColor="text1"/>
          <w:sz w:val="14"/>
          <w:szCs w:val="14"/>
        </w:rPr>
        <w:t xml:space="preserve">    </w:t>
      </w:r>
      <w:r w:rsidRPr="00DE5F8E">
        <w:rPr>
          <w:rFonts w:ascii="Arial" w:hAnsi="Arial" w:cs="Arial"/>
          <w:color w:val="000000" w:themeColor="text1"/>
        </w:rPr>
        <w:t>Remote Users may access and use health information maintained in the EHR for Treatment and Payment.</w:t>
      </w:r>
    </w:p>
    <w:p w:rsidR="00DE5F8E" w:rsidRPr="00DE5F8E" w:rsidRDefault="00DE5F8E" w:rsidP="00DE5F8E">
      <w:pPr>
        <w:pStyle w:val="ListParagraph"/>
        <w:rPr>
          <w:color w:val="000000" w:themeColor="text1"/>
        </w:rPr>
      </w:pPr>
      <w:r w:rsidRPr="00DE5F8E">
        <w:rPr>
          <w:rFonts w:ascii="Arial" w:hAnsi="Arial" w:cs="Arial"/>
          <w:color w:val="000000" w:themeColor="text1"/>
        </w:rPr>
        <w:t> </w:t>
      </w:r>
    </w:p>
    <w:p w:rsidR="00DE5F8E" w:rsidRPr="00DE5F8E" w:rsidRDefault="00DE5F8E" w:rsidP="00DE5F8E">
      <w:pPr>
        <w:pStyle w:val="ListParagraph"/>
        <w:ind w:left="360"/>
        <w:rPr>
          <w:color w:val="000000" w:themeColor="text1"/>
        </w:rPr>
      </w:pPr>
      <w:r w:rsidRPr="00DE5F8E">
        <w:rPr>
          <w:rFonts w:ascii="Arial" w:hAnsi="Arial" w:cs="Arial"/>
          <w:b/>
          <w:bCs/>
          <w:color w:val="000000" w:themeColor="text1"/>
        </w:rPr>
        <w:t>Patient Rights</w:t>
      </w:r>
    </w:p>
    <w:p w:rsidR="00DE5F8E" w:rsidRPr="00DE5F8E" w:rsidRDefault="00DE5F8E" w:rsidP="00DE5F8E">
      <w:pPr>
        <w:pStyle w:val="ListParagraph"/>
        <w:spacing w:after="200"/>
        <w:ind w:left="720" w:hanging="360"/>
        <w:rPr>
          <w:color w:val="000000" w:themeColor="text1"/>
        </w:rPr>
      </w:pPr>
      <w:r w:rsidRPr="00DE5F8E">
        <w:rPr>
          <w:rFonts w:ascii="Arial" w:hAnsi="Arial" w:cs="Arial"/>
          <w:color w:val="000000" w:themeColor="text1"/>
        </w:rPr>
        <w:t>1.</w:t>
      </w:r>
      <w:r w:rsidRPr="00DE5F8E">
        <w:rPr>
          <w:rFonts w:ascii="Times New Roman" w:hAnsi="Times New Roman"/>
          <w:color w:val="000000" w:themeColor="text1"/>
          <w:sz w:val="14"/>
          <w:szCs w:val="14"/>
        </w:rPr>
        <w:t xml:space="preserve">    </w:t>
      </w:r>
      <w:r w:rsidRPr="00DE5F8E">
        <w:rPr>
          <w:rFonts w:ascii="Arial" w:hAnsi="Arial" w:cs="Arial"/>
          <w:color w:val="000000" w:themeColor="text1"/>
        </w:rPr>
        <w:t xml:space="preserve">Providers (Physicians, Physician Assistants, and Nurse Practitioners) who have an indirect care relationship (not directly treating or consulting on the patient) with the patient, </w:t>
      </w:r>
      <w:r w:rsidRPr="00DE5F8E">
        <w:rPr>
          <w:rFonts w:ascii="Arial" w:hAnsi="Arial" w:cs="Arial"/>
          <w:b/>
          <w:bCs/>
          <w:color w:val="000000" w:themeColor="text1"/>
        </w:rPr>
        <w:t>with the patient’s verbal authorization</w:t>
      </w:r>
      <w:r w:rsidRPr="00DE5F8E">
        <w:rPr>
          <w:rFonts w:ascii="Arial" w:hAnsi="Arial" w:cs="Arial"/>
          <w:color w:val="000000" w:themeColor="text1"/>
        </w:rPr>
        <w:t>, may access the patient’s health information to: assist the patient in understanding, protecting, or exercising the patient’s rights related to the patient’s treatment plan.</w:t>
      </w:r>
    </w:p>
    <w:p w:rsidR="00DE5F8E" w:rsidRPr="00DE5F8E" w:rsidRDefault="00DE5F8E" w:rsidP="00DE5F8E">
      <w:pPr>
        <w:pStyle w:val="ListParagraph"/>
        <w:spacing w:after="200"/>
        <w:ind w:left="720" w:hanging="360"/>
        <w:rPr>
          <w:color w:val="000000" w:themeColor="text1"/>
        </w:rPr>
      </w:pPr>
      <w:r w:rsidRPr="00DE5F8E">
        <w:rPr>
          <w:rFonts w:ascii="Arial" w:hAnsi="Arial" w:cs="Arial"/>
          <w:color w:val="000000" w:themeColor="text1"/>
        </w:rPr>
        <w:t>2.</w:t>
      </w:r>
      <w:r w:rsidRPr="00DE5F8E">
        <w:rPr>
          <w:rFonts w:ascii="Times New Roman" w:hAnsi="Times New Roman"/>
          <w:color w:val="000000" w:themeColor="text1"/>
          <w:sz w:val="14"/>
          <w:szCs w:val="14"/>
        </w:rPr>
        <w:t xml:space="preserve">    </w:t>
      </w:r>
      <w:r w:rsidRPr="00DE5F8E">
        <w:rPr>
          <w:rFonts w:ascii="Arial" w:hAnsi="Arial" w:cs="Arial"/>
          <w:color w:val="000000" w:themeColor="text1"/>
        </w:rPr>
        <w:t xml:space="preserve">A user that has provided the Health Information Management Department with </w:t>
      </w:r>
      <w:r w:rsidRPr="00DE5F8E">
        <w:rPr>
          <w:rFonts w:ascii="Arial" w:hAnsi="Arial" w:cs="Arial"/>
          <w:b/>
          <w:bCs/>
          <w:color w:val="000000" w:themeColor="text1"/>
        </w:rPr>
        <w:t xml:space="preserve">the patient written consent designating the User as the patient’s representative </w:t>
      </w:r>
      <w:r w:rsidRPr="00DE5F8E">
        <w:rPr>
          <w:rFonts w:ascii="Arial" w:hAnsi="Arial" w:cs="Arial"/>
          <w:color w:val="000000" w:themeColor="text1"/>
        </w:rPr>
        <w:t>may access the patient’s health information to: fulfill the patient’s representative responsibilities, assist the patient in understanding, protecting, or exercising the patient’s rights related to the patient’s treatment plan.</w:t>
      </w:r>
    </w:p>
    <w:p w:rsidR="00DE5F8E" w:rsidRPr="00DE5F8E" w:rsidRDefault="00DE5F8E" w:rsidP="00DE5F8E">
      <w:pPr>
        <w:pStyle w:val="ListParagraph"/>
        <w:ind w:left="720" w:hanging="360"/>
        <w:rPr>
          <w:color w:val="000000" w:themeColor="text1"/>
        </w:rPr>
      </w:pPr>
      <w:r w:rsidRPr="00DE5F8E">
        <w:rPr>
          <w:rFonts w:ascii="Arial" w:hAnsi="Arial" w:cs="Arial"/>
          <w:color w:val="000000" w:themeColor="text1"/>
        </w:rPr>
        <w:t>3.</w:t>
      </w:r>
      <w:r w:rsidRPr="00DE5F8E">
        <w:rPr>
          <w:rFonts w:ascii="Times New Roman" w:hAnsi="Times New Roman"/>
          <w:color w:val="000000" w:themeColor="text1"/>
          <w:sz w:val="14"/>
          <w:szCs w:val="14"/>
        </w:rPr>
        <w:t xml:space="preserve">    </w:t>
      </w:r>
      <w:r w:rsidRPr="00DE5F8E">
        <w:rPr>
          <w:rFonts w:ascii="Arial" w:hAnsi="Arial" w:cs="Arial"/>
          <w:color w:val="000000" w:themeColor="text1"/>
        </w:rPr>
        <w:t>A user may access his/</w:t>
      </w:r>
      <w:proofErr w:type="gramStart"/>
      <w:r w:rsidRPr="00DE5F8E">
        <w:rPr>
          <w:rFonts w:ascii="Arial" w:hAnsi="Arial" w:cs="Arial"/>
          <w:color w:val="000000" w:themeColor="text1"/>
        </w:rPr>
        <w:t>her own</w:t>
      </w:r>
      <w:proofErr w:type="gramEnd"/>
      <w:r w:rsidRPr="00DE5F8E">
        <w:rPr>
          <w:rFonts w:ascii="Arial" w:hAnsi="Arial" w:cs="Arial"/>
          <w:color w:val="000000" w:themeColor="text1"/>
        </w:rPr>
        <w:t xml:space="preserve"> health information to make healthcare decisions.</w:t>
      </w:r>
    </w:p>
    <w:p w:rsidR="00DE5F8E" w:rsidRPr="00DE5F8E" w:rsidRDefault="00DE5F8E" w:rsidP="00DE5F8E">
      <w:pPr>
        <w:rPr>
          <w:color w:val="000000" w:themeColor="text1"/>
        </w:rPr>
      </w:pPr>
      <w:r w:rsidRPr="00DE5F8E">
        <w:rPr>
          <w:rFonts w:ascii="Calibri" w:hAnsi="Calibri"/>
          <w:color w:val="000000" w:themeColor="text1"/>
          <w:sz w:val="22"/>
          <w:szCs w:val="22"/>
        </w:rPr>
        <w:t> </w:t>
      </w:r>
    </w:p>
    <w:p w:rsidR="00365DC3" w:rsidRPr="00DE5F8E" w:rsidRDefault="00365DC3">
      <w:pPr>
        <w:rPr>
          <w:color w:val="000000" w:themeColor="text1"/>
        </w:rPr>
      </w:pPr>
    </w:p>
    <w:sectPr w:rsidR="00365DC3" w:rsidRPr="00DE5F8E" w:rsidSect="002311A3">
      <w:type w:val="continuous"/>
      <w:pgSz w:w="12240" w:h="15840" w:code="1"/>
      <w:pgMar w:top="720" w:right="720" w:bottom="720" w:left="1080" w:header="360" w:footer="36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8E"/>
    <w:rsid w:val="00103863"/>
    <w:rsid w:val="002311A3"/>
    <w:rsid w:val="00365DC3"/>
    <w:rsid w:val="008A0168"/>
    <w:rsid w:val="00D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F8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F8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>Northern Arizona Healthcare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Argenio</dc:creator>
  <cp:lastModifiedBy>Susan Argenio</cp:lastModifiedBy>
  <cp:revision>1</cp:revision>
  <dcterms:created xsi:type="dcterms:W3CDTF">2016-01-19T13:56:00Z</dcterms:created>
  <dcterms:modified xsi:type="dcterms:W3CDTF">2016-01-19T13:58:00Z</dcterms:modified>
</cp:coreProperties>
</file>