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B79" w:rsidRDefault="006B7B79" w:rsidP="009F3296">
      <w:pPr>
        <w:tabs>
          <w:tab w:val="left" w:pos="0"/>
        </w:tabs>
        <w:ind w:left="744"/>
      </w:pPr>
    </w:p>
    <w:p w:rsidR="003D6706" w:rsidRPr="008169D0" w:rsidRDefault="003D6706" w:rsidP="003D6706">
      <w:pPr>
        <w:tabs>
          <w:tab w:val="left" w:pos="360"/>
        </w:tabs>
        <w:spacing w:before="120" w:after="120"/>
        <w:ind w:right="360"/>
        <w:jc w:val="both"/>
        <w:rPr>
          <w:rFonts w:ascii="Arial" w:hAnsi="Arial" w:cs="Arial"/>
          <w:szCs w:val="24"/>
        </w:rPr>
      </w:pPr>
      <w:r w:rsidRPr="008169D0">
        <w:rPr>
          <w:rFonts w:ascii="Arial" w:hAnsi="Arial" w:cs="Arial"/>
          <w:szCs w:val="24"/>
          <w:lang w:val="en-CA"/>
        </w:rPr>
        <w:fldChar w:fldCharType="begin"/>
      </w:r>
      <w:r w:rsidRPr="008169D0">
        <w:rPr>
          <w:rFonts w:ascii="Arial" w:hAnsi="Arial" w:cs="Arial"/>
          <w:szCs w:val="24"/>
          <w:lang w:val="en-CA"/>
        </w:rPr>
        <w:instrText xml:space="preserve"> SEQ CHAPTER \h \r 1</w:instrText>
      </w:r>
      <w:r w:rsidRPr="008169D0">
        <w:rPr>
          <w:rFonts w:ascii="Arial" w:hAnsi="Arial" w:cs="Arial"/>
          <w:szCs w:val="24"/>
          <w:lang w:val="en-CA"/>
        </w:rPr>
        <w:fldChar w:fldCharType="end"/>
      </w:r>
      <w:r w:rsidRPr="008169D0">
        <w:rPr>
          <w:rFonts w:ascii="Arial" w:hAnsi="Arial" w:cs="Arial"/>
          <w:szCs w:val="24"/>
          <w:u w:val="single"/>
        </w:rPr>
        <w:t>PURPOSE</w:t>
      </w:r>
      <w:r w:rsidRPr="008169D0">
        <w:rPr>
          <w:rFonts w:ascii="Arial" w:hAnsi="Arial" w:cs="Arial"/>
          <w:szCs w:val="24"/>
        </w:rPr>
        <w:tab/>
      </w:r>
      <w:r w:rsidRPr="008169D0">
        <w:rPr>
          <w:rFonts w:ascii="Arial" w:hAnsi="Arial" w:cs="Arial"/>
          <w:szCs w:val="24"/>
        </w:rPr>
        <w:tab/>
      </w:r>
    </w:p>
    <w:p w:rsidR="00077C08" w:rsidRPr="00B45FE1" w:rsidRDefault="00077C08" w:rsidP="008169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 xml:space="preserve">Hemolysis (intravascular or </w:t>
      </w:r>
      <w:r w:rsidR="008169D0" w:rsidRPr="00B45FE1">
        <w:rPr>
          <w:rFonts w:ascii="Arial" w:hAnsi="Arial" w:cs="Arial"/>
          <w:sz w:val="20"/>
        </w:rPr>
        <w:t>extravascular</w:t>
      </w:r>
      <w:r w:rsidRPr="00B45FE1">
        <w:rPr>
          <w:rFonts w:ascii="Arial" w:hAnsi="Arial" w:cs="Arial"/>
          <w:sz w:val="20"/>
        </w:rPr>
        <w:t>) may cause chemical interferences and</w:t>
      </w:r>
      <w:r w:rsidR="008169D0" w:rsidRPr="00B45FE1">
        <w:rPr>
          <w:rFonts w:ascii="Arial" w:hAnsi="Arial" w:cs="Arial"/>
          <w:sz w:val="20"/>
        </w:rPr>
        <w:t xml:space="preserve"> interference with some optical </w:t>
      </w:r>
      <w:r w:rsidRPr="00B45FE1">
        <w:rPr>
          <w:rFonts w:ascii="Arial" w:hAnsi="Arial" w:cs="Arial"/>
          <w:sz w:val="20"/>
        </w:rPr>
        <w:t>instrumentation. Hemolysis is defined as the release of intracellular components of erythrocytes and other</w:t>
      </w:r>
      <w:r w:rsidR="008169D0" w:rsidRPr="00B45FE1">
        <w:rPr>
          <w:rFonts w:ascii="Arial" w:hAnsi="Arial" w:cs="Arial"/>
          <w:sz w:val="20"/>
        </w:rPr>
        <w:t xml:space="preserve"> </w:t>
      </w:r>
      <w:r w:rsidRPr="00B45FE1">
        <w:rPr>
          <w:rFonts w:ascii="Arial" w:hAnsi="Arial" w:cs="Arial"/>
          <w:sz w:val="20"/>
        </w:rPr>
        <w:t>blood cells into the extracellular space. It can appear in vivo as well as in vitro in all components of the preanalytical</w:t>
      </w:r>
      <w:r w:rsidR="008169D0" w:rsidRPr="00B45FE1">
        <w:rPr>
          <w:rFonts w:ascii="Arial" w:hAnsi="Arial" w:cs="Arial"/>
          <w:sz w:val="20"/>
        </w:rPr>
        <w:t xml:space="preserve"> </w:t>
      </w:r>
      <w:r w:rsidRPr="00B45FE1">
        <w:rPr>
          <w:rFonts w:ascii="Arial" w:hAnsi="Arial" w:cs="Arial"/>
          <w:sz w:val="20"/>
        </w:rPr>
        <w:t>phase. After the separation of blood cells, hemolysis is detected in serum and plasma by its red</w:t>
      </w:r>
      <w:r w:rsidR="008169D0" w:rsidRPr="00B45FE1">
        <w:rPr>
          <w:rFonts w:ascii="Arial" w:hAnsi="Arial" w:cs="Arial"/>
          <w:sz w:val="20"/>
        </w:rPr>
        <w:t xml:space="preserve"> </w:t>
      </w:r>
      <w:r w:rsidRPr="00B45FE1">
        <w:rPr>
          <w:rFonts w:ascii="Arial" w:hAnsi="Arial" w:cs="Arial"/>
          <w:sz w:val="20"/>
        </w:rPr>
        <w:t>color caused by hemoglobin.</w:t>
      </w:r>
    </w:p>
    <w:p w:rsidR="008169D0" w:rsidRDefault="00077C08" w:rsidP="008169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Icteric serum or plasma is noted as having yellowish or brownish discolorati</w:t>
      </w:r>
      <w:r w:rsidR="008169D0" w:rsidRPr="00B45FE1">
        <w:rPr>
          <w:rFonts w:ascii="Arial" w:hAnsi="Arial" w:cs="Arial"/>
          <w:sz w:val="20"/>
        </w:rPr>
        <w:t xml:space="preserve">on. The discoloration is due to </w:t>
      </w:r>
      <w:r w:rsidRPr="00B45FE1">
        <w:rPr>
          <w:rFonts w:ascii="Arial" w:hAnsi="Arial" w:cs="Arial"/>
          <w:sz w:val="20"/>
        </w:rPr>
        <w:t>excessive bilirubin in the sample, usually caused by either liver disease or excessive red cell breakdown inside</w:t>
      </w:r>
      <w:r w:rsidR="008169D0" w:rsidRPr="00B45FE1">
        <w:rPr>
          <w:rFonts w:ascii="Arial" w:hAnsi="Arial" w:cs="Arial"/>
          <w:sz w:val="20"/>
        </w:rPr>
        <w:t xml:space="preserve"> </w:t>
      </w:r>
      <w:r w:rsidRPr="00B45FE1">
        <w:rPr>
          <w:rFonts w:ascii="Arial" w:hAnsi="Arial" w:cs="Arial"/>
          <w:sz w:val="20"/>
        </w:rPr>
        <w:t>the body. Icterus can affect many lab tests, but recollection is not an option, since it is due to the patient’s</w:t>
      </w:r>
      <w:r w:rsidR="008169D0" w:rsidRPr="00B45FE1">
        <w:rPr>
          <w:rFonts w:ascii="Arial" w:hAnsi="Arial" w:cs="Arial"/>
          <w:sz w:val="20"/>
        </w:rPr>
        <w:t xml:space="preserve"> </w:t>
      </w:r>
      <w:r w:rsidRPr="00B45FE1">
        <w:rPr>
          <w:rFonts w:ascii="Arial" w:hAnsi="Arial" w:cs="Arial"/>
          <w:sz w:val="20"/>
        </w:rPr>
        <w:t>disease state and not the collection process.</w:t>
      </w:r>
    </w:p>
    <w:p w:rsidR="00B45FE1" w:rsidRDefault="00B45FE1" w:rsidP="008169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B45FE1" w:rsidRPr="00B45FE1" w:rsidRDefault="00B45FE1" w:rsidP="00B45FE1">
      <w:pPr>
        <w:tabs>
          <w:tab w:val="left" w:pos="360"/>
        </w:tabs>
        <w:spacing w:after="120"/>
        <w:ind w:right="360"/>
        <w:jc w:val="both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  <w:u w:val="single"/>
        </w:rPr>
        <w:t>DEFINITIONS</w:t>
      </w:r>
      <w:r>
        <w:rPr>
          <w:rFonts w:ascii="Arial" w:hAnsi="Arial" w:cs="Arial"/>
          <w:sz w:val="20"/>
          <w:u w:val="single"/>
        </w:rPr>
        <w:t xml:space="preserve"> </w:t>
      </w:r>
      <w:r w:rsidRPr="00B45FE1">
        <w:rPr>
          <w:rFonts w:ascii="Arial" w:hAnsi="Arial" w:cs="Arial"/>
          <w:sz w:val="20"/>
        </w:rPr>
        <w:t>N/A</w:t>
      </w:r>
      <w:r w:rsidRPr="00B45FE1">
        <w:rPr>
          <w:rFonts w:ascii="Arial" w:hAnsi="Arial" w:cs="Arial"/>
          <w:sz w:val="20"/>
        </w:rPr>
        <w:tab/>
      </w:r>
    </w:p>
    <w:p w:rsidR="00B45FE1" w:rsidRDefault="00B45FE1" w:rsidP="00077C08">
      <w:pPr>
        <w:autoSpaceDE w:val="0"/>
        <w:autoSpaceDN w:val="0"/>
        <w:adjustRightInd w:val="0"/>
        <w:rPr>
          <w:rFonts w:ascii="Arial" w:hAnsi="Arial" w:cs="Arial"/>
          <w:sz w:val="20"/>
          <w:u w:val="single"/>
        </w:rPr>
      </w:pPr>
    </w:p>
    <w:p w:rsidR="00077C08" w:rsidRDefault="00077C08" w:rsidP="00077C08">
      <w:pPr>
        <w:autoSpaceDE w:val="0"/>
        <w:autoSpaceDN w:val="0"/>
        <w:adjustRightInd w:val="0"/>
        <w:rPr>
          <w:rFonts w:ascii="Arial" w:hAnsi="Arial" w:cs="Arial"/>
          <w:sz w:val="20"/>
          <w:u w:val="single"/>
        </w:rPr>
      </w:pPr>
      <w:r w:rsidRPr="00B45FE1">
        <w:rPr>
          <w:rFonts w:ascii="Arial" w:hAnsi="Arial" w:cs="Arial"/>
          <w:sz w:val="20"/>
          <w:u w:val="single"/>
        </w:rPr>
        <w:t>PROCEDURE</w:t>
      </w:r>
    </w:p>
    <w:p w:rsidR="007D7B12" w:rsidRPr="00B45FE1" w:rsidRDefault="007D7B12" w:rsidP="00077C08">
      <w:pPr>
        <w:autoSpaceDE w:val="0"/>
        <w:autoSpaceDN w:val="0"/>
        <w:adjustRightInd w:val="0"/>
        <w:rPr>
          <w:rFonts w:ascii="Arial" w:hAnsi="Arial" w:cs="Arial"/>
          <w:sz w:val="20"/>
          <w:u w:val="single"/>
        </w:rPr>
      </w:pPr>
    </w:p>
    <w:p w:rsidR="00077C08" w:rsidRPr="00B45FE1" w:rsidRDefault="00077C08" w:rsidP="008169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1. Evaluate all specimens for hemolysis.</w:t>
      </w:r>
    </w:p>
    <w:p w:rsidR="00077C08" w:rsidRPr="00B45FE1" w:rsidRDefault="00077C08" w:rsidP="008169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  <w:r w:rsidRPr="00B45FE1">
        <w:rPr>
          <w:rFonts w:ascii="Arial" w:hAnsi="Arial" w:cs="Arial"/>
          <w:b/>
          <w:bCs/>
          <w:sz w:val="20"/>
        </w:rPr>
        <w:t>2. If hemolysis is noticeably present in plasma/serum, the specimen should be redrawn.</w:t>
      </w:r>
    </w:p>
    <w:p w:rsidR="00077C08" w:rsidRPr="00B45FE1" w:rsidRDefault="00077C08" w:rsidP="008169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3. Safeguards are built into the analyzer to interpret the amount of hemolysis present (indices)</w:t>
      </w:r>
      <w:r w:rsidR="007D7B12" w:rsidRPr="00B45FE1">
        <w:rPr>
          <w:rFonts w:ascii="Arial" w:hAnsi="Arial" w:cs="Arial"/>
          <w:sz w:val="20"/>
        </w:rPr>
        <w:t>, even</w:t>
      </w:r>
      <w:r w:rsidRPr="00B45FE1">
        <w:rPr>
          <w:rFonts w:ascii="Arial" w:hAnsi="Arial" w:cs="Arial"/>
          <w:sz w:val="20"/>
        </w:rPr>
        <w:t xml:space="preserve"> if it is not grossly visible. The analyzer will flag results affected by hemolysis based on the</w:t>
      </w:r>
      <w:r w:rsidR="008169D0" w:rsidRPr="00B45FE1">
        <w:rPr>
          <w:rFonts w:ascii="Arial" w:hAnsi="Arial" w:cs="Arial"/>
          <w:sz w:val="20"/>
        </w:rPr>
        <w:t xml:space="preserve"> </w:t>
      </w:r>
      <w:r w:rsidRPr="00B45FE1">
        <w:rPr>
          <w:rFonts w:ascii="Arial" w:hAnsi="Arial" w:cs="Arial"/>
          <w:sz w:val="20"/>
        </w:rPr>
        <w:t>analyte.</w:t>
      </w:r>
    </w:p>
    <w:p w:rsidR="00077C08" w:rsidRDefault="00077C08" w:rsidP="008169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4. In the absence of gross hemolysis, the following guidelines should be followed:</w:t>
      </w:r>
    </w:p>
    <w:p w:rsidR="007D7B12" w:rsidRPr="00B45FE1" w:rsidRDefault="007D7B12" w:rsidP="008169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077C08" w:rsidRPr="00B45FE1" w:rsidRDefault="00077C08" w:rsidP="007D7B12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A. Analytes that are not affected by the measured level of hemolysis will be reported.</w:t>
      </w:r>
    </w:p>
    <w:p w:rsidR="00077C08" w:rsidRDefault="00077C08" w:rsidP="007D7B12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B. Enter a Generic Comment for the specimen</w:t>
      </w:r>
      <w:r w:rsidR="007D7B12">
        <w:rPr>
          <w:rFonts w:ascii="Arial" w:hAnsi="Arial" w:cs="Arial"/>
          <w:sz w:val="20"/>
        </w:rPr>
        <w:t>:</w:t>
      </w:r>
    </w:p>
    <w:p w:rsidR="00077C08" w:rsidRPr="00B45FE1" w:rsidRDefault="00077C08" w:rsidP="007D7B12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Generic comment for mild (non-visible) hemolysis:</w:t>
      </w:r>
    </w:p>
    <w:p w:rsidR="00077C08" w:rsidRPr="007D7B12" w:rsidRDefault="00077C08" w:rsidP="007D7B12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i/>
          <w:sz w:val="20"/>
        </w:rPr>
      </w:pPr>
      <w:r w:rsidRPr="007D7B12">
        <w:rPr>
          <w:rFonts w:ascii="Arial" w:hAnsi="Arial" w:cs="Arial"/>
          <w:i/>
          <w:sz w:val="20"/>
        </w:rPr>
        <w:t xml:space="preserve">Hemolysis is present in the sample. The hemolysis index is </w:t>
      </w:r>
      <w:r w:rsidRPr="007D7B12">
        <w:rPr>
          <w:rFonts w:ascii="Arial" w:hAnsi="Arial" w:cs="Arial"/>
          <w:b/>
          <w:bCs/>
          <w:i/>
          <w:sz w:val="20"/>
        </w:rPr>
        <w:t>XXX</w:t>
      </w:r>
      <w:r w:rsidRPr="007D7B12">
        <w:rPr>
          <w:rFonts w:ascii="Arial" w:hAnsi="Arial" w:cs="Arial"/>
          <w:i/>
          <w:sz w:val="20"/>
        </w:rPr>
        <w:t>.</w:t>
      </w:r>
    </w:p>
    <w:p w:rsidR="00077C08" w:rsidRPr="00B45FE1" w:rsidRDefault="00077C08" w:rsidP="007D7B12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C. Non-critical analytes that are affected in a predictable way will be reported as “See Note”.</w:t>
      </w:r>
    </w:p>
    <w:p w:rsidR="00077C08" w:rsidRPr="00B45FE1" w:rsidRDefault="00077C08" w:rsidP="007D7B12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The result will be reported in the Comment section along with a standard interpretive comment.</w:t>
      </w:r>
    </w:p>
    <w:p w:rsidR="00077C08" w:rsidRPr="00B45FE1" w:rsidRDefault="00077C08" w:rsidP="007D7B12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In general, this will apply to analytes Asp Aminotransferase (AST), Direct bilirubin (DBil), Lactate</w:t>
      </w:r>
    </w:p>
    <w:p w:rsidR="00077C08" w:rsidRPr="00B45FE1" w:rsidRDefault="00077C08" w:rsidP="007D7B12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dehydrogenase (LDH), Acetaminophen (Acet), and Unsaturated iron binding capacity (UIBC).</w:t>
      </w:r>
    </w:p>
    <w:p w:rsidR="00077C08" w:rsidRPr="00B45FE1" w:rsidRDefault="00077C08" w:rsidP="007D7B12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Comment for AST, DBil, LDH, Acet, UIBC:</w:t>
      </w:r>
    </w:p>
    <w:p w:rsidR="00077C08" w:rsidRPr="007D7B12" w:rsidRDefault="00077C08" w:rsidP="007D7B12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i/>
          <w:sz w:val="20"/>
        </w:rPr>
      </w:pPr>
      <w:r w:rsidRPr="007D7B12">
        <w:rPr>
          <w:rFonts w:ascii="Arial" w:hAnsi="Arial" w:cs="Arial"/>
          <w:i/>
          <w:sz w:val="20"/>
        </w:rPr>
        <w:t xml:space="preserve">Hemolysis is present in the specimen. The measured value is </w:t>
      </w:r>
      <w:r w:rsidRPr="007D7B12">
        <w:rPr>
          <w:rFonts w:ascii="Arial" w:hAnsi="Arial" w:cs="Arial"/>
          <w:b/>
          <w:bCs/>
          <w:i/>
          <w:sz w:val="20"/>
        </w:rPr>
        <w:t>ZZZ (UNITS)</w:t>
      </w:r>
      <w:r w:rsidRPr="007D7B12">
        <w:rPr>
          <w:rFonts w:ascii="Arial" w:hAnsi="Arial" w:cs="Arial"/>
          <w:i/>
          <w:sz w:val="20"/>
        </w:rPr>
        <w:t>.</w:t>
      </w:r>
    </w:p>
    <w:p w:rsidR="00077C08" w:rsidRPr="007D7B12" w:rsidRDefault="00077C08" w:rsidP="007D7B12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b/>
          <w:bCs/>
          <w:i/>
          <w:sz w:val="20"/>
        </w:rPr>
      </w:pPr>
      <w:r w:rsidRPr="007D7B12">
        <w:rPr>
          <w:rFonts w:ascii="Arial" w:hAnsi="Arial" w:cs="Arial"/>
          <w:i/>
          <w:sz w:val="20"/>
        </w:rPr>
        <w:t xml:space="preserve">Manufacturer’s studies have shown that recovery of this analyte is </w:t>
      </w:r>
      <w:r w:rsidRPr="007D7B12">
        <w:rPr>
          <w:rFonts w:ascii="Arial" w:hAnsi="Arial" w:cs="Arial"/>
          <w:b/>
          <w:bCs/>
          <w:i/>
          <w:sz w:val="20"/>
        </w:rPr>
        <w:t>FALSELY</w:t>
      </w:r>
    </w:p>
    <w:p w:rsidR="00077C08" w:rsidRPr="007D7B12" w:rsidRDefault="00077C08" w:rsidP="007D7B12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i/>
          <w:sz w:val="20"/>
        </w:rPr>
      </w:pPr>
      <w:r w:rsidRPr="007D7B12">
        <w:rPr>
          <w:rFonts w:ascii="Arial" w:hAnsi="Arial" w:cs="Arial"/>
          <w:b/>
          <w:bCs/>
          <w:i/>
          <w:sz w:val="20"/>
        </w:rPr>
        <w:t xml:space="preserve">INCREASED BY GREATER THAN 10% </w:t>
      </w:r>
      <w:r w:rsidRPr="007D7B12">
        <w:rPr>
          <w:rFonts w:ascii="Arial" w:hAnsi="Arial" w:cs="Arial"/>
          <w:i/>
          <w:sz w:val="20"/>
        </w:rPr>
        <w:t>in the presence of hemolysis.</w:t>
      </w:r>
    </w:p>
    <w:p w:rsidR="00077C08" w:rsidRPr="00B45FE1" w:rsidRDefault="00077C08" w:rsidP="007D7B12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D. Troponin T, a critical analyte, is affected by hemolysis in a predictable way. It will be</w:t>
      </w:r>
    </w:p>
    <w:p w:rsidR="00077C08" w:rsidRPr="00B45FE1" w:rsidRDefault="00077C08" w:rsidP="007D7B12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reported as “See Note”. The result will be reported in the Comment section along with a</w:t>
      </w:r>
    </w:p>
    <w:p w:rsidR="00077C08" w:rsidRPr="00B45FE1" w:rsidRDefault="00077C08" w:rsidP="007D7B12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standard interpretive comment.</w:t>
      </w:r>
    </w:p>
    <w:p w:rsidR="00077C08" w:rsidRPr="00B45FE1" w:rsidRDefault="00077C08" w:rsidP="007D7B12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Comment for Troponin T:</w:t>
      </w:r>
    </w:p>
    <w:p w:rsidR="00077C08" w:rsidRPr="007D7B12" w:rsidRDefault="00077C08" w:rsidP="007D7B12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i/>
          <w:sz w:val="20"/>
        </w:rPr>
      </w:pPr>
      <w:r w:rsidRPr="007D7B12">
        <w:rPr>
          <w:rFonts w:ascii="Arial" w:hAnsi="Arial" w:cs="Arial"/>
          <w:i/>
          <w:sz w:val="20"/>
        </w:rPr>
        <w:t xml:space="preserve">Hemolysis is present in the specimen. The measured value is </w:t>
      </w:r>
      <w:r w:rsidRPr="007D7B12">
        <w:rPr>
          <w:rFonts w:ascii="Arial" w:hAnsi="Arial" w:cs="Arial"/>
          <w:b/>
          <w:bCs/>
          <w:i/>
          <w:sz w:val="20"/>
        </w:rPr>
        <w:t>ZZZ (UNITS)</w:t>
      </w:r>
      <w:r w:rsidRPr="007D7B12">
        <w:rPr>
          <w:rFonts w:ascii="Arial" w:hAnsi="Arial" w:cs="Arial"/>
          <w:i/>
          <w:sz w:val="20"/>
        </w:rPr>
        <w:t>.</w:t>
      </w:r>
    </w:p>
    <w:p w:rsidR="00077C08" w:rsidRPr="007D7B12" w:rsidRDefault="00077C08" w:rsidP="007D7B12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b/>
          <w:bCs/>
          <w:i/>
          <w:sz w:val="20"/>
        </w:rPr>
      </w:pPr>
      <w:r w:rsidRPr="007D7B12">
        <w:rPr>
          <w:rFonts w:ascii="Arial" w:hAnsi="Arial" w:cs="Arial"/>
          <w:i/>
          <w:sz w:val="20"/>
        </w:rPr>
        <w:lastRenderedPageBreak/>
        <w:t xml:space="preserve">Manufacturer’s studies have shown that recovery of this analyte is </w:t>
      </w:r>
      <w:r w:rsidRPr="007D7B12">
        <w:rPr>
          <w:rFonts w:ascii="Arial" w:hAnsi="Arial" w:cs="Arial"/>
          <w:b/>
          <w:bCs/>
          <w:i/>
          <w:sz w:val="20"/>
        </w:rPr>
        <w:t>FALSELY</w:t>
      </w:r>
    </w:p>
    <w:p w:rsidR="00077C08" w:rsidRPr="007D7B12" w:rsidRDefault="00077C08" w:rsidP="007D7B12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i/>
          <w:sz w:val="20"/>
        </w:rPr>
      </w:pPr>
      <w:r w:rsidRPr="007D7B12">
        <w:rPr>
          <w:rFonts w:ascii="Arial" w:hAnsi="Arial" w:cs="Arial"/>
          <w:b/>
          <w:bCs/>
          <w:i/>
          <w:sz w:val="20"/>
        </w:rPr>
        <w:t xml:space="preserve">DECREASED BY GREATER THAN 10% </w:t>
      </w:r>
      <w:r w:rsidRPr="007D7B12">
        <w:rPr>
          <w:rFonts w:ascii="Arial" w:hAnsi="Arial" w:cs="Arial"/>
          <w:i/>
          <w:sz w:val="20"/>
        </w:rPr>
        <w:t>in the presence of hemolysis.</w:t>
      </w:r>
    </w:p>
    <w:p w:rsidR="00077C08" w:rsidRPr="00B45FE1" w:rsidRDefault="00077C08" w:rsidP="007D7B12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E. Potassium, a critical analyte, will not be reported in hemolyzed specimens except under the</w:t>
      </w:r>
    </w:p>
    <w:p w:rsidR="00077C08" w:rsidRPr="00B45FE1" w:rsidRDefault="00077C08" w:rsidP="007D7B12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specific circumstances outlined in section F below. In the result field, enter the comment</w:t>
      </w:r>
    </w:p>
    <w:p w:rsidR="00077C08" w:rsidRPr="00B45FE1" w:rsidRDefault="007D7B12" w:rsidP="00077C0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13332">
        <w:rPr>
          <w:rFonts w:ascii="Arial" w:hAnsi="Arial" w:cs="Arial"/>
          <w:sz w:val="20"/>
        </w:rPr>
        <w:t>“</w:t>
      </w:r>
      <w:r w:rsidR="00077C08" w:rsidRPr="00B45FE1">
        <w:rPr>
          <w:rFonts w:ascii="Arial" w:hAnsi="Arial" w:cs="Arial"/>
          <w:sz w:val="20"/>
        </w:rPr>
        <w:t>Hemolyzed – unable to perform”. In the Comment section, enter the potassium-specific</w:t>
      </w:r>
    </w:p>
    <w:p w:rsidR="00077C08" w:rsidRPr="00B45FE1" w:rsidRDefault="00077C08" w:rsidP="007D7B12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standard comment. Telephone the clinical team to notify that the assay cannot be performed,</w:t>
      </w:r>
    </w:p>
    <w:p w:rsidR="00077C08" w:rsidRPr="00B45FE1" w:rsidRDefault="00077C08" w:rsidP="007D7B12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and document in the Comment section.</w:t>
      </w:r>
    </w:p>
    <w:p w:rsidR="00077C08" w:rsidRPr="00B45FE1" w:rsidRDefault="00077C08" w:rsidP="007D7B12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Comment for Potassium:</w:t>
      </w:r>
    </w:p>
    <w:p w:rsidR="00077C08" w:rsidRPr="007D7B12" w:rsidRDefault="00077C08" w:rsidP="007D7B12">
      <w:pPr>
        <w:autoSpaceDE w:val="0"/>
        <w:autoSpaceDN w:val="0"/>
        <w:adjustRightInd w:val="0"/>
        <w:ind w:firstLine="720"/>
        <w:rPr>
          <w:rFonts w:ascii="Arial" w:hAnsi="Arial" w:cs="Arial"/>
          <w:i/>
          <w:sz w:val="20"/>
        </w:rPr>
      </w:pPr>
      <w:r w:rsidRPr="007D7B12">
        <w:rPr>
          <w:rFonts w:ascii="Arial" w:hAnsi="Arial" w:cs="Arial"/>
          <w:i/>
          <w:sz w:val="20"/>
        </w:rPr>
        <w:t>Hemolysis is present in the specimen; the assay cannot be performed. Notification was</w:t>
      </w:r>
    </w:p>
    <w:p w:rsidR="00077C08" w:rsidRPr="00713332" w:rsidRDefault="00077C08" w:rsidP="00713332">
      <w:pPr>
        <w:autoSpaceDE w:val="0"/>
        <w:autoSpaceDN w:val="0"/>
        <w:adjustRightInd w:val="0"/>
        <w:ind w:firstLine="720"/>
        <w:rPr>
          <w:rFonts w:ascii="Arial" w:hAnsi="Arial" w:cs="Arial"/>
          <w:i/>
          <w:sz w:val="20"/>
        </w:rPr>
      </w:pPr>
      <w:r w:rsidRPr="00713332">
        <w:rPr>
          <w:rFonts w:ascii="Arial" w:hAnsi="Arial" w:cs="Arial"/>
          <w:i/>
          <w:sz w:val="20"/>
        </w:rPr>
        <w:t>given to ZZZ.</w:t>
      </w:r>
    </w:p>
    <w:p w:rsidR="00077C08" w:rsidRPr="00B45FE1" w:rsidRDefault="00077C08" w:rsidP="00713332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Have the floor reorder potassium and see that specimen is recollected as soon as possible. If</w:t>
      </w:r>
    </w:p>
    <w:p w:rsidR="00077C08" w:rsidRPr="00B45FE1" w:rsidRDefault="00077C08" w:rsidP="00713332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the floor cannot reorder the potassium, it is OK for the lab to reorder.</w:t>
      </w:r>
    </w:p>
    <w:p w:rsidR="00077C08" w:rsidRPr="00B45FE1" w:rsidRDefault="00077C08" w:rsidP="00713332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F. Under exceptional circumstances, the treating provider may ask, and the pathologist may</w:t>
      </w:r>
    </w:p>
    <w:p w:rsidR="00077C08" w:rsidRPr="00B45FE1" w:rsidRDefault="00077C08" w:rsidP="00713332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approve, analysis and reporting of potassium in hemolyzed samples, particularly for samples</w:t>
      </w:r>
    </w:p>
    <w:p w:rsidR="00077C08" w:rsidRPr="00B45FE1" w:rsidRDefault="00077C08" w:rsidP="00713332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from neonates. This exception will be made routinely for neonatal intensive care patients</w:t>
      </w:r>
    </w:p>
    <w:p w:rsidR="00077C08" w:rsidRPr="00B45FE1" w:rsidRDefault="00077C08" w:rsidP="00713332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because of the wider acceptable “normal” range for this age cohort AND because it is used</w:t>
      </w:r>
    </w:p>
    <w:p w:rsidR="00077C08" w:rsidRPr="00B45FE1" w:rsidRDefault="00077C08" w:rsidP="00713332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more to adjust TPN and less as a critical analyte requiring immediate intervention. When</w:t>
      </w:r>
    </w:p>
    <w:p w:rsidR="00077C08" w:rsidRPr="00B45FE1" w:rsidRDefault="00077C08" w:rsidP="00713332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potassium is reported in hemolyzed samples, the comment “</w:t>
      </w:r>
      <w:r w:rsidRPr="00713332">
        <w:rPr>
          <w:rFonts w:ascii="Arial" w:hAnsi="Arial" w:cs="Arial"/>
          <w:i/>
          <w:sz w:val="20"/>
        </w:rPr>
        <w:t>Hemolyzed – see comment</w:t>
      </w:r>
      <w:r w:rsidRPr="00B45FE1">
        <w:rPr>
          <w:rFonts w:ascii="Arial" w:hAnsi="Arial" w:cs="Arial"/>
          <w:sz w:val="20"/>
        </w:rPr>
        <w:t>” will be</w:t>
      </w:r>
    </w:p>
    <w:p w:rsidR="00077C08" w:rsidRPr="00B45FE1" w:rsidRDefault="00077C08" w:rsidP="00713332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placed in the result field and the following neonate-specific comment will be placed in the</w:t>
      </w:r>
    </w:p>
    <w:p w:rsidR="00077C08" w:rsidRPr="00B45FE1" w:rsidRDefault="00077C08" w:rsidP="00713332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comment section.</w:t>
      </w:r>
    </w:p>
    <w:p w:rsidR="00077C08" w:rsidRPr="00B45FE1" w:rsidRDefault="00077C08" w:rsidP="00713332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Comment for Potassium reported in neonates:</w:t>
      </w:r>
    </w:p>
    <w:p w:rsidR="00077C08" w:rsidRPr="00713332" w:rsidRDefault="00077C08" w:rsidP="00713332">
      <w:pPr>
        <w:autoSpaceDE w:val="0"/>
        <w:autoSpaceDN w:val="0"/>
        <w:adjustRightInd w:val="0"/>
        <w:ind w:firstLine="720"/>
        <w:rPr>
          <w:rFonts w:ascii="Arial" w:hAnsi="Arial" w:cs="Arial"/>
          <w:i/>
          <w:sz w:val="20"/>
        </w:rPr>
      </w:pPr>
      <w:r w:rsidRPr="00713332">
        <w:rPr>
          <w:rFonts w:ascii="Arial" w:hAnsi="Arial" w:cs="Arial"/>
          <w:i/>
          <w:sz w:val="20"/>
        </w:rPr>
        <w:t xml:space="preserve">The specimen has a hemolysis index of </w:t>
      </w:r>
      <w:r w:rsidRPr="00713332">
        <w:rPr>
          <w:rFonts w:ascii="Arial" w:hAnsi="Arial" w:cs="Arial"/>
          <w:b/>
          <w:bCs/>
          <w:i/>
          <w:sz w:val="20"/>
        </w:rPr>
        <w:t xml:space="preserve">XXX, </w:t>
      </w:r>
      <w:r w:rsidRPr="00713332">
        <w:rPr>
          <w:rFonts w:ascii="Arial" w:hAnsi="Arial" w:cs="Arial"/>
          <w:i/>
          <w:sz w:val="20"/>
        </w:rPr>
        <w:t>which is known to falsely elevate</w:t>
      </w:r>
    </w:p>
    <w:p w:rsidR="00077C08" w:rsidRPr="00713332" w:rsidRDefault="00077C08" w:rsidP="00713332">
      <w:pPr>
        <w:autoSpaceDE w:val="0"/>
        <w:autoSpaceDN w:val="0"/>
        <w:adjustRightInd w:val="0"/>
        <w:ind w:firstLine="720"/>
        <w:rPr>
          <w:rFonts w:ascii="Arial" w:hAnsi="Arial" w:cs="Arial"/>
          <w:i/>
          <w:sz w:val="20"/>
        </w:rPr>
      </w:pPr>
      <w:r w:rsidRPr="00713332">
        <w:rPr>
          <w:rFonts w:ascii="Arial" w:hAnsi="Arial" w:cs="Arial"/>
          <w:i/>
          <w:sz w:val="20"/>
        </w:rPr>
        <w:t xml:space="preserve">potassium levels. The measured potassium is </w:t>
      </w:r>
      <w:r w:rsidRPr="00713332">
        <w:rPr>
          <w:rFonts w:ascii="Arial" w:hAnsi="Arial" w:cs="Arial"/>
          <w:b/>
          <w:bCs/>
          <w:i/>
          <w:sz w:val="20"/>
        </w:rPr>
        <w:t>ZZZ (UNITS)</w:t>
      </w:r>
      <w:r w:rsidRPr="00713332">
        <w:rPr>
          <w:rFonts w:ascii="Arial" w:hAnsi="Arial" w:cs="Arial"/>
          <w:i/>
          <w:sz w:val="20"/>
        </w:rPr>
        <w:t>. The true potassium value</w:t>
      </w:r>
    </w:p>
    <w:p w:rsidR="00077C08" w:rsidRPr="00713332" w:rsidRDefault="00077C08" w:rsidP="00713332">
      <w:pPr>
        <w:autoSpaceDE w:val="0"/>
        <w:autoSpaceDN w:val="0"/>
        <w:adjustRightInd w:val="0"/>
        <w:ind w:firstLine="720"/>
        <w:rPr>
          <w:rFonts w:ascii="Arial" w:hAnsi="Arial" w:cs="Arial"/>
          <w:i/>
          <w:sz w:val="20"/>
        </w:rPr>
      </w:pPr>
      <w:r w:rsidRPr="00713332">
        <w:rPr>
          <w:rFonts w:ascii="Arial" w:hAnsi="Arial" w:cs="Arial"/>
          <w:i/>
          <w:sz w:val="20"/>
        </w:rPr>
        <w:t>is less than the measured value.</w:t>
      </w:r>
    </w:p>
    <w:p w:rsidR="00077C08" w:rsidRPr="00B45FE1" w:rsidRDefault="00077C08" w:rsidP="00077C0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5. In the very rare event that repeated samples are grossly hemolyzed or that there is extensive in</w:t>
      </w:r>
    </w:p>
    <w:p w:rsidR="00077C08" w:rsidRPr="00B45FE1" w:rsidRDefault="00077C08" w:rsidP="00077C0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vivo hemolysis (resulting in grossly hemolyzed samples), then report results as follows:</w:t>
      </w:r>
    </w:p>
    <w:p w:rsidR="00077C08" w:rsidRPr="00B45FE1" w:rsidRDefault="00077C08" w:rsidP="00713332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A. Notify the clinical team.</w:t>
      </w:r>
    </w:p>
    <w:p w:rsidR="00077C08" w:rsidRPr="00B45FE1" w:rsidRDefault="00077C08" w:rsidP="00713332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B. Enter a generic comment for the specimen:</w:t>
      </w:r>
    </w:p>
    <w:p w:rsidR="00077C08" w:rsidRPr="00B45FE1" w:rsidRDefault="00077C08" w:rsidP="00713332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Generic Comment:</w:t>
      </w:r>
    </w:p>
    <w:p w:rsidR="00077C08" w:rsidRPr="00713332" w:rsidRDefault="00077C08" w:rsidP="00713332">
      <w:pPr>
        <w:autoSpaceDE w:val="0"/>
        <w:autoSpaceDN w:val="0"/>
        <w:adjustRightInd w:val="0"/>
        <w:ind w:firstLine="720"/>
        <w:rPr>
          <w:rFonts w:ascii="Arial" w:hAnsi="Arial" w:cs="Arial"/>
          <w:i/>
          <w:sz w:val="20"/>
          <w:u w:val="single"/>
        </w:rPr>
      </w:pPr>
      <w:r w:rsidRPr="00713332">
        <w:rPr>
          <w:rFonts w:ascii="Arial" w:hAnsi="Arial" w:cs="Arial"/>
          <w:i/>
          <w:sz w:val="20"/>
          <w:u w:val="single"/>
        </w:rPr>
        <w:t xml:space="preserve">Gross hemolysis is present in the sample. The hemolysis index is </w:t>
      </w:r>
      <w:r w:rsidRPr="00713332">
        <w:rPr>
          <w:rFonts w:ascii="Arial" w:hAnsi="Arial" w:cs="Arial"/>
          <w:b/>
          <w:bCs/>
          <w:i/>
          <w:sz w:val="20"/>
          <w:u w:val="single"/>
        </w:rPr>
        <w:t>XXX</w:t>
      </w:r>
      <w:r w:rsidRPr="00713332">
        <w:rPr>
          <w:rFonts w:ascii="Arial" w:hAnsi="Arial" w:cs="Arial"/>
          <w:i/>
          <w:sz w:val="20"/>
          <w:u w:val="single"/>
        </w:rPr>
        <w:t>. Repeat draw</w:t>
      </w:r>
    </w:p>
    <w:p w:rsidR="00077C08" w:rsidRPr="00713332" w:rsidRDefault="00077C08" w:rsidP="00713332">
      <w:pPr>
        <w:autoSpaceDE w:val="0"/>
        <w:autoSpaceDN w:val="0"/>
        <w:adjustRightInd w:val="0"/>
        <w:ind w:firstLine="720"/>
        <w:rPr>
          <w:rFonts w:ascii="Arial" w:hAnsi="Arial" w:cs="Arial"/>
          <w:i/>
          <w:sz w:val="20"/>
          <w:u w:val="single"/>
        </w:rPr>
      </w:pPr>
      <w:r w:rsidRPr="00713332">
        <w:rPr>
          <w:rFonts w:ascii="Arial" w:hAnsi="Arial" w:cs="Arial"/>
          <w:i/>
          <w:sz w:val="20"/>
          <w:u w:val="single"/>
        </w:rPr>
        <w:t>attempts have failed to yield a non-hemolyzed sample. When feasible, measured values</w:t>
      </w:r>
    </w:p>
    <w:p w:rsidR="00077C08" w:rsidRPr="00713332" w:rsidRDefault="00077C08" w:rsidP="00713332">
      <w:pPr>
        <w:autoSpaceDE w:val="0"/>
        <w:autoSpaceDN w:val="0"/>
        <w:adjustRightInd w:val="0"/>
        <w:ind w:firstLine="720"/>
        <w:rPr>
          <w:rFonts w:ascii="Arial" w:hAnsi="Arial" w:cs="Arial"/>
          <w:i/>
          <w:sz w:val="20"/>
          <w:u w:val="single"/>
        </w:rPr>
      </w:pPr>
      <w:r w:rsidRPr="00713332">
        <w:rPr>
          <w:rFonts w:ascii="Arial" w:hAnsi="Arial" w:cs="Arial"/>
          <w:i/>
          <w:sz w:val="20"/>
          <w:u w:val="single"/>
        </w:rPr>
        <w:t>are reported in the Comment section for each requested analyte. Please refer to the</w:t>
      </w:r>
    </w:p>
    <w:p w:rsidR="00077C08" w:rsidRPr="00713332" w:rsidRDefault="00077C08" w:rsidP="00713332">
      <w:pPr>
        <w:autoSpaceDE w:val="0"/>
        <w:autoSpaceDN w:val="0"/>
        <w:adjustRightInd w:val="0"/>
        <w:ind w:firstLine="720"/>
        <w:rPr>
          <w:rFonts w:ascii="Arial" w:hAnsi="Arial" w:cs="Arial"/>
          <w:i/>
          <w:sz w:val="20"/>
          <w:u w:val="single"/>
        </w:rPr>
      </w:pPr>
      <w:r w:rsidRPr="00713332">
        <w:rPr>
          <w:rFonts w:ascii="Arial" w:hAnsi="Arial" w:cs="Arial"/>
          <w:i/>
          <w:sz w:val="20"/>
          <w:u w:val="single"/>
        </w:rPr>
        <w:t>hemolysis interpretive table for further information. The hemolysis interpretive table is</w:t>
      </w:r>
    </w:p>
    <w:p w:rsidR="00077C08" w:rsidRPr="00713332" w:rsidRDefault="00077C08" w:rsidP="00713332">
      <w:pPr>
        <w:autoSpaceDE w:val="0"/>
        <w:autoSpaceDN w:val="0"/>
        <w:adjustRightInd w:val="0"/>
        <w:ind w:firstLine="720"/>
        <w:rPr>
          <w:rFonts w:ascii="Arial" w:hAnsi="Arial" w:cs="Arial"/>
          <w:i/>
          <w:sz w:val="20"/>
          <w:u w:val="single"/>
        </w:rPr>
      </w:pPr>
      <w:r w:rsidRPr="00713332">
        <w:rPr>
          <w:rFonts w:ascii="Arial" w:hAnsi="Arial" w:cs="Arial"/>
          <w:i/>
          <w:sz w:val="20"/>
          <w:u w:val="single"/>
        </w:rPr>
        <w:t xml:space="preserve">provided as an appendix to procedure </w:t>
      </w:r>
      <w:r w:rsidR="00713332" w:rsidRPr="00713332">
        <w:rPr>
          <w:rFonts w:ascii="Arial" w:hAnsi="Arial" w:cs="Arial"/>
          <w:i/>
          <w:sz w:val="20"/>
          <w:u w:val="single"/>
        </w:rPr>
        <w:t>(</w:t>
      </w:r>
      <w:r w:rsidRPr="00713332">
        <w:rPr>
          <w:rFonts w:ascii="Arial" w:hAnsi="Arial" w:cs="Arial"/>
          <w:b/>
          <w:bCs/>
          <w:i/>
          <w:sz w:val="20"/>
          <w:u w:val="single"/>
        </w:rPr>
        <w:t>PROCEDURE NUMBER</w:t>
      </w:r>
      <w:r w:rsidR="00713332" w:rsidRPr="00713332">
        <w:rPr>
          <w:rFonts w:ascii="Arial" w:hAnsi="Arial" w:cs="Arial"/>
          <w:i/>
          <w:sz w:val="20"/>
          <w:u w:val="single"/>
        </w:rPr>
        <w:t>)</w:t>
      </w:r>
      <w:r w:rsidRPr="00713332">
        <w:rPr>
          <w:rFonts w:ascii="Arial" w:hAnsi="Arial" w:cs="Arial"/>
          <w:i/>
          <w:sz w:val="20"/>
          <w:u w:val="single"/>
        </w:rPr>
        <w:t xml:space="preserve"> Notification was given</w:t>
      </w:r>
    </w:p>
    <w:p w:rsidR="00077C08" w:rsidRPr="00713332" w:rsidRDefault="00077C08" w:rsidP="00713332">
      <w:pPr>
        <w:autoSpaceDE w:val="0"/>
        <w:autoSpaceDN w:val="0"/>
        <w:adjustRightInd w:val="0"/>
        <w:ind w:firstLine="720"/>
        <w:rPr>
          <w:rFonts w:ascii="Arial" w:hAnsi="Arial" w:cs="Arial"/>
          <w:i/>
          <w:sz w:val="20"/>
          <w:u w:val="single"/>
        </w:rPr>
      </w:pPr>
      <w:r w:rsidRPr="00713332">
        <w:rPr>
          <w:rFonts w:ascii="Arial" w:hAnsi="Arial" w:cs="Arial"/>
          <w:i/>
          <w:sz w:val="20"/>
          <w:u w:val="single"/>
        </w:rPr>
        <w:t>to ZZZ.</w:t>
      </w:r>
    </w:p>
    <w:p w:rsidR="00077C08" w:rsidRPr="00B45FE1" w:rsidRDefault="00077C08" w:rsidP="00713332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C. Analytes that are not affected by the measured level of hemolysis will be reported.</w:t>
      </w:r>
    </w:p>
    <w:p w:rsidR="00077C08" w:rsidRPr="00B45FE1" w:rsidRDefault="00077C08" w:rsidP="00713332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D. In the result field for Potassium, enter “</w:t>
      </w:r>
      <w:r w:rsidRPr="0045158F">
        <w:rPr>
          <w:rFonts w:ascii="Arial" w:hAnsi="Arial" w:cs="Arial"/>
          <w:i/>
          <w:sz w:val="20"/>
          <w:u w:val="single"/>
        </w:rPr>
        <w:t>Hemolyzed – unable to perform</w:t>
      </w:r>
      <w:r w:rsidRPr="00B45FE1">
        <w:rPr>
          <w:rFonts w:ascii="Arial" w:hAnsi="Arial" w:cs="Arial"/>
          <w:sz w:val="20"/>
        </w:rPr>
        <w:t>”. In the Comment</w:t>
      </w:r>
    </w:p>
    <w:p w:rsidR="00077C08" w:rsidRPr="00B45FE1" w:rsidRDefault="00077C08" w:rsidP="00713332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section, enter the potassium-specific standard comment for hemolyzed specimens.</w:t>
      </w:r>
    </w:p>
    <w:p w:rsidR="00077C08" w:rsidRPr="00B45FE1" w:rsidRDefault="00077C08" w:rsidP="00713332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 xml:space="preserve">E. For analytes other than potassium, result with </w:t>
      </w:r>
      <w:r w:rsidRPr="0045158F">
        <w:rPr>
          <w:rFonts w:ascii="Arial" w:hAnsi="Arial" w:cs="Arial"/>
          <w:sz w:val="20"/>
          <w:u w:val="single"/>
        </w:rPr>
        <w:t>“</w:t>
      </w:r>
      <w:r w:rsidRPr="0045158F">
        <w:rPr>
          <w:rFonts w:ascii="Arial" w:hAnsi="Arial" w:cs="Arial"/>
          <w:i/>
          <w:sz w:val="20"/>
          <w:u w:val="single"/>
        </w:rPr>
        <w:t>See Note</w:t>
      </w:r>
      <w:r w:rsidRPr="0045158F">
        <w:rPr>
          <w:rFonts w:ascii="Arial" w:hAnsi="Arial" w:cs="Arial"/>
          <w:sz w:val="20"/>
          <w:u w:val="single"/>
        </w:rPr>
        <w:t>.</w:t>
      </w:r>
      <w:r w:rsidRPr="00B45FE1">
        <w:rPr>
          <w:rFonts w:ascii="Arial" w:hAnsi="Arial" w:cs="Arial"/>
          <w:sz w:val="20"/>
        </w:rPr>
        <w:t>”</w:t>
      </w:r>
    </w:p>
    <w:p w:rsidR="00077C08" w:rsidRPr="00B45FE1" w:rsidRDefault="00077C08" w:rsidP="00713332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F. Enter the following in the Comment section for analytes other than potassium:</w:t>
      </w:r>
    </w:p>
    <w:p w:rsidR="00077C08" w:rsidRPr="00B45FE1" w:rsidRDefault="00077C08" w:rsidP="0045158F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Comment:</w:t>
      </w:r>
    </w:p>
    <w:p w:rsidR="00077C08" w:rsidRPr="0045158F" w:rsidRDefault="00077C08" w:rsidP="0045158F">
      <w:pPr>
        <w:autoSpaceDE w:val="0"/>
        <w:autoSpaceDN w:val="0"/>
        <w:adjustRightInd w:val="0"/>
        <w:ind w:firstLine="720"/>
        <w:rPr>
          <w:rFonts w:ascii="Arial" w:hAnsi="Arial" w:cs="Arial"/>
          <w:i/>
          <w:sz w:val="20"/>
          <w:u w:val="single"/>
        </w:rPr>
      </w:pPr>
      <w:r w:rsidRPr="0045158F">
        <w:rPr>
          <w:rFonts w:ascii="Arial" w:hAnsi="Arial" w:cs="Arial"/>
          <w:i/>
          <w:sz w:val="20"/>
          <w:u w:val="single"/>
        </w:rPr>
        <w:t xml:space="preserve">Hemolysis is present in the specimen. The measured value is </w:t>
      </w:r>
      <w:r w:rsidRPr="0045158F">
        <w:rPr>
          <w:rFonts w:ascii="Arial" w:hAnsi="Arial" w:cs="Arial"/>
          <w:b/>
          <w:bCs/>
          <w:i/>
          <w:sz w:val="20"/>
          <w:u w:val="single"/>
        </w:rPr>
        <w:t>ZZZ (UNITS)</w:t>
      </w:r>
      <w:r w:rsidRPr="0045158F">
        <w:rPr>
          <w:rFonts w:ascii="Arial" w:hAnsi="Arial" w:cs="Arial"/>
          <w:i/>
          <w:sz w:val="20"/>
          <w:u w:val="single"/>
        </w:rPr>
        <w:t>. Please</w:t>
      </w:r>
    </w:p>
    <w:p w:rsidR="00077C08" w:rsidRPr="0045158F" w:rsidRDefault="00077C08" w:rsidP="0045158F">
      <w:pPr>
        <w:autoSpaceDE w:val="0"/>
        <w:autoSpaceDN w:val="0"/>
        <w:adjustRightInd w:val="0"/>
        <w:ind w:firstLine="720"/>
        <w:rPr>
          <w:rFonts w:ascii="Arial" w:hAnsi="Arial" w:cs="Arial"/>
          <w:i/>
          <w:sz w:val="20"/>
          <w:u w:val="single"/>
        </w:rPr>
      </w:pPr>
      <w:r w:rsidRPr="0045158F">
        <w:rPr>
          <w:rFonts w:ascii="Arial" w:hAnsi="Arial" w:cs="Arial"/>
          <w:i/>
          <w:sz w:val="20"/>
          <w:u w:val="single"/>
        </w:rPr>
        <w:t>refer to the hemolysis interpretive table for further information.</w:t>
      </w:r>
    </w:p>
    <w:p w:rsidR="00077C08" w:rsidRPr="00B45FE1" w:rsidRDefault="00077C08" w:rsidP="00077C0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6. For Blood Bank, Coagulation, and Hematology testing, using hemolyzed specimens is</w:t>
      </w:r>
    </w:p>
    <w:p w:rsidR="00077C08" w:rsidRPr="00B45FE1" w:rsidRDefault="00077C08" w:rsidP="00077C0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inappropriate.</w:t>
      </w:r>
    </w:p>
    <w:p w:rsidR="00077C08" w:rsidRPr="00B45FE1" w:rsidRDefault="00077C08" w:rsidP="00077C0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7. Any questions concerning application of these guidelines should be directed to the Laboratory</w:t>
      </w:r>
    </w:p>
    <w:p w:rsidR="00077C08" w:rsidRDefault="00077C08" w:rsidP="00077C0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Director or the Director of Laboratory Services.</w:t>
      </w:r>
    </w:p>
    <w:p w:rsidR="0045158F" w:rsidRPr="00B45FE1" w:rsidRDefault="0045158F" w:rsidP="00077C08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077C08" w:rsidRPr="00B45FE1" w:rsidRDefault="00077C08" w:rsidP="00077C0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B45FE1">
        <w:rPr>
          <w:rFonts w:ascii="Arial" w:hAnsi="Arial" w:cs="Arial"/>
          <w:b/>
          <w:bCs/>
          <w:sz w:val="20"/>
        </w:rPr>
        <w:t>Icterus</w:t>
      </w:r>
    </w:p>
    <w:p w:rsidR="00077C08" w:rsidRPr="00B45FE1" w:rsidRDefault="00077C08" w:rsidP="00077C0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1. Evaluate all specimens for icterus.</w:t>
      </w:r>
    </w:p>
    <w:p w:rsidR="00077C08" w:rsidRPr="00B45FE1" w:rsidRDefault="00077C08" w:rsidP="00077C0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2. If icterus is present in the plasma/serum, results for Total Protein (TP), Creatininine, Ammonia,</w:t>
      </w:r>
    </w:p>
    <w:p w:rsidR="00077C08" w:rsidRPr="00B45FE1" w:rsidRDefault="00077C08" w:rsidP="00077C0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CO2, Creatinine Kinase,, GGT, Calcium, and Direct Bilirubin are affected. By extension, eGFR,</w:t>
      </w:r>
    </w:p>
    <w:p w:rsidR="00077C08" w:rsidRPr="00B45FE1" w:rsidRDefault="00077C08" w:rsidP="00077C0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which is a calculated value based on Creatinine, is also affected.</w:t>
      </w:r>
    </w:p>
    <w:p w:rsidR="00077C08" w:rsidRPr="00B45FE1" w:rsidRDefault="00077C08" w:rsidP="00077C0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3. Safeguards are built into the analyzer to interpret the amount of icterus present. The analyzer</w:t>
      </w:r>
    </w:p>
    <w:p w:rsidR="00077C08" w:rsidRPr="00B45FE1" w:rsidRDefault="00077C08" w:rsidP="00077C0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will flag results affected by icterus based on analyte.</w:t>
      </w:r>
    </w:p>
    <w:p w:rsidR="00077C08" w:rsidRPr="00B45FE1" w:rsidRDefault="00077C08" w:rsidP="00077C0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 xml:space="preserve">4. Result all tests affected with </w:t>
      </w:r>
      <w:r w:rsidRPr="0045158F">
        <w:rPr>
          <w:rFonts w:ascii="Arial" w:hAnsi="Arial" w:cs="Arial"/>
          <w:i/>
          <w:sz w:val="20"/>
          <w:u w:val="single"/>
        </w:rPr>
        <w:t>“See Note”,</w:t>
      </w:r>
      <w:r w:rsidRPr="00B45FE1">
        <w:rPr>
          <w:rFonts w:ascii="Arial" w:hAnsi="Arial" w:cs="Arial"/>
          <w:sz w:val="20"/>
        </w:rPr>
        <w:t xml:space="preserve"> and add standard comment with test result.</w:t>
      </w:r>
    </w:p>
    <w:p w:rsidR="00077C08" w:rsidRPr="00B45FE1" w:rsidRDefault="00077C08" w:rsidP="00077C0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Comment for Total Protein (TP), Creatinine, Ammonia, CO2, Creatinine Kinase, GGT,</w:t>
      </w:r>
    </w:p>
    <w:p w:rsidR="00077C08" w:rsidRPr="00B45FE1" w:rsidRDefault="00077C08" w:rsidP="00077C0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lastRenderedPageBreak/>
        <w:t>Calcium, and Direct Bilirubin:</w:t>
      </w:r>
    </w:p>
    <w:p w:rsidR="00077C08" w:rsidRPr="0045158F" w:rsidRDefault="00077C08" w:rsidP="00077C08">
      <w:pPr>
        <w:autoSpaceDE w:val="0"/>
        <w:autoSpaceDN w:val="0"/>
        <w:adjustRightInd w:val="0"/>
        <w:rPr>
          <w:rFonts w:ascii="Arial" w:hAnsi="Arial" w:cs="Arial"/>
          <w:i/>
          <w:sz w:val="20"/>
          <w:u w:val="single"/>
        </w:rPr>
      </w:pPr>
      <w:r w:rsidRPr="0045158F">
        <w:rPr>
          <w:rFonts w:ascii="Arial" w:hAnsi="Arial" w:cs="Arial"/>
          <w:i/>
          <w:sz w:val="20"/>
          <w:u w:val="single"/>
        </w:rPr>
        <w:t xml:space="preserve">An interfering substance is present (icterus). The measured value is </w:t>
      </w:r>
      <w:r w:rsidRPr="0045158F">
        <w:rPr>
          <w:rFonts w:ascii="Arial" w:hAnsi="Arial" w:cs="Arial"/>
          <w:b/>
          <w:bCs/>
          <w:i/>
          <w:sz w:val="20"/>
          <w:u w:val="single"/>
        </w:rPr>
        <w:t>ZZZ (UNITS)</w:t>
      </w:r>
      <w:r w:rsidRPr="0045158F">
        <w:rPr>
          <w:rFonts w:ascii="Arial" w:hAnsi="Arial" w:cs="Arial"/>
          <w:i/>
          <w:sz w:val="20"/>
          <w:u w:val="single"/>
        </w:rPr>
        <w:t>.</w:t>
      </w:r>
    </w:p>
    <w:p w:rsidR="00077C08" w:rsidRPr="0045158F" w:rsidRDefault="00077C08" w:rsidP="00077C08">
      <w:pPr>
        <w:autoSpaceDE w:val="0"/>
        <w:autoSpaceDN w:val="0"/>
        <w:adjustRightInd w:val="0"/>
        <w:rPr>
          <w:rFonts w:ascii="Arial" w:hAnsi="Arial" w:cs="Arial"/>
          <w:i/>
          <w:sz w:val="20"/>
          <w:u w:val="single"/>
        </w:rPr>
      </w:pPr>
      <w:r w:rsidRPr="0045158F">
        <w:rPr>
          <w:rFonts w:ascii="Arial" w:hAnsi="Arial" w:cs="Arial"/>
          <w:i/>
          <w:sz w:val="20"/>
          <w:u w:val="single"/>
        </w:rPr>
        <w:t>Interpret with caution.</w:t>
      </w:r>
    </w:p>
    <w:p w:rsidR="00077C08" w:rsidRPr="00B45FE1" w:rsidRDefault="00077C08" w:rsidP="00077C0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 xml:space="preserve">5. Additionally, result eGFR with </w:t>
      </w:r>
      <w:r w:rsidRPr="0045158F">
        <w:rPr>
          <w:rFonts w:ascii="Arial" w:hAnsi="Arial" w:cs="Arial"/>
          <w:i/>
          <w:sz w:val="20"/>
          <w:u w:val="single"/>
        </w:rPr>
        <w:t>“See Note</w:t>
      </w:r>
      <w:r w:rsidRPr="00B45FE1">
        <w:rPr>
          <w:rFonts w:ascii="Arial" w:hAnsi="Arial" w:cs="Arial"/>
          <w:sz w:val="20"/>
        </w:rPr>
        <w:t>”, and add standard comment.</w:t>
      </w:r>
    </w:p>
    <w:p w:rsidR="00077C08" w:rsidRPr="00B45FE1" w:rsidRDefault="00077C08" w:rsidP="00077C0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Comment for eGFR:</w:t>
      </w:r>
    </w:p>
    <w:p w:rsidR="00077C08" w:rsidRPr="0045158F" w:rsidRDefault="00077C08" w:rsidP="00077C08">
      <w:pPr>
        <w:autoSpaceDE w:val="0"/>
        <w:autoSpaceDN w:val="0"/>
        <w:adjustRightInd w:val="0"/>
        <w:rPr>
          <w:rFonts w:ascii="Arial" w:hAnsi="Arial" w:cs="Arial"/>
          <w:i/>
          <w:sz w:val="20"/>
          <w:u w:val="single"/>
        </w:rPr>
      </w:pPr>
      <w:r w:rsidRPr="0045158F">
        <w:rPr>
          <w:rFonts w:ascii="Arial" w:hAnsi="Arial" w:cs="Arial"/>
          <w:i/>
          <w:sz w:val="20"/>
          <w:u w:val="single"/>
        </w:rPr>
        <w:t>Unable to report due to presence of an interfering substance (icterus).</w:t>
      </w:r>
    </w:p>
    <w:p w:rsidR="00B45FE1" w:rsidRPr="00B45FE1" w:rsidRDefault="00B45FE1" w:rsidP="00077C08">
      <w:pPr>
        <w:autoSpaceDE w:val="0"/>
        <w:autoSpaceDN w:val="0"/>
        <w:adjustRightInd w:val="0"/>
        <w:rPr>
          <w:rFonts w:ascii="Arial" w:hAnsi="Arial" w:cs="Arial"/>
          <w:sz w:val="20"/>
          <w:u w:val="single"/>
        </w:rPr>
      </w:pPr>
    </w:p>
    <w:p w:rsidR="00B45FE1" w:rsidRPr="00B45FE1" w:rsidRDefault="00B45FE1" w:rsidP="00077C08">
      <w:pPr>
        <w:autoSpaceDE w:val="0"/>
        <w:autoSpaceDN w:val="0"/>
        <w:adjustRightInd w:val="0"/>
        <w:rPr>
          <w:rFonts w:ascii="Arial" w:hAnsi="Arial" w:cs="Arial"/>
          <w:sz w:val="20"/>
          <w:u w:val="single"/>
        </w:rPr>
      </w:pPr>
      <w:r w:rsidRPr="00B45FE1">
        <w:rPr>
          <w:rFonts w:ascii="Arial" w:hAnsi="Arial" w:cs="Arial"/>
          <w:sz w:val="20"/>
          <w:u w:val="single"/>
        </w:rPr>
        <w:t xml:space="preserve">RELATED DOCUMENTS </w:t>
      </w:r>
    </w:p>
    <w:p w:rsidR="00077C08" w:rsidRPr="00B45FE1" w:rsidRDefault="00077C08" w:rsidP="00077C0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Hemolysis Interpretive Table</w:t>
      </w:r>
    </w:p>
    <w:p w:rsidR="00077C08" w:rsidRPr="00B45FE1" w:rsidRDefault="00077C08" w:rsidP="00077C0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Hemolysis &amp; Icterus Comments</w:t>
      </w:r>
    </w:p>
    <w:p w:rsidR="00B45FE1" w:rsidRDefault="00B45FE1" w:rsidP="00077C08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077C08" w:rsidRPr="00B45FE1" w:rsidRDefault="00077C08" w:rsidP="00077C08">
      <w:pPr>
        <w:autoSpaceDE w:val="0"/>
        <w:autoSpaceDN w:val="0"/>
        <w:adjustRightInd w:val="0"/>
        <w:rPr>
          <w:rFonts w:ascii="Arial" w:hAnsi="Arial" w:cs="Arial"/>
          <w:sz w:val="20"/>
          <w:u w:val="single"/>
        </w:rPr>
      </w:pPr>
      <w:r w:rsidRPr="00B45FE1">
        <w:rPr>
          <w:rFonts w:ascii="Arial" w:hAnsi="Arial" w:cs="Arial"/>
          <w:sz w:val="20"/>
          <w:u w:val="single"/>
        </w:rPr>
        <w:t>REFERENCES</w:t>
      </w:r>
    </w:p>
    <w:p w:rsidR="00077C08" w:rsidRPr="00B45FE1" w:rsidRDefault="00077C08" w:rsidP="00077C0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1. Clinical and Laboratory Standards Institute, H18-A4 Vol. 30 No. 10. Copyright</w:t>
      </w:r>
      <w:r w:rsidR="00B45FE1">
        <w:rPr>
          <w:rFonts w:ascii="Arial" w:hAnsi="Arial" w:cs="Arial"/>
          <w:sz w:val="20"/>
        </w:rPr>
        <w:t xml:space="preserve"> </w:t>
      </w:r>
      <w:r w:rsidRPr="00B45FE1">
        <w:rPr>
          <w:rFonts w:ascii="Arial" w:hAnsi="Arial" w:cs="Arial"/>
          <w:sz w:val="20"/>
        </w:rPr>
        <w:t>2010. .</w:t>
      </w:r>
    </w:p>
    <w:p w:rsidR="00077C08" w:rsidRPr="00B45FE1" w:rsidRDefault="00077C08" w:rsidP="00077C0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“Procedures for the Handling and Processing of Blood Specimens for Common Laboratory Tests;</w:t>
      </w:r>
    </w:p>
    <w:p w:rsidR="00077C08" w:rsidRDefault="00077C08" w:rsidP="00077C0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Approved Guideline-Fourth Edition.</w:t>
      </w:r>
    </w:p>
    <w:p w:rsidR="00B45FE1" w:rsidRPr="00B45FE1" w:rsidRDefault="00B45FE1" w:rsidP="00077C08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077C08" w:rsidRDefault="00077C08" w:rsidP="00077C0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2. Roche Cobas, package insert Serum Index (SI2). Copyright, 2010.</w:t>
      </w:r>
    </w:p>
    <w:p w:rsidR="00B45FE1" w:rsidRPr="00B45FE1" w:rsidRDefault="00B45FE1" w:rsidP="00077C08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077C08" w:rsidRPr="00B45FE1" w:rsidRDefault="00077C08" w:rsidP="00077C08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</w:rPr>
      </w:pPr>
      <w:r w:rsidRPr="00B45FE1">
        <w:rPr>
          <w:rFonts w:ascii="Arial" w:hAnsi="Arial" w:cs="Arial"/>
          <w:sz w:val="20"/>
        </w:rPr>
        <w:t>3. Zhang, J. and Meng, Q. (2011). “</w:t>
      </w:r>
      <w:r w:rsidRPr="00B45FE1">
        <w:rPr>
          <w:rFonts w:ascii="Arial" w:hAnsi="Arial" w:cs="Arial"/>
          <w:i/>
          <w:iCs/>
          <w:sz w:val="20"/>
        </w:rPr>
        <w:t>Evaluation of the interference of hemoglobin,</w:t>
      </w:r>
    </w:p>
    <w:p w:rsidR="00077C08" w:rsidRPr="00B45FE1" w:rsidRDefault="00077C08" w:rsidP="00077C0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45FE1">
        <w:rPr>
          <w:rFonts w:ascii="Arial" w:hAnsi="Arial" w:cs="Arial"/>
          <w:i/>
          <w:iCs/>
          <w:sz w:val="20"/>
        </w:rPr>
        <w:t xml:space="preserve">bilirubin, and lipids on Roche Cobas 6000 assays”. </w:t>
      </w:r>
      <w:r w:rsidRPr="00B45FE1">
        <w:rPr>
          <w:rFonts w:ascii="Arial" w:hAnsi="Arial" w:cs="Arial"/>
          <w:sz w:val="20"/>
        </w:rPr>
        <w:t>Clinica Chimica Acta.</w:t>
      </w:r>
    </w:p>
    <w:p w:rsidR="003D6706" w:rsidRPr="00B45FE1" w:rsidRDefault="00077C08" w:rsidP="00077C08">
      <w:pPr>
        <w:tabs>
          <w:tab w:val="left" w:pos="360"/>
        </w:tabs>
        <w:spacing w:after="120"/>
        <w:ind w:right="360"/>
        <w:jc w:val="both"/>
        <w:rPr>
          <w:rFonts w:ascii="Arial" w:hAnsi="Arial" w:cs="Arial"/>
          <w:sz w:val="20"/>
        </w:rPr>
      </w:pPr>
      <w:r w:rsidRPr="00B45FE1">
        <w:rPr>
          <w:rFonts w:ascii="Arial" w:hAnsi="Arial" w:cs="Arial"/>
          <w:sz w:val="20"/>
        </w:rPr>
        <w:t>Personal communication with Alice Johnson and Dr. Nathan Lepp, April 17, 2013.</w:t>
      </w:r>
    </w:p>
    <w:p w:rsidR="00572142" w:rsidRPr="00B45FE1" w:rsidRDefault="00572142" w:rsidP="0023155E">
      <w:pPr>
        <w:spacing w:after="58"/>
        <w:rPr>
          <w:rFonts w:ascii="Arial" w:hAnsi="Arial" w:cs="Arial"/>
          <w:b/>
          <w:sz w:val="20"/>
        </w:rPr>
      </w:pPr>
    </w:p>
    <w:p w:rsidR="003D6706" w:rsidRPr="00B45FE1" w:rsidRDefault="003D6706" w:rsidP="0023155E">
      <w:pPr>
        <w:tabs>
          <w:tab w:val="left" w:pos="360"/>
        </w:tabs>
        <w:ind w:right="120"/>
        <w:rPr>
          <w:rFonts w:ascii="Arial" w:hAnsi="Arial" w:cs="Arial"/>
          <w:sz w:val="20"/>
        </w:rPr>
      </w:pPr>
    </w:p>
    <w:p w:rsidR="003D6706" w:rsidRPr="00B45FE1" w:rsidRDefault="003D6706" w:rsidP="0023155E">
      <w:pPr>
        <w:tabs>
          <w:tab w:val="left" w:pos="360"/>
        </w:tabs>
        <w:ind w:right="120"/>
        <w:rPr>
          <w:rFonts w:ascii="Arial" w:hAnsi="Arial" w:cs="Arial"/>
          <w:sz w:val="20"/>
        </w:rPr>
      </w:pPr>
    </w:p>
    <w:p w:rsidR="003D6706" w:rsidRDefault="003D6706" w:rsidP="0023155E">
      <w:pPr>
        <w:widowControl w:val="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83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0"/>
        </w:rPr>
      </w:pPr>
    </w:p>
    <w:p w:rsidR="003D6706" w:rsidRDefault="003D6706" w:rsidP="0023155E">
      <w:pPr>
        <w:widowControl w:val="0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83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0"/>
        </w:rPr>
      </w:pPr>
    </w:p>
    <w:p w:rsidR="003D6706" w:rsidRDefault="003D6706" w:rsidP="0023155E">
      <w:pPr>
        <w:tabs>
          <w:tab w:val="left" w:pos="723"/>
        </w:tabs>
        <w:spacing w:line="238" w:lineRule="auto"/>
        <w:ind w:right="710"/>
        <w:rPr>
          <w:rFonts w:ascii="Arial" w:eastAsia="Arial" w:hAnsi="Arial" w:cs="Arial"/>
          <w:sz w:val="20"/>
        </w:rPr>
      </w:pPr>
    </w:p>
    <w:p w:rsidR="003D6706" w:rsidRDefault="003D6706" w:rsidP="0023155E">
      <w:pPr>
        <w:tabs>
          <w:tab w:val="left" w:pos="723"/>
        </w:tabs>
        <w:spacing w:line="238" w:lineRule="auto"/>
        <w:ind w:right="710"/>
        <w:rPr>
          <w:rFonts w:ascii="Arial" w:eastAsia="Arial" w:hAnsi="Arial" w:cs="Arial"/>
          <w:sz w:val="20"/>
        </w:rPr>
      </w:pPr>
    </w:p>
    <w:p w:rsidR="003D6706" w:rsidRDefault="003D6706" w:rsidP="0023155E">
      <w:pPr>
        <w:tabs>
          <w:tab w:val="left" w:pos="723"/>
        </w:tabs>
        <w:spacing w:line="238" w:lineRule="auto"/>
        <w:ind w:right="710"/>
        <w:rPr>
          <w:rFonts w:ascii="Arial" w:eastAsia="Arial" w:hAnsi="Arial" w:cs="Arial"/>
          <w:sz w:val="20"/>
        </w:rPr>
      </w:pPr>
    </w:p>
    <w:p w:rsidR="003D6706" w:rsidRDefault="003D6706" w:rsidP="0023155E">
      <w:pPr>
        <w:tabs>
          <w:tab w:val="left" w:pos="723"/>
        </w:tabs>
        <w:spacing w:line="238" w:lineRule="auto"/>
        <w:ind w:right="710"/>
        <w:rPr>
          <w:rFonts w:ascii="Arial" w:eastAsia="Arial" w:hAnsi="Arial" w:cs="Arial"/>
          <w:sz w:val="20"/>
        </w:rPr>
      </w:pPr>
    </w:p>
    <w:p w:rsidR="003D6706" w:rsidRDefault="003D6706" w:rsidP="0023155E">
      <w:pPr>
        <w:tabs>
          <w:tab w:val="left" w:pos="723"/>
        </w:tabs>
        <w:spacing w:line="238" w:lineRule="auto"/>
        <w:ind w:right="710"/>
        <w:rPr>
          <w:rFonts w:ascii="Arial" w:eastAsia="Arial" w:hAnsi="Arial" w:cs="Arial"/>
          <w:sz w:val="20"/>
        </w:rPr>
      </w:pPr>
    </w:p>
    <w:p w:rsidR="003D6706" w:rsidRDefault="003D6706" w:rsidP="0023155E">
      <w:pPr>
        <w:tabs>
          <w:tab w:val="left" w:pos="723"/>
        </w:tabs>
        <w:spacing w:line="238" w:lineRule="auto"/>
        <w:ind w:right="710"/>
        <w:rPr>
          <w:rFonts w:ascii="Arial" w:eastAsia="Arial" w:hAnsi="Arial" w:cs="Arial"/>
          <w:sz w:val="20"/>
        </w:rPr>
      </w:pPr>
    </w:p>
    <w:p w:rsidR="003D6706" w:rsidRDefault="003D6706" w:rsidP="0023155E">
      <w:pPr>
        <w:tabs>
          <w:tab w:val="left" w:pos="723"/>
        </w:tabs>
        <w:spacing w:line="238" w:lineRule="auto"/>
        <w:ind w:right="710"/>
        <w:rPr>
          <w:rFonts w:ascii="Arial" w:eastAsia="Arial" w:hAnsi="Arial" w:cs="Arial"/>
          <w:sz w:val="20"/>
        </w:rPr>
      </w:pPr>
    </w:p>
    <w:p w:rsidR="003D6706" w:rsidRDefault="003D6706" w:rsidP="0023155E">
      <w:pPr>
        <w:tabs>
          <w:tab w:val="left" w:pos="723"/>
        </w:tabs>
        <w:spacing w:line="238" w:lineRule="auto"/>
        <w:ind w:right="710"/>
        <w:rPr>
          <w:rFonts w:ascii="Arial" w:eastAsia="Arial" w:hAnsi="Arial" w:cs="Arial"/>
          <w:sz w:val="20"/>
        </w:rPr>
      </w:pPr>
    </w:p>
    <w:p w:rsidR="003D6706" w:rsidRDefault="003D6706" w:rsidP="0023155E">
      <w:pPr>
        <w:tabs>
          <w:tab w:val="left" w:pos="723"/>
        </w:tabs>
        <w:spacing w:line="238" w:lineRule="auto"/>
        <w:ind w:right="710"/>
        <w:rPr>
          <w:rFonts w:ascii="Arial" w:eastAsia="Arial" w:hAnsi="Arial" w:cs="Arial"/>
          <w:sz w:val="20"/>
        </w:rPr>
      </w:pPr>
    </w:p>
    <w:p w:rsidR="003D6706" w:rsidRDefault="003D6706" w:rsidP="0023155E">
      <w:pPr>
        <w:tabs>
          <w:tab w:val="left" w:pos="723"/>
        </w:tabs>
        <w:spacing w:line="238" w:lineRule="auto"/>
        <w:ind w:right="710"/>
        <w:rPr>
          <w:rFonts w:ascii="Arial" w:eastAsia="Arial" w:hAnsi="Arial" w:cs="Arial"/>
          <w:sz w:val="20"/>
        </w:rPr>
      </w:pPr>
    </w:p>
    <w:p w:rsidR="003D6706" w:rsidRDefault="003D6706" w:rsidP="0023155E">
      <w:pPr>
        <w:tabs>
          <w:tab w:val="left" w:pos="723"/>
        </w:tabs>
        <w:spacing w:line="238" w:lineRule="auto"/>
        <w:ind w:right="710"/>
        <w:rPr>
          <w:rFonts w:ascii="Arial" w:eastAsia="Arial" w:hAnsi="Arial" w:cs="Arial"/>
          <w:sz w:val="20"/>
        </w:rPr>
      </w:pPr>
    </w:p>
    <w:p w:rsidR="003D6706" w:rsidRDefault="003D6706" w:rsidP="0023155E">
      <w:pPr>
        <w:tabs>
          <w:tab w:val="left" w:pos="723"/>
        </w:tabs>
        <w:spacing w:line="238" w:lineRule="auto"/>
        <w:ind w:right="710"/>
        <w:rPr>
          <w:rFonts w:ascii="Arial" w:eastAsia="Arial" w:hAnsi="Arial" w:cs="Arial"/>
          <w:sz w:val="20"/>
        </w:rPr>
      </w:pPr>
    </w:p>
    <w:p w:rsidR="003D6706" w:rsidRDefault="003D6706" w:rsidP="0023155E">
      <w:pPr>
        <w:tabs>
          <w:tab w:val="left" w:pos="723"/>
        </w:tabs>
        <w:spacing w:line="238" w:lineRule="auto"/>
        <w:ind w:right="710"/>
        <w:rPr>
          <w:rFonts w:ascii="Arial" w:eastAsia="Arial" w:hAnsi="Arial" w:cs="Arial"/>
          <w:sz w:val="20"/>
        </w:rPr>
      </w:pPr>
    </w:p>
    <w:p w:rsidR="003D6706" w:rsidRDefault="003D6706" w:rsidP="0023155E">
      <w:pPr>
        <w:tabs>
          <w:tab w:val="left" w:pos="723"/>
        </w:tabs>
        <w:spacing w:line="238" w:lineRule="auto"/>
        <w:ind w:right="710"/>
        <w:rPr>
          <w:rFonts w:ascii="Arial" w:eastAsia="Arial" w:hAnsi="Arial" w:cs="Arial"/>
          <w:sz w:val="20"/>
        </w:rPr>
      </w:pPr>
    </w:p>
    <w:p w:rsidR="003D6706" w:rsidRDefault="003D6706" w:rsidP="0023155E">
      <w:pPr>
        <w:tabs>
          <w:tab w:val="left" w:pos="723"/>
        </w:tabs>
        <w:spacing w:line="238" w:lineRule="auto"/>
        <w:ind w:right="710"/>
        <w:rPr>
          <w:rFonts w:ascii="Arial" w:eastAsia="Arial" w:hAnsi="Arial" w:cs="Arial"/>
          <w:sz w:val="20"/>
        </w:rPr>
      </w:pPr>
    </w:p>
    <w:p w:rsidR="00294119" w:rsidRDefault="00294119" w:rsidP="0023155E">
      <w:pPr>
        <w:tabs>
          <w:tab w:val="left" w:pos="723"/>
        </w:tabs>
        <w:spacing w:line="238" w:lineRule="auto"/>
        <w:ind w:right="710"/>
        <w:rPr>
          <w:rFonts w:ascii="Arial" w:eastAsia="Arial" w:hAnsi="Arial" w:cs="Arial"/>
          <w:sz w:val="20"/>
        </w:rPr>
      </w:pPr>
    </w:p>
    <w:p w:rsidR="00294119" w:rsidRDefault="00294119" w:rsidP="004D031D">
      <w:pPr>
        <w:tabs>
          <w:tab w:val="left" w:pos="723"/>
        </w:tabs>
        <w:spacing w:line="238" w:lineRule="auto"/>
        <w:ind w:right="710"/>
        <w:rPr>
          <w:rFonts w:ascii="Arial" w:eastAsia="Arial" w:hAnsi="Arial" w:cs="Arial"/>
          <w:sz w:val="20"/>
        </w:rPr>
      </w:pPr>
    </w:p>
    <w:p w:rsidR="00294119" w:rsidRDefault="00294119" w:rsidP="004D031D">
      <w:pPr>
        <w:tabs>
          <w:tab w:val="left" w:pos="723"/>
        </w:tabs>
        <w:spacing w:line="238" w:lineRule="auto"/>
        <w:ind w:right="710"/>
        <w:rPr>
          <w:rFonts w:ascii="Arial" w:eastAsia="Arial" w:hAnsi="Arial" w:cs="Arial"/>
          <w:sz w:val="20"/>
        </w:rPr>
      </w:pPr>
    </w:p>
    <w:p w:rsidR="00294119" w:rsidRDefault="00294119" w:rsidP="004D031D">
      <w:pPr>
        <w:tabs>
          <w:tab w:val="left" w:pos="723"/>
        </w:tabs>
        <w:spacing w:line="238" w:lineRule="auto"/>
        <w:ind w:right="710"/>
        <w:rPr>
          <w:rFonts w:ascii="Arial" w:eastAsia="Arial" w:hAnsi="Arial" w:cs="Arial"/>
          <w:sz w:val="20"/>
        </w:rPr>
      </w:pPr>
    </w:p>
    <w:p w:rsidR="00294119" w:rsidRDefault="00294119" w:rsidP="004D031D">
      <w:pPr>
        <w:tabs>
          <w:tab w:val="left" w:pos="723"/>
        </w:tabs>
        <w:spacing w:line="238" w:lineRule="auto"/>
        <w:ind w:right="710"/>
        <w:rPr>
          <w:rFonts w:ascii="Arial" w:eastAsia="Arial" w:hAnsi="Arial" w:cs="Arial"/>
          <w:sz w:val="20"/>
        </w:rPr>
      </w:pPr>
    </w:p>
    <w:p w:rsidR="00294119" w:rsidRDefault="00294119" w:rsidP="004D031D">
      <w:pPr>
        <w:tabs>
          <w:tab w:val="left" w:pos="723"/>
        </w:tabs>
        <w:spacing w:line="238" w:lineRule="auto"/>
        <w:ind w:right="710"/>
        <w:rPr>
          <w:rFonts w:ascii="Arial" w:eastAsia="Arial" w:hAnsi="Arial" w:cs="Arial"/>
          <w:sz w:val="20"/>
        </w:rPr>
      </w:pPr>
    </w:p>
    <w:p w:rsidR="00294119" w:rsidRDefault="00294119" w:rsidP="004D031D">
      <w:pPr>
        <w:tabs>
          <w:tab w:val="left" w:pos="723"/>
        </w:tabs>
        <w:spacing w:line="238" w:lineRule="auto"/>
        <w:ind w:right="710"/>
        <w:rPr>
          <w:rFonts w:ascii="Arial" w:eastAsia="Arial" w:hAnsi="Arial" w:cs="Arial"/>
          <w:sz w:val="20"/>
        </w:rPr>
      </w:pPr>
    </w:p>
    <w:p w:rsidR="00294119" w:rsidRDefault="00294119" w:rsidP="004D031D">
      <w:pPr>
        <w:tabs>
          <w:tab w:val="left" w:pos="723"/>
        </w:tabs>
        <w:spacing w:line="238" w:lineRule="auto"/>
        <w:ind w:right="710"/>
        <w:rPr>
          <w:rFonts w:ascii="Arial" w:eastAsia="Arial" w:hAnsi="Arial" w:cs="Arial"/>
          <w:sz w:val="20"/>
        </w:rPr>
      </w:pPr>
    </w:p>
    <w:p w:rsidR="003D6706" w:rsidRDefault="003D6706" w:rsidP="004D031D">
      <w:pPr>
        <w:tabs>
          <w:tab w:val="left" w:pos="723"/>
        </w:tabs>
        <w:spacing w:line="238" w:lineRule="auto"/>
        <w:ind w:right="710"/>
        <w:rPr>
          <w:rFonts w:ascii="Arial" w:eastAsia="Arial" w:hAnsi="Arial" w:cs="Arial"/>
          <w:sz w:val="20"/>
        </w:rPr>
      </w:pPr>
    </w:p>
    <w:p w:rsidR="003D6706" w:rsidRDefault="003D6706" w:rsidP="004D031D">
      <w:pPr>
        <w:tabs>
          <w:tab w:val="left" w:pos="723"/>
        </w:tabs>
        <w:spacing w:line="238" w:lineRule="auto"/>
        <w:ind w:right="710"/>
        <w:rPr>
          <w:rFonts w:ascii="Arial" w:eastAsia="Arial" w:hAnsi="Arial" w:cs="Arial"/>
          <w:sz w:val="20"/>
        </w:rPr>
      </w:pPr>
    </w:p>
    <w:p w:rsidR="003D6706" w:rsidRDefault="003D6706" w:rsidP="004D031D">
      <w:pPr>
        <w:tabs>
          <w:tab w:val="left" w:pos="723"/>
        </w:tabs>
        <w:spacing w:line="238" w:lineRule="auto"/>
        <w:ind w:right="710"/>
        <w:rPr>
          <w:rFonts w:ascii="Arial" w:eastAsia="Arial" w:hAnsi="Arial" w:cs="Arial"/>
          <w:sz w:val="20"/>
        </w:rPr>
      </w:pPr>
    </w:p>
    <w:p w:rsidR="003D6706" w:rsidRDefault="003D6706" w:rsidP="004D031D">
      <w:pPr>
        <w:tabs>
          <w:tab w:val="left" w:pos="723"/>
        </w:tabs>
        <w:spacing w:line="238" w:lineRule="auto"/>
        <w:ind w:right="710"/>
        <w:rPr>
          <w:rFonts w:ascii="Arial" w:eastAsia="Arial" w:hAnsi="Arial" w:cs="Arial"/>
          <w:sz w:val="20"/>
        </w:rPr>
      </w:pPr>
    </w:p>
    <w:p w:rsidR="003D6706" w:rsidRDefault="003D6706" w:rsidP="004D031D">
      <w:pPr>
        <w:tabs>
          <w:tab w:val="left" w:pos="723"/>
        </w:tabs>
        <w:spacing w:line="238" w:lineRule="auto"/>
        <w:ind w:right="710"/>
        <w:rPr>
          <w:rFonts w:ascii="Arial" w:eastAsia="Arial" w:hAnsi="Arial" w:cs="Arial"/>
          <w:sz w:val="20"/>
        </w:rPr>
      </w:pPr>
    </w:p>
    <w:p w:rsidR="003D6706" w:rsidRDefault="003D6706" w:rsidP="004D031D">
      <w:pPr>
        <w:tabs>
          <w:tab w:val="left" w:pos="723"/>
        </w:tabs>
        <w:spacing w:line="238" w:lineRule="auto"/>
        <w:ind w:right="710"/>
        <w:rPr>
          <w:rFonts w:ascii="Arial" w:eastAsia="Arial" w:hAnsi="Arial" w:cs="Arial"/>
          <w:sz w:val="20"/>
        </w:rPr>
      </w:pPr>
    </w:p>
    <w:p w:rsidR="003D6706" w:rsidRDefault="003D6706" w:rsidP="004D031D">
      <w:pPr>
        <w:tabs>
          <w:tab w:val="left" w:pos="723"/>
        </w:tabs>
        <w:spacing w:line="238" w:lineRule="auto"/>
        <w:ind w:right="710"/>
        <w:rPr>
          <w:rFonts w:ascii="Arial" w:eastAsia="Arial" w:hAnsi="Arial" w:cs="Arial"/>
          <w:sz w:val="20"/>
        </w:rPr>
      </w:pPr>
    </w:p>
    <w:p w:rsidR="003D6706" w:rsidRDefault="003D6706" w:rsidP="004D031D">
      <w:pPr>
        <w:tabs>
          <w:tab w:val="left" w:pos="723"/>
        </w:tabs>
        <w:spacing w:line="238" w:lineRule="auto"/>
        <w:ind w:right="710"/>
        <w:rPr>
          <w:rFonts w:ascii="Arial" w:eastAsia="Arial" w:hAnsi="Arial" w:cs="Arial"/>
          <w:sz w:val="20"/>
        </w:rPr>
      </w:pPr>
    </w:p>
    <w:p w:rsidR="003D6706" w:rsidRPr="004D031D" w:rsidRDefault="003D6706" w:rsidP="004D031D">
      <w:pPr>
        <w:tabs>
          <w:tab w:val="left" w:pos="723"/>
        </w:tabs>
        <w:spacing w:line="238" w:lineRule="auto"/>
        <w:ind w:right="710"/>
        <w:rPr>
          <w:rFonts w:ascii="Arial" w:eastAsia="Arial" w:hAnsi="Arial" w:cs="Arial"/>
          <w:sz w:val="20"/>
        </w:rPr>
      </w:pPr>
    </w:p>
    <w:sectPr w:rsidR="003D6706" w:rsidRPr="004D031D" w:rsidSect="009F32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18" w:right="965" w:bottom="418" w:left="1440" w:header="418" w:footer="7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E98" w:rsidRDefault="00F86E98">
      <w:r>
        <w:separator/>
      </w:r>
    </w:p>
  </w:endnote>
  <w:endnote w:type="continuationSeparator" w:id="0">
    <w:p w:rsidR="00F86E98" w:rsidRDefault="00F8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ldface 12p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FE1" w:rsidRDefault="00B45F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620" w:type="dxa"/>
      <w:tblInd w:w="-252" w:type="dxa"/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double" w:sz="4" w:space="0" w:color="000000"/>
        <w:insideV w:val="double" w:sz="4" w:space="0" w:color="000000"/>
      </w:tblBorders>
      <w:tblLook w:val="04A0" w:firstRow="1" w:lastRow="0" w:firstColumn="1" w:lastColumn="0" w:noHBand="0" w:noVBand="1"/>
    </w:tblPr>
    <w:tblGrid>
      <w:gridCol w:w="10620"/>
    </w:tblGrid>
    <w:tr w:rsidR="004A6486" w:rsidRPr="009F3296" w:rsidTr="00A660AE">
      <w:tc>
        <w:tcPr>
          <w:tcW w:w="10620" w:type="dxa"/>
        </w:tcPr>
        <w:p w:rsidR="004A6486" w:rsidRPr="009F3296" w:rsidRDefault="004A6486" w:rsidP="00A660AE">
          <w:pPr>
            <w:pStyle w:val="Footer"/>
            <w:rPr>
              <w:rFonts w:ascii="Arial" w:hAnsi="Arial" w:cs="Arial"/>
              <w:sz w:val="20"/>
            </w:rPr>
          </w:pPr>
          <w:r w:rsidRPr="009F3296">
            <w:rPr>
              <w:rFonts w:ascii="Arial" w:hAnsi="Arial" w:cs="Arial"/>
              <w:sz w:val="20"/>
            </w:rPr>
            <w:t>Reviewed:</w:t>
          </w:r>
          <w:r w:rsidR="009111EF">
            <w:rPr>
              <w:rFonts w:ascii="Arial" w:hAnsi="Arial" w:cs="Arial"/>
              <w:sz w:val="20"/>
            </w:rPr>
            <w:t xml:space="preserve"> </w:t>
          </w:r>
          <w:r w:rsidR="00B45FE1">
            <w:rPr>
              <w:rFonts w:ascii="Arial" w:hAnsi="Arial" w:cs="Arial"/>
              <w:sz w:val="20"/>
            </w:rPr>
            <w:t>12/16/2014</w:t>
          </w:r>
        </w:p>
        <w:p w:rsidR="004A6486" w:rsidRPr="009F3296" w:rsidRDefault="004A6486" w:rsidP="00A660AE">
          <w:pPr>
            <w:pStyle w:val="Footer"/>
            <w:rPr>
              <w:rFonts w:ascii="Arial" w:hAnsi="Arial" w:cs="Arial"/>
              <w:sz w:val="20"/>
            </w:rPr>
          </w:pPr>
        </w:p>
        <w:p w:rsidR="004A6486" w:rsidRPr="009F3296" w:rsidRDefault="004A6486" w:rsidP="00A660AE">
          <w:pPr>
            <w:pStyle w:val="Footer"/>
            <w:rPr>
              <w:rFonts w:ascii="Arial" w:hAnsi="Arial" w:cs="Arial"/>
              <w:sz w:val="20"/>
            </w:rPr>
          </w:pPr>
          <w:r w:rsidRPr="009F3296">
            <w:rPr>
              <w:rFonts w:ascii="Arial" w:hAnsi="Arial" w:cs="Arial"/>
              <w:sz w:val="20"/>
            </w:rPr>
            <w:t xml:space="preserve">Revised: </w:t>
          </w:r>
          <w:r w:rsidR="00B45FE1">
            <w:rPr>
              <w:rFonts w:ascii="Arial" w:hAnsi="Arial" w:cs="Arial"/>
              <w:sz w:val="20"/>
            </w:rPr>
            <w:t>1/17/2016</w:t>
          </w:r>
        </w:p>
      </w:tc>
    </w:tr>
  </w:tbl>
  <w:p w:rsidR="004A6486" w:rsidRPr="00A87E32" w:rsidRDefault="004A6486" w:rsidP="004A6486">
    <w:pPr>
      <w:pStyle w:val="Footer"/>
      <w:jc w:val="center"/>
      <w:rPr>
        <w:color w:val="FF0000"/>
      </w:rPr>
    </w:pPr>
    <w:r w:rsidRPr="00A87E32">
      <w:rPr>
        <w:color w:val="FF0000"/>
      </w:rPr>
      <w:t>Once printed this document is no longer controlled</w:t>
    </w:r>
    <w:r>
      <w:rPr>
        <w:color w:val="FF0000"/>
      </w:rPr>
      <w:t>.</w:t>
    </w:r>
  </w:p>
  <w:p w:rsidR="004D031D" w:rsidRPr="00012C46" w:rsidRDefault="004D031D" w:rsidP="00012C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620" w:type="dxa"/>
      <w:tblInd w:w="-252" w:type="dxa"/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double" w:sz="4" w:space="0" w:color="000000"/>
        <w:insideV w:val="double" w:sz="4" w:space="0" w:color="000000"/>
      </w:tblBorders>
      <w:tblLook w:val="04A0" w:firstRow="1" w:lastRow="0" w:firstColumn="1" w:lastColumn="0" w:noHBand="0" w:noVBand="1"/>
    </w:tblPr>
    <w:tblGrid>
      <w:gridCol w:w="10620"/>
    </w:tblGrid>
    <w:tr w:rsidR="004D031D" w:rsidRPr="009F3296" w:rsidTr="00294119">
      <w:tc>
        <w:tcPr>
          <w:tcW w:w="10620" w:type="dxa"/>
        </w:tcPr>
        <w:p w:rsidR="004D031D" w:rsidRPr="009F3296" w:rsidRDefault="004D031D" w:rsidP="00012C46">
          <w:pPr>
            <w:pStyle w:val="Footer"/>
            <w:rPr>
              <w:rFonts w:ascii="Arial" w:hAnsi="Arial" w:cs="Arial"/>
              <w:sz w:val="20"/>
            </w:rPr>
          </w:pPr>
          <w:r w:rsidRPr="009F3296">
            <w:rPr>
              <w:rFonts w:ascii="Arial" w:hAnsi="Arial" w:cs="Arial"/>
              <w:sz w:val="20"/>
            </w:rPr>
            <w:t>Reviewed:</w:t>
          </w:r>
          <w:r w:rsidR="009111EF">
            <w:rPr>
              <w:rFonts w:ascii="Arial" w:hAnsi="Arial" w:cs="Arial"/>
              <w:sz w:val="20"/>
            </w:rPr>
            <w:t xml:space="preserve"> </w:t>
          </w:r>
          <w:r w:rsidR="00B45FE1">
            <w:rPr>
              <w:rFonts w:ascii="Arial" w:hAnsi="Arial" w:cs="Arial"/>
              <w:sz w:val="20"/>
            </w:rPr>
            <w:t>12/14/2014</w:t>
          </w:r>
        </w:p>
        <w:p w:rsidR="004D031D" w:rsidRPr="009F3296" w:rsidRDefault="004D031D" w:rsidP="00012C46">
          <w:pPr>
            <w:pStyle w:val="Footer"/>
            <w:rPr>
              <w:rFonts w:ascii="Arial" w:hAnsi="Arial" w:cs="Arial"/>
              <w:sz w:val="20"/>
            </w:rPr>
          </w:pPr>
        </w:p>
        <w:p w:rsidR="004D031D" w:rsidRPr="009F3296" w:rsidRDefault="004D031D" w:rsidP="00D846AA">
          <w:pPr>
            <w:pStyle w:val="Footer"/>
            <w:rPr>
              <w:rFonts w:ascii="Arial" w:hAnsi="Arial" w:cs="Arial"/>
              <w:sz w:val="20"/>
            </w:rPr>
          </w:pPr>
          <w:r w:rsidRPr="009F3296">
            <w:rPr>
              <w:rFonts w:ascii="Arial" w:hAnsi="Arial" w:cs="Arial"/>
              <w:sz w:val="20"/>
            </w:rPr>
            <w:t xml:space="preserve">Revised: </w:t>
          </w:r>
          <w:r w:rsidR="00B45FE1">
            <w:rPr>
              <w:rFonts w:ascii="Arial" w:hAnsi="Arial" w:cs="Arial"/>
              <w:sz w:val="20"/>
            </w:rPr>
            <w:t>1/11/2017</w:t>
          </w:r>
        </w:p>
      </w:tc>
    </w:tr>
  </w:tbl>
  <w:p w:rsidR="004833D0" w:rsidRPr="00A87E32" w:rsidRDefault="004833D0" w:rsidP="004833D0">
    <w:pPr>
      <w:pStyle w:val="Footer"/>
      <w:jc w:val="center"/>
      <w:rPr>
        <w:color w:val="FF0000"/>
      </w:rPr>
    </w:pPr>
    <w:r w:rsidRPr="00A87E32">
      <w:rPr>
        <w:color w:val="FF0000"/>
      </w:rPr>
      <w:t>Once printed this document is no longer controlled</w:t>
    </w:r>
    <w:r>
      <w:rPr>
        <w:color w:val="FF0000"/>
      </w:rPr>
      <w:t>.</w:t>
    </w:r>
  </w:p>
  <w:p w:rsidR="004D031D" w:rsidRPr="00012C46" w:rsidRDefault="004D031D" w:rsidP="00012C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E98" w:rsidRDefault="00F86E98">
      <w:r>
        <w:separator/>
      </w:r>
    </w:p>
  </w:footnote>
  <w:footnote w:type="continuationSeparator" w:id="0">
    <w:p w:rsidR="00F86E98" w:rsidRDefault="00F86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FE1" w:rsidRDefault="00B45F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31D" w:rsidRDefault="004D031D" w:rsidP="00E63CE3">
    <w:pPr>
      <w:pStyle w:val="Header"/>
      <w:ind w:right="12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xx</w:t>
    </w:r>
  </w:p>
  <w:p w:rsidR="004D031D" w:rsidRPr="00627463" w:rsidRDefault="004D031D" w:rsidP="00E63CE3">
    <w:pPr>
      <w:pStyle w:val="Header"/>
      <w:ind w:right="120"/>
      <w:jc w:val="right"/>
      <w:rPr>
        <w:rFonts w:ascii="Arial" w:hAnsi="Arial" w:cs="Arial"/>
        <w:sz w:val="20"/>
      </w:rPr>
    </w:pPr>
    <w:r w:rsidRPr="00627463">
      <w:rPr>
        <w:rFonts w:ascii="Arial" w:hAnsi="Arial" w:cs="Arial"/>
        <w:sz w:val="20"/>
      </w:rPr>
      <w:t xml:space="preserve">Page </w:t>
    </w:r>
    <w:r w:rsidRPr="00627463">
      <w:rPr>
        <w:rFonts w:ascii="Arial" w:hAnsi="Arial" w:cs="Arial"/>
        <w:sz w:val="20"/>
      </w:rPr>
      <w:fldChar w:fldCharType="begin"/>
    </w:r>
    <w:r w:rsidRPr="00627463">
      <w:rPr>
        <w:rFonts w:ascii="Arial" w:hAnsi="Arial" w:cs="Arial"/>
        <w:sz w:val="20"/>
      </w:rPr>
      <w:instrText xml:space="preserve"> PAGE </w:instrText>
    </w:r>
    <w:r w:rsidRPr="00627463">
      <w:rPr>
        <w:rFonts w:ascii="Arial" w:hAnsi="Arial" w:cs="Arial"/>
        <w:sz w:val="20"/>
      </w:rPr>
      <w:fldChar w:fldCharType="separate"/>
    </w:r>
    <w:r w:rsidR="003516F2">
      <w:rPr>
        <w:rFonts w:ascii="Arial" w:hAnsi="Arial" w:cs="Arial"/>
        <w:noProof/>
        <w:sz w:val="20"/>
      </w:rPr>
      <w:t>2</w:t>
    </w:r>
    <w:r w:rsidRPr="00627463">
      <w:rPr>
        <w:rFonts w:ascii="Arial" w:hAnsi="Arial" w:cs="Arial"/>
        <w:sz w:val="20"/>
      </w:rPr>
      <w:fldChar w:fldCharType="end"/>
    </w:r>
    <w:r w:rsidRPr="00627463">
      <w:rPr>
        <w:rFonts w:ascii="Arial" w:hAnsi="Arial" w:cs="Arial"/>
        <w:sz w:val="20"/>
      </w:rPr>
      <w:t xml:space="preserve"> of </w:t>
    </w:r>
    <w:r w:rsidR="00B45FE1">
      <w:rPr>
        <w:rFonts w:ascii="Arial" w:hAnsi="Arial" w:cs="Arial"/>
        <w:sz w:val="20"/>
      </w:rPr>
      <w:t>3</w:t>
    </w:r>
  </w:p>
  <w:p w:rsidR="004D031D" w:rsidRPr="00C7563A" w:rsidRDefault="004D031D" w:rsidP="00E63CE3">
    <w:pPr>
      <w:pStyle w:val="Header"/>
      <w:ind w:right="120"/>
      <w:jc w:val="right"/>
      <w:rPr>
        <w:rFonts w:ascii="Verdana" w:hAnsi="Verdana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80" w:type="dxa"/>
      <w:tblLayout w:type="fixed"/>
      <w:tblCellMar>
        <w:left w:w="336" w:type="dxa"/>
        <w:right w:w="336" w:type="dxa"/>
      </w:tblCellMar>
      <w:tblLook w:val="0000" w:firstRow="0" w:lastRow="0" w:firstColumn="0" w:lastColumn="0" w:noHBand="0" w:noVBand="0"/>
    </w:tblPr>
    <w:tblGrid>
      <w:gridCol w:w="3720"/>
      <w:gridCol w:w="3920"/>
      <w:gridCol w:w="3040"/>
    </w:tblGrid>
    <w:tr w:rsidR="004D031D" w:rsidRPr="00905C1C" w:rsidTr="004D031D">
      <w:trPr>
        <w:cantSplit/>
      </w:trPr>
      <w:tc>
        <w:tcPr>
          <w:tcW w:w="3720" w:type="dxa"/>
          <w:vMerge w:val="restart"/>
          <w:tcBorders>
            <w:top w:val="double" w:sz="7" w:space="0" w:color="000000"/>
            <w:left w:val="double" w:sz="7" w:space="0" w:color="000000"/>
            <w:bottom w:val="double" w:sz="7" w:space="0" w:color="000000"/>
            <w:right w:val="double" w:sz="7" w:space="0" w:color="000000"/>
          </w:tcBorders>
        </w:tcPr>
        <w:p w:rsidR="004D031D" w:rsidRPr="00905C1C" w:rsidRDefault="004D031D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spacing w:before="23"/>
            <w:rPr>
              <w:rFonts w:ascii="Arial" w:hAnsi="Arial" w:cs="Arial"/>
              <w:sz w:val="20"/>
            </w:rPr>
          </w:pPr>
        </w:p>
        <w:p w:rsidR="004D031D" w:rsidRPr="00905C1C" w:rsidRDefault="009111EF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spacing w:before="23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</w:rPr>
            <w:drawing>
              <wp:inline distT="0" distB="0" distL="0" distR="0" wp14:anchorId="7AF8B1B2" wp14:editId="31C5E7F6">
                <wp:extent cx="1935480" cy="384175"/>
                <wp:effectExtent l="0" t="0" r="762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3_NAH-FMC-VVMC-Small Campuses 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5480" cy="384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0" w:type="dxa"/>
          <w:vMerge w:val="restart"/>
          <w:tcBorders>
            <w:top w:val="double" w:sz="7" w:space="0" w:color="000000"/>
            <w:left w:val="double" w:sz="7" w:space="0" w:color="000000"/>
            <w:bottom w:val="double" w:sz="7" w:space="0" w:color="000000"/>
            <w:right w:val="double" w:sz="7" w:space="0" w:color="000000"/>
          </w:tcBorders>
        </w:tcPr>
        <w:p w:rsidR="004D031D" w:rsidRPr="00905C1C" w:rsidRDefault="004D031D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spacing w:before="23"/>
            <w:jc w:val="center"/>
            <w:rPr>
              <w:rFonts w:ascii="Arial" w:hAnsi="Arial" w:cs="Arial"/>
              <w:sz w:val="20"/>
            </w:rPr>
          </w:pPr>
        </w:p>
        <w:p w:rsidR="004D031D" w:rsidRPr="00905C1C" w:rsidRDefault="004D031D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center"/>
            <w:rPr>
              <w:rFonts w:ascii="Arial" w:hAnsi="Arial" w:cs="Arial"/>
              <w:sz w:val="20"/>
            </w:rPr>
          </w:pPr>
        </w:p>
        <w:p w:rsidR="004D031D" w:rsidRPr="00905C1C" w:rsidRDefault="00077C08" w:rsidP="004D031D">
          <w:pPr>
            <w:widowControl w:val="0"/>
            <w:tabs>
              <w:tab w:val="left" w:pos="0"/>
              <w:tab w:val="center" w:pos="1624"/>
            </w:tabs>
            <w:jc w:val="center"/>
            <w:rPr>
              <w:rFonts w:ascii="Arial" w:hAnsi="Arial" w:cs="Arial"/>
              <w:b/>
              <w:caps/>
              <w:sz w:val="20"/>
            </w:rPr>
          </w:pPr>
          <w:r>
            <w:rPr>
              <w:rFonts w:ascii="Arial" w:hAnsi="Arial" w:cs="Arial"/>
              <w:b/>
              <w:caps/>
              <w:sz w:val="20"/>
            </w:rPr>
            <w:t>LABORATORY</w:t>
          </w:r>
        </w:p>
        <w:p w:rsidR="004D031D" w:rsidRPr="00905C1C" w:rsidRDefault="004D031D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center"/>
            <w:rPr>
              <w:rFonts w:ascii="Arial" w:hAnsi="Arial" w:cs="Arial"/>
              <w:b/>
              <w:sz w:val="20"/>
            </w:rPr>
          </w:pPr>
        </w:p>
        <w:p w:rsidR="004D031D" w:rsidRDefault="00077C08" w:rsidP="004D031D">
          <w:pPr>
            <w:widowControl w:val="0"/>
            <w:tabs>
              <w:tab w:val="left" w:pos="0"/>
              <w:tab w:val="center" w:pos="1624"/>
            </w:tabs>
            <w:jc w:val="center"/>
            <w:rPr>
              <w:rFonts w:ascii="Arial" w:hAnsi="Arial" w:cs="Arial"/>
              <w:b/>
              <w:caps/>
              <w:sz w:val="20"/>
            </w:rPr>
          </w:pPr>
          <w:r>
            <w:rPr>
              <w:rFonts w:ascii="Arial" w:hAnsi="Arial" w:cs="Arial"/>
              <w:b/>
              <w:caps/>
              <w:sz w:val="20"/>
            </w:rPr>
            <w:t>DEPARTMENTAL</w:t>
          </w:r>
        </w:p>
        <w:p w:rsidR="00077C08" w:rsidRDefault="00077C08" w:rsidP="004D031D">
          <w:pPr>
            <w:widowControl w:val="0"/>
            <w:tabs>
              <w:tab w:val="left" w:pos="0"/>
              <w:tab w:val="center" w:pos="1624"/>
            </w:tabs>
            <w:jc w:val="center"/>
            <w:rPr>
              <w:rFonts w:ascii="Arial" w:hAnsi="Arial" w:cs="Arial"/>
              <w:b/>
              <w:caps/>
              <w:sz w:val="20"/>
            </w:rPr>
          </w:pPr>
        </w:p>
        <w:p w:rsidR="00077C08" w:rsidRPr="00905C1C" w:rsidRDefault="00077C08" w:rsidP="004D031D">
          <w:pPr>
            <w:widowControl w:val="0"/>
            <w:tabs>
              <w:tab w:val="left" w:pos="0"/>
              <w:tab w:val="center" w:pos="1624"/>
            </w:tabs>
            <w:jc w:val="center"/>
            <w:rPr>
              <w:rFonts w:ascii="Arial" w:hAnsi="Arial" w:cs="Arial"/>
              <w:b/>
              <w:caps/>
              <w:sz w:val="20"/>
            </w:rPr>
          </w:pPr>
          <w:r>
            <w:rPr>
              <w:rFonts w:ascii="Arial" w:hAnsi="Arial" w:cs="Arial"/>
              <w:b/>
              <w:caps/>
              <w:sz w:val="20"/>
            </w:rPr>
            <w:t>GUIDELINES OF PRACTICE</w:t>
          </w:r>
        </w:p>
        <w:p w:rsidR="004D031D" w:rsidRPr="00905C1C" w:rsidRDefault="004D031D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center"/>
            <w:rPr>
              <w:rFonts w:ascii="Arial" w:hAnsi="Arial" w:cs="Arial"/>
              <w:b/>
              <w:sz w:val="20"/>
            </w:rPr>
          </w:pPr>
        </w:p>
        <w:p w:rsidR="004D031D" w:rsidRPr="00905C1C" w:rsidRDefault="004D031D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3040" w:type="dxa"/>
          <w:tcBorders>
            <w:top w:val="double" w:sz="7" w:space="0" w:color="000000"/>
            <w:left w:val="double" w:sz="7" w:space="0" w:color="000000"/>
            <w:bottom w:val="double" w:sz="7" w:space="0" w:color="000000"/>
            <w:right w:val="double" w:sz="7" w:space="0" w:color="000000"/>
          </w:tcBorders>
        </w:tcPr>
        <w:p w:rsidR="004D031D" w:rsidRPr="00905C1C" w:rsidRDefault="004D031D" w:rsidP="007B4EE8">
          <w:pPr>
            <w:widowControl w:val="0"/>
            <w:tabs>
              <w:tab w:val="left" w:pos="-720"/>
              <w:tab w:val="left" w:pos="0"/>
              <w:tab w:val="left" w:pos="720"/>
              <w:tab w:val="left" w:pos="1191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spacing w:before="120"/>
            <w:ind w:left="1210" w:hanging="1210"/>
            <w:rPr>
              <w:rFonts w:ascii="Arial" w:hAnsi="Arial" w:cs="Arial"/>
              <w:sz w:val="20"/>
            </w:rPr>
          </w:pPr>
          <w:r w:rsidRPr="00905C1C">
            <w:rPr>
              <w:rFonts w:ascii="Arial" w:hAnsi="Arial" w:cs="Arial"/>
              <w:b/>
              <w:sz w:val="20"/>
            </w:rPr>
            <w:t>NUMBER:</w:t>
          </w:r>
          <w:r w:rsidRPr="00905C1C">
            <w:rPr>
              <w:rFonts w:ascii="Arial" w:hAnsi="Arial" w:cs="Arial"/>
              <w:sz w:val="20"/>
            </w:rPr>
            <w:tab/>
          </w:r>
          <w:r w:rsidR="00D846AA">
            <w:rPr>
              <w:rFonts w:ascii="Arial" w:hAnsi="Arial" w:cs="Arial"/>
              <w:sz w:val="20"/>
            </w:rPr>
            <w:t>xx</w:t>
          </w:r>
        </w:p>
        <w:p w:rsidR="004D031D" w:rsidRPr="00905C1C" w:rsidRDefault="004D031D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191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rFonts w:ascii="Arial" w:hAnsi="Arial" w:cs="Arial"/>
              <w:sz w:val="20"/>
            </w:rPr>
          </w:pPr>
          <w:r w:rsidRPr="00905C1C">
            <w:rPr>
              <w:rFonts w:ascii="Arial" w:hAnsi="Arial" w:cs="Arial"/>
              <w:sz w:val="20"/>
            </w:rPr>
            <w:tab/>
          </w:r>
          <w:r w:rsidRPr="00905C1C">
            <w:rPr>
              <w:rFonts w:ascii="Arial" w:hAnsi="Arial" w:cs="Arial"/>
              <w:sz w:val="20"/>
            </w:rPr>
            <w:tab/>
            <w:t xml:space="preserve">Page 1 of </w:t>
          </w:r>
          <w:r w:rsidR="00B45FE1">
            <w:t>3</w:t>
          </w:r>
        </w:p>
        <w:p w:rsidR="004D031D" w:rsidRPr="00905C1C" w:rsidRDefault="004D031D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ind w:left="1210"/>
            <w:rPr>
              <w:rFonts w:ascii="Arial" w:hAnsi="Arial" w:cs="Arial"/>
              <w:sz w:val="20"/>
            </w:rPr>
          </w:pPr>
        </w:p>
      </w:tc>
    </w:tr>
    <w:tr w:rsidR="004D031D" w:rsidRPr="00905C1C" w:rsidTr="004D031D">
      <w:trPr>
        <w:cantSplit/>
      </w:trPr>
      <w:tc>
        <w:tcPr>
          <w:tcW w:w="3720" w:type="dxa"/>
          <w:vMerge/>
          <w:tcBorders>
            <w:top w:val="double" w:sz="7" w:space="0" w:color="000000"/>
            <w:left w:val="double" w:sz="7" w:space="0" w:color="000000"/>
            <w:bottom w:val="single" w:sz="8" w:space="0" w:color="000000"/>
            <w:right w:val="double" w:sz="7" w:space="0" w:color="000000"/>
          </w:tcBorders>
        </w:tcPr>
        <w:p w:rsidR="004D031D" w:rsidRPr="00905C1C" w:rsidRDefault="004D031D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spacing w:before="23"/>
            <w:rPr>
              <w:rFonts w:ascii="Arial" w:hAnsi="Arial" w:cs="Arial"/>
              <w:sz w:val="20"/>
            </w:rPr>
          </w:pPr>
        </w:p>
      </w:tc>
      <w:tc>
        <w:tcPr>
          <w:tcW w:w="3920" w:type="dxa"/>
          <w:vMerge/>
          <w:tcBorders>
            <w:top w:val="double" w:sz="7" w:space="0" w:color="000000"/>
            <w:left w:val="double" w:sz="7" w:space="0" w:color="000000"/>
            <w:bottom w:val="single" w:sz="8" w:space="0" w:color="000000"/>
            <w:right w:val="double" w:sz="7" w:space="0" w:color="000000"/>
          </w:tcBorders>
        </w:tcPr>
        <w:p w:rsidR="004D031D" w:rsidRPr="00905C1C" w:rsidRDefault="004D031D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spacing w:before="23"/>
            <w:rPr>
              <w:rFonts w:ascii="Arial" w:hAnsi="Arial" w:cs="Arial"/>
              <w:sz w:val="20"/>
            </w:rPr>
          </w:pPr>
        </w:p>
      </w:tc>
      <w:tc>
        <w:tcPr>
          <w:tcW w:w="3040" w:type="dxa"/>
          <w:tcBorders>
            <w:top w:val="double" w:sz="7" w:space="0" w:color="000000"/>
            <w:left w:val="double" w:sz="7" w:space="0" w:color="000000"/>
            <w:bottom w:val="single" w:sz="8" w:space="0" w:color="000000"/>
            <w:right w:val="double" w:sz="7" w:space="0" w:color="000000"/>
          </w:tcBorders>
        </w:tcPr>
        <w:p w:rsidR="004D031D" w:rsidRPr="00905C1C" w:rsidRDefault="004D031D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spacing w:before="23"/>
            <w:rPr>
              <w:rFonts w:ascii="Arial" w:hAnsi="Arial" w:cs="Arial"/>
              <w:b/>
              <w:sz w:val="20"/>
            </w:rPr>
          </w:pPr>
          <w:r w:rsidRPr="00905C1C">
            <w:rPr>
              <w:rFonts w:ascii="Arial" w:hAnsi="Arial" w:cs="Arial"/>
              <w:b/>
              <w:sz w:val="20"/>
            </w:rPr>
            <w:t>DATE</w:t>
          </w:r>
          <w:r w:rsidR="00A55BCB">
            <w:rPr>
              <w:rFonts w:ascii="Arial" w:hAnsi="Arial" w:cs="Arial"/>
              <w:b/>
              <w:sz w:val="20"/>
            </w:rPr>
            <w:t xml:space="preserve"> OF ORIGIN</w:t>
          </w:r>
          <w:r w:rsidRPr="00905C1C">
            <w:rPr>
              <w:rFonts w:ascii="Arial" w:hAnsi="Arial" w:cs="Arial"/>
              <w:b/>
              <w:sz w:val="20"/>
            </w:rPr>
            <w:t>:</w:t>
          </w:r>
        </w:p>
        <w:p w:rsidR="004D031D" w:rsidRPr="00905C1C" w:rsidRDefault="004D031D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spacing w:before="23"/>
            <w:rPr>
              <w:rFonts w:ascii="Arial" w:hAnsi="Arial" w:cs="Arial"/>
              <w:b/>
              <w:sz w:val="20"/>
            </w:rPr>
          </w:pPr>
        </w:p>
        <w:p w:rsidR="008169D0" w:rsidRPr="00905C1C" w:rsidRDefault="008169D0" w:rsidP="008169D0">
          <w:pPr>
            <w:widowControl w:val="0"/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spacing w:before="23"/>
            <w:rPr>
              <w:rFonts w:ascii="Arial" w:hAnsi="Arial" w:cs="Arial"/>
              <w:sz w:val="20"/>
            </w:rPr>
          </w:pPr>
          <w:bookmarkStart w:id="0" w:name="_GoBack"/>
          <w:r w:rsidRPr="003516F2">
            <w:rPr>
              <w:rFonts w:ascii="Arial" w:hAnsi="Arial" w:cs="Arial"/>
              <w:sz w:val="20"/>
            </w:rPr>
            <w:t>January 11, 2016 - NAH</w:t>
          </w:r>
          <w:bookmarkEnd w:id="0"/>
        </w:p>
      </w:tc>
    </w:tr>
    <w:tr w:rsidR="004D031D" w:rsidRPr="00905C1C" w:rsidTr="008169D0">
      <w:trPr>
        <w:cantSplit/>
        <w:trHeight w:val="712"/>
      </w:trPr>
      <w:tc>
        <w:tcPr>
          <w:tcW w:w="10680" w:type="dxa"/>
          <w:gridSpan w:val="3"/>
          <w:tcBorders>
            <w:top w:val="single" w:sz="8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8169D0" w:rsidRDefault="008169D0" w:rsidP="00077C08">
          <w:pPr>
            <w:autoSpaceDE w:val="0"/>
            <w:autoSpaceDN w:val="0"/>
            <w:adjustRightInd w:val="0"/>
            <w:rPr>
              <w:rFonts w:ascii="Arial" w:hAnsi="Arial" w:cs="Arial"/>
              <w:b/>
              <w:sz w:val="20"/>
            </w:rPr>
          </w:pPr>
        </w:p>
        <w:p w:rsidR="00077C08" w:rsidRDefault="004D031D" w:rsidP="00077C08">
          <w:pPr>
            <w:autoSpaceDE w:val="0"/>
            <w:autoSpaceDN w:val="0"/>
            <w:adjustRightInd w:val="0"/>
            <w:rPr>
              <w:rFonts w:ascii="Arial-BoldMT" w:hAnsi="Arial-BoldMT" w:cs="Arial-BoldMT"/>
              <w:b/>
              <w:bCs/>
              <w:sz w:val="22"/>
              <w:szCs w:val="22"/>
            </w:rPr>
          </w:pPr>
          <w:r w:rsidRPr="00905C1C">
            <w:rPr>
              <w:rFonts w:ascii="Arial" w:hAnsi="Arial" w:cs="Arial"/>
              <w:b/>
              <w:sz w:val="20"/>
            </w:rPr>
            <w:t>TITLE:</w:t>
          </w:r>
          <w:r w:rsidR="00077C08">
            <w:rPr>
              <w:rFonts w:ascii="Arial-BoldMT" w:hAnsi="Arial-BoldMT" w:cs="Arial-BoldMT"/>
              <w:b/>
              <w:bCs/>
              <w:sz w:val="22"/>
              <w:szCs w:val="22"/>
            </w:rPr>
            <w:t xml:space="preserve">                                   HEMOLYZED AND ICTERUS SPECIMEN HANDLING</w:t>
          </w:r>
        </w:p>
        <w:p w:rsidR="004D031D" w:rsidRPr="00905C1C" w:rsidRDefault="004D031D" w:rsidP="004D031D">
          <w:pPr>
            <w:widowControl w:val="0"/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8683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spacing w:before="23"/>
            <w:rPr>
              <w:rFonts w:ascii="Arial" w:hAnsi="Arial" w:cs="Arial"/>
              <w:sz w:val="20"/>
            </w:rPr>
          </w:pPr>
        </w:p>
        <w:p w:rsidR="004D031D" w:rsidRPr="00905C1C" w:rsidRDefault="004D031D" w:rsidP="00077C08">
          <w:pPr>
            <w:widowControl w:val="0"/>
            <w:tabs>
              <w:tab w:val="left" w:pos="0"/>
              <w:tab w:val="center" w:pos="5065"/>
            </w:tabs>
            <w:jc w:val="center"/>
            <w:rPr>
              <w:rFonts w:ascii="Arial" w:hAnsi="Arial" w:cs="Arial"/>
              <w:b/>
              <w:sz w:val="20"/>
            </w:rPr>
          </w:pPr>
        </w:p>
      </w:tc>
    </w:tr>
  </w:tbl>
  <w:p w:rsidR="004D031D" w:rsidRDefault="004D03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7173"/>
    <w:multiLevelType w:val="hybridMultilevel"/>
    <w:tmpl w:val="CC8E1AEC"/>
    <w:lvl w:ilvl="0" w:tplc="42C6085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5A4B38"/>
    <w:multiLevelType w:val="hybridMultilevel"/>
    <w:tmpl w:val="74A427E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4E43"/>
    <w:multiLevelType w:val="hybridMultilevel"/>
    <w:tmpl w:val="EED06AA0"/>
    <w:lvl w:ilvl="0" w:tplc="87EC0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AA0FC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color w:val="auto"/>
      </w:rPr>
    </w:lvl>
    <w:lvl w:ilvl="2" w:tplc="B8A07CD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2A68F2"/>
    <w:multiLevelType w:val="hybridMultilevel"/>
    <w:tmpl w:val="96222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11952"/>
    <w:multiLevelType w:val="hybridMultilevel"/>
    <w:tmpl w:val="CB4807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4CC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13C2368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F2C3A"/>
    <w:multiLevelType w:val="hybridMultilevel"/>
    <w:tmpl w:val="6D2A53E0"/>
    <w:lvl w:ilvl="0" w:tplc="22DCCD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6554C71"/>
    <w:multiLevelType w:val="hybridMultilevel"/>
    <w:tmpl w:val="ABE85000"/>
    <w:lvl w:ilvl="0" w:tplc="41000612">
      <w:start w:val="1"/>
      <w:numFmt w:val="lowerRoman"/>
      <w:lvlText w:val="%1."/>
      <w:lvlJc w:val="right"/>
      <w:pPr>
        <w:ind w:left="2151" w:hanging="360"/>
      </w:pPr>
      <w:rPr>
        <w:rFonts w:hint="default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591" w:hanging="360"/>
      </w:pPr>
    </w:lvl>
    <w:lvl w:ilvl="2" w:tplc="0409001B" w:tentative="1">
      <w:start w:val="1"/>
      <w:numFmt w:val="lowerRoman"/>
      <w:lvlText w:val="%3."/>
      <w:lvlJc w:val="right"/>
      <w:pPr>
        <w:ind w:left="4311" w:hanging="180"/>
      </w:pPr>
    </w:lvl>
    <w:lvl w:ilvl="3" w:tplc="0409000F" w:tentative="1">
      <w:start w:val="1"/>
      <w:numFmt w:val="decimal"/>
      <w:lvlText w:val="%4."/>
      <w:lvlJc w:val="left"/>
      <w:pPr>
        <w:ind w:left="5031" w:hanging="360"/>
      </w:pPr>
    </w:lvl>
    <w:lvl w:ilvl="4" w:tplc="04090019" w:tentative="1">
      <w:start w:val="1"/>
      <w:numFmt w:val="lowerLetter"/>
      <w:lvlText w:val="%5."/>
      <w:lvlJc w:val="left"/>
      <w:pPr>
        <w:ind w:left="5751" w:hanging="360"/>
      </w:pPr>
    </w:lvl>
    <w:lvl w:ilvl="5" w:tplc="0409001B" w:tentative="1">
      <w:start w:val="1"/>
      <w:numFmt w:val="lowerRoman"/>
      <w:lvlText w:val="%6."/>
      <w:lvlJc w:val="right"/>
      <w:pPr>
        <w:ind w:left="6471" w:hanging="180"/>
      </w:pPr>
    </w:lvl>
    <w:lvl w:ilvl="6" w:tplc="0409000F" w:tentative="1">
      <w:start w:val="1"/>
      <w:numFmt w:val="decimal"/>
      <w:lvlText w:val="%7."/>
      <w:lvlJc w:val="left"/>
      <w:pPr>
        <w:ind w:left="7191" w:hanging="360"/>
      </w:pPr>
    </w:lvl>
    <w:lvl w:ilvl="7" w:tplc="04090019" w:tentative="1">
      <w:start w:val="1"/>
      <w:numFmt w:val="lowerLetter"/>
      <w:lvlText w:val="%8."/>
      <w:lvlJc w:val="left"/>
      <w:pPr>
        <w:ind w:left="7911" w:hanging="360"/>
      </w:pPr>
    </w:lvl>
    <w:lvl w:ilvl="8" w:tplc="0409001B" w:tentative="1">
      <w:start w:val="1"/>
      <w:numFmt w:val="lowerRoman"/>
      <w:lvlText w:val="%9."/>
      <w:lvlJc w:val="right"/>
      <w:pPr>
        <w:ind w:left="8631" w:hanging="180"/>
      </w:pPr>
    </w:lvl>
  </w:abstractNum>
  <w:abstractNum w:abstractNumId="7" w15:restartNumberingAfterBreak="0">
    <w:nsid w:val="2A3C7666"/>
    <w:multiLevelType w:val="hybridMultilevel"/>
    <w:tmpl w:val="22F694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C03D21"/>
    <w:multiLevelType w:val="hybridMultilevel"/>
    <w:tmpl w:val="DFE630B4"/>
    <w:lvl w:ilvl="0" w:tplc="F618B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2DD0EC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DA2258"/>
    <w:multiLevelType w:val="hybridMultilevel"/>
    <w:tmpl w:val="93386CC8"/>
    <w:lvl w:ilvl="0" w:tplc="AC62B15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B5B5E8E"/>
    <w:multiLevelType w:val="hybridMultilevel"/>
    <w:tmpl w:val="6BCABDE2"/>
    <w:lvl w:ilvl="0" w:tplc="D8DE40D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B55E3"/>
    <w:multiLevelType w:val="hybridMultilevel"/>
    <w:tmpl w:val="6D106E0A"/>
    <w:lvl w:ilvl="0" w:tplc="13C236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49E1EB2"/>
    <w:multiLevelType w:val="hybridMultilevel"/>
    <w:tmpl w:val="D68C3884"/>
    <w:lvl w:ilvl="0" w:tplc="13C236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A83A89"/>
    <w:multiLevelType w:val="hybridMultilevel"/>
    <w:tmpl w:val="5486189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FD50B3"/>
    <w:multiLevelType w:val="hybridMultilevel"/>
    <w:tmpl w:val="135C2C0E"/>
    <w:lvl w:ilvl="0" w:tplc="81B6BA50">
      <w:start w:val="9"/>
      <w:numFmt w:val="decimal"/>
      <w:lvlText w:val="%1."/>
      <w:lvlJc w:val="left"/>
      <w:pPr>
        <w:ind w:hanging="452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409001B">
      <w:start w:val="1"/>
      <w:numFmt w:val="lowerRoman"/>
      <w:lvlText w:val="%2."/>
      <w:lvlJc w:val="right"/>
      <w:pPr>
        <w:ind w:hanging="360"/>
      </w:pPr>
      <w:rPr>
        <w:rFonts w:hint="default"/>
        <w:w w:val="99"/>
        <w:sz w:val="20"/>
        <w:szCs w:val="20"/>
      </w:rPr>
    </w:lvl>
    <w:lvl w:ilvl="2" w:tplc="D116DFCC">
      <w:start w:val="2"/>
      <w:numFmt w:val="lowerRoman"/>
      <w:lvlText w:val="(%3)"/>
      <w:lvlJc w:val="left"/>
      <w:pPr>
        <w:ind w:hanging="361"/>
      </w:pPr>
      <w:rPr>
        <w:rFonts w:ascii="Arial" w:eastAsia="Arial" w:hAnsi="Arial" w:hint="default"/>
        <w:w w:val="99"/>
        <w:sz w:val="20"/>
        <w:szCs w:val="20"/>
      </w:rPr>
    </w:lvl>
    <w:lvl w:ilvl="3" w:tplc="ACB8B9A6">
      <w:start w:val="1"/>
      <w:numFmt w:val="bullet"/>
      <w:lvlText w:val="•"/>
      <w:lvlJc w:val="left"/>
      <w:rPr>
        <w:rFonts w:hint="default"/>
      </w:rPr>
    </w:lvl>
    <w:lvl w:ilvl="4" w:tplc="C806389E">
      <w:start w:val="1"/>
      <w:numFmt w:val="bullet"/>
      <w:lvlText w:val="•"/>
      <w:lvlJc w:val="left"/>
      <w:rPr>
        <w:rFonts w:hint="default"/>
      </w:rPr>
    </w:lvl>
    <w:lvl w:ilvl="5" w:tplc="59C4117C">
      <w:start w:val="1"/>
      <w:numFmt w:val="bullet"/>
      <w:lvlText w:val="•"/>
      <w:lvlJc w:val="left"/>
      <w:rPr>
        <w:rFonts w:hint="default"/>
      </w:rPr>
    </w:lvl>
    <w:lvl w:ilvl="6" w:tplc="2FD0A428">
      <w:start w:val="1"/>
      <w:numFmt w:val="bullet"/>
      <w:lvlText w:val="•"/>
      <w:lvlJc w:val="left"/>
      <w:rPr>
        <w:rFonts w:hint="default"/>
      </w:rPr>
    </w:lvl>
    <w:lvl w:ilvl="7" w:tplc="1B526612">
      <w:start w:val="1"/>
      <w:numFmt w:val="bullet"/>
      <w:lvlText w:val="•"/>
      <w:lvlJc w:val="left"/>
      <w:rPr>
        <w:rFonts w:hint="default"/>
      </w:rPr>
    </w:lvl>
    <w:lvl w:ilvl="8" w:tplc="4F64428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3790885"/>
    <w:multiLevelType w:val="hybridMultilevel"/>
    <w:tmpl w:val="E864C15E"/>
    <w:lvl w:ilvl="0" w:tplc="7F6E23C6">
      <w:start w:val="8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6" w15:restartNumberingAfterBreak="0">
    <w:nsid w:val="543671ED"/>
    <w:multiLevelType w:val="hybridMultilevel"/>
    <w:tmpl w:val="CCAA53BA"/>
    <w:lvl w:ilvl="0" w:tplc="918E5DFE">
      <w:start w:val="1"/>
      <w:numFmt w:val="decimal"/>
      <w:lvlText w:val="%1."/>
      <w:lvlJc w:val="left"/>
      <w:pPr>
        <w:ind w:hanging="375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54000394">
      <w:start w:val="1"/>
      <w:numFmt w:val="bullet"/>
      <w:lvlText w:val="•"/>
      <w:lvlJc w:val="left"/>
      <w:rPr>
        <w:rFonts w:hint="default"/>
      </w:rPr>
    </w:lvl>
    <w:lvl w:ilvl="2" w:tplc="C3228570">
      <w:start w:val="1"/>
      <w:numFmt w:val="bullet"/>
      <w:lvlText w:val="•"/>
      <w:lvlJc w:val="left"/>
      <w:rPr>
        <w:rFonts w:hint="default"/>
      </w:rPr>
    </w:lvl>
    <w:lvl w:ilvl="3" w:tplc="92AE82D6">
      <w:start w:val="1"/>
      <w:numFmt w:val="bullet"/>
      <w:lvlText w:val="•"/>
      <w:lvlJc w:val="left"/>
      <w:rPr>
        <w:rFonts w:hint="default"/>
      </w:rPr>
    </w:lvl>
    <w:lvl w:ilvl="4" w:tplc="C0E46160">
      <w:start w:val="1"/>
      <w:numFmt w:val="bullet"/>
      <w:lvlText w:val="•"/>
      <w:lvlJc w:val="left"/>
      <w:rPr>
        <w:rFonts w:hint="default"/>
      </w:rPr>
    </w:lvl>
    <w:lvl w:ilvl="5" w:tplc="F3303C1A">
      <w:start w:val="1"/>
      <w:numFmt w:val="bullet"/>
      <w:lvlText w:val="•"/>
      <w:lvlJc w:val="left"/>
      <w:rPr>
        <w:rFonts w:hint="default"/>
      </w:rPr>
    </w:lvl>
    <w:lvl w:ilvl="6" w:tplc="1BDAEBD4">
      <w:start w:val="1"/>
      <w:numFmt w:val="bullet"/>
      <w:lvlText w:val="•"/>
      <w:lvlJc w:val="left"/>
      <w:rPr>
        <w:rFonts w:hint="default"/>
      </w:rPr>
    </w:lvl>
    <w:lvl w:ilvl="7" w:tplc="B8DA2E16">
      <w:start w:val="1"/>
      <w:numFmt w:val="bullet"/>
      <w:lvlText w:val="•"/>
      <w:lvlJc w:val="left"/>
      <w:rPr>
        <w:rFonts w:hint="default"/>
      </w:rPr>
    </w:lvl>
    <w:lvl w:ilvl="8" w:tplc="76BEDDA2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56832952"/>
    <w:multiLevelType w:val="hybridMultilevel"/>
    <w:tmpl w:val="ABDEF1A4"/>
    <w:lvl w:ilvl="0" w:tplc="1B423A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  <w:b w:val="0"/>
        <w:u w:val="none"/>
      </w:rPr>
    </w:lvl>
    <w:lvl w:ilvl="1" w:tplc="DBA8429E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u w:val="none"/>
      </w:rPr>
    </w:lvl>
    <w:lvl w:ilvl="2" w:tplc="040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6C3E96"/>
    <w:multiLevelType w:val="hybridMultilevel"/>
    <w:tmpl w:val="6832B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B45AD"/>
    <w:multiLevelType w:val="hybridMultilevel"/>
    <w:tmpl w:val="12D019BA"/>
    <w:lvl w:ilvl="0" w:tplc="47864EF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2B55FE6"/>
    <w:multiLevelType w:val="hybridMultilevel"/>
    <w:tmpl w:val="A044B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E7B97"/>
    <w:multiLevelType w:val="hybridMultilevel"/>
    <w:tmpl w:val="9B00B7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B5083"/>
    <w:multiLevelType w:val="hybridMultilevel"/>
    <w:tmpl w:val="E6AC1146"/>
    <w:lvl w:ilvl="0" w:tplc="FFFFFFF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645E4"/>
    <w:multiLevelType w:val="hybridMultilevel"/>
    <w:tmpl w:val="FB00D6C6"/>
    <w:lvl w:ilvl="0" w:tplc="13C236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02E3E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23"/>
  </w:num>
  <w:num w:numId="4">
    <w:abstractNumId w:val="5"/>
  </w:num>
  <w:num w:numId="5">
    <w:abstractNumId w:val="12"/>
  </w:num>
  <w:num w:numId="6">
    <w:abstractNumId w:val="0"/>
  </w:num>
  <w:num w:numId="7">
    <w:abstractNumId w:val="19"/>
  </w:num>
  <w:num w:numId="8">
    <w:abstractNumId w:val="11"/>
  </w:num>
  <w:num w:numId="9">
    <w:abstractNumId w:val="14"/>
  </w:num>
  <w:num w:numId="10">
    <w:abstractNumId w:val="16"/>
  </w:num>
  <w:num w:numId="11">
    <w:abstractNumId w:val="15"/>
  </w:num>
  <w:num w:numId="12">
    <w:abstractNumId w:val="6"/>
  </w:num>
  <w:num w:numId="13">
    <w:abstractNumId w:val="8"/>
  </w:num>
  <w:num w:numId="14">
    <w:abstractNumId w:val="13"/>
  </w:num>
  <w:num w:numId="15">
    <w:abstractNumId w:val="17"/>
  </w:num>
  <w:num w:numId="16">
    <w:abstractNumId w:val="21"/>
  </w:num>
  <w:num w:numId="17">
    <w:abstractNumId w:val="10"/>
  </w:num>
  <w:num w:numId="18">
    <w:abstractNumId w:val="22"/>
  </w:num>
  <w:num w:numId="19">
    <w:abstractNumId w:val="1"/>
  </w:num>
  <w:num w:numId="20">
    <w:abstractNumId w:val="18"/>
  </w:num>
  <w:num w:numId="21">
    <w:abstractNumId w:val="20"/>
  </w:num>
  <w:num w:numId="22">
    <w:abstractNumId w:val="3"/>
  </w:num>
  <w:num w:numId="23">
    <w:abstractNumId w:val="9"/>
  </w:num>
  <w:num w:numId="2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C9"/>
    <w:rsid w:val="00001126"/>
    <w:rsid w:val="00010A88"/>
    <w:rsid w:val="00011834"/>
    <w:rsid w:val="00012C46"/>
    <w:rsid w:val="000134F9"/>
    <w:rsid w:val="0003088C"/>
    <w:rsid w:val="0003775B"/>
    <w:rsid w:val="00045249"/>
    <w:rsid w:val="0007006B"/>
    <w:rsid w:val="00070EE0"/>
    <w:rsid w:val="00072EE3"/>
    <w:rsid w:val="00075353"/>
    <w:rsid w:val="00075625"/>
    <w:rsid w:val="00077C08"/>
    <w:rsid w:val="00087572"/>
    <w:rsid w:val="00087E44"/>
    <w:rsid w:val="000962F7"/>
    <w:rsid w:val="000A2AFA"/>
    <w:rsid w:val="000A513A"/>
    <w:rsid w:val="000A6467"/>
    <w:rsid w:val="000D7C73"/>
    <w:rsid w:val="000E33BD"/>
    <w:rsid w:val="00100FE0"/>
    <w:rsid w:val="0010141E"/>
    <w:rsid w:val="00133BCB"/>
    <w:rsid w:val="00136DD6"/>
    <w:rsid w:val="00161437"/>
    <w:rsid w:val="00174C17"/>
    <w:rsid w:val="00180CC7"/>
    <w:rsid w:val="00186D29"/>
    <w:rsid w:val="00187AE1"/>
    <w:rsid w:val="001A3603"/>
    <w:rsid w:val="001A4D26"/>
    <w:rsid w:val="001A4FC8"/>
    <w:rsid w:val="001B33B3"/>
    <w:rsid w:val="001C21EF"/>
    <w:rsid w:val="001D0B4D"/>
    <w:rsid w:val="001D2FAA"/>
    <w:rsid w:val="001D6B76"/>
    <w:rsid w:val="001E558B"/>
    <w:rsid w:val="001F4BA5"/>
    <w:rsid w:val="00203E11"/>
    <w:rsid w:val="00211496"/>
    <w:rsid w:val="002303C2"/>
    <w:rsid w:val="0023155E"/>
    <w:rsid w:val="002334DB"/>
    <w:rsid w:val="00235E4D"/>
    <w:rsid w:val="00262BD1"/>
    <w:rsid w:val="00271BD1"/>
    <w:rsid w:val="00282909"/>
    <w:rsid w:val="00282A9D"/>
    <w:rsid w:val="002853CC"/>
    <w:rsid w:val="00294119"/>
    <w:rsid w:val="0029502A"/>
    <w:rsid w:val="002A31BB"/>
    <w:rsid w:val="002B4CB2"/>
    <w:rsid w:val="002D1EF9"/>
    <w:rsid w:val="002E211B"/>
    <w:rsid w:val="002F0605"/>
    <w:rsid w:val="002F5661"/>
    <w:rsid w:val="00302B2E"/>
    <w:rsid w:val="003149AE"/>
    <w:rsid w:val="003200F9"/>
    <w:rsid w:val="003205B8"/>
    <w:rsid w:val="00341FBC"/>
    <w:rsid w:val="0034718F"/>
    <w:rsid w:val="003516F2"/>
    <w:rsid w:val="0035283E"/>
    <w:rsid w:val="00353C8E"/>
    <w:rsid w:val="00361E66"/>
    <w:rsid w:val="00374B8F"/>
    <w:rsid w:val="003867D8"/>
    <w:rsid w:val="003A0A08"/>
    <w:rsid w:val="003A4713"/>
    <w:rsid w:val="003A520A"/>
    <w:rsid w:val="003A6E59"/>
    <w:rsid w:val="003C050E"/>
    <w:rsid w:val="003C15A2"/>
    <w:rsid w:val="003C1DBF"/>
    <w:rsid w:val="003D6706"/>
    <w:rsid w:val="004135B6"/>
    <w:rsid w:val="00421011"/>
    <w:rsid w:val="004259FB"/>
    <w:rsid w:val="00431EAE"/>
    <w:rsid w:val="0044074C"/>
    <w:rsid w:val="00441782"/>
    <w:rsid w:val="00441BF9"/>
    <w:rsid w:val="0045158F"/>
    <w:rsid w:val="00454A8B"/>
    <w:rsid w:val="00462FAC"/>
    <w:rsid w:val="00462FBC"/>
    <w:rsid w:val="00466AE0"/>
    <w:rsid w:val="004674C2"/>
    <w:rsid w:val="0047130E"/>
    <w:rsid w:val="00471A47"/>
    <w:rsid w:val="004833D0"/>
    <w:rsid w:val="00494B98"/>
    <w:rsid w:val="00495581"/>
    <w:rsid w:val="00495EA3"/>
    <w:rsid w:val="004974DE"/>
    <w:rsid w:val="004A0697"/>
    <w:rsid w:val="004A6486"/>
    <w:rsid w:val="004B4E2A"/>
    <w:rsid w:val="004C18B9"/>
    <w:rsid w:val="004C3741"/>
    <w:rsid w:val="004C77A6"/>
    <w:rsid w:val="004D031D"/>
    <w:rsid w:val="004E0E0E"/>
    <w:rsid w:val="005121D1"/>
    <w:rsid w:val="00513A1D"/>
    <w:rsid w:val="00521232"/>
    <w:rsid w:val="005250F2"/>
    <w:rsid w:val="005419A5"/>
    <w:rsid w:val="0054275A"/>
    <w:rsid w:val="005477C9"/>
    <w:rsid w:val="00547FC7"/>
    <w:rsid w:val="00560094"/>
    <w:rsid w:val="005635E3"/>
    <w:rsid w:val="005636A7"/>
    <w:rsid w:val="00572142"/>
    <w:rsid w:val="00572CA3"/>
    <w:rsid w:val="00575215"/>
    <w:rsid w:val="005903BE"/>
    <w:rsid w:val="00596162"/>
    <w:rsid w:val="005A43C7"/>
    <w:rsid w:val="005A639D"/>
    <w:rsid w:val="005B0C9B"/>
    <w:rsid w:val="005D31DE"/>
    <w:rsid w:val="005F5911"/>
    <w:rsid w:val="0060172F"/>
    <w:rsid w:val="00611801"/>
    <w:rsid w:val="00615217"/>
    <w:rsid w:val="0062205E"/>
    <w:rsid w:val="00624728"/>
    <w:rsid w:val="00627463"/>
    <w:rsid w:val="0063045C"/>
    <w:rsid w:val="00630DB4"/>
    <w:rsid w:val="00631B24"/>
    <w:rsid w:val="00647456"/>
    <w:rsid w:val="0065165B"/>
    <w:rsid w:val="00657C87"/>
    <w:rsid w:val="00662892"/>
    <w:rsid w:val="0066588F"/>
    <w:rsid w:val="00670332"/>
    <w:rsid w:val="006721D8"/>
    <w:rsid w:val="00676D4A"/>
    <w:rsid w:val="006960E2"/>
    <w:rsid w:val="006B16D7"/>
    <w:rsid w:val="006B1DB4"/>
    <w:rsid w:val="006B212B"/>
    <w:rsid w:val="006B33A8"/>
    <w:rsid w:val="006B4924"/>
    <w:rsid w:val="006B513B"/>
    <w:rsid w:val="006B5FD7"/>
    <w:rsid w:val="006B7B79"/>
    <w:rsid w:val="006C7B78"/>
    <w:rsid w:val="006D115C"/>
    <w:rsid w:val="006D2197"/>
    <w:rsid w:val="006D6615"/>
    <w:rsid w:val="006E3B57"/>
    <w:rsid w:val="007061A1"/>
    <w:rsid w:val="007105E5"/>
    <w:rsid w:val="00713332"/>
    <w:rsid w:val="0071630F"/>
    <w:rsid w:val="00720BBA"/>
    <w:rsid w:val="007234CA"/>
    <w:rsid w:val="007420B9"/>
    <w:rsid w:val="00751147"/>
    <w:rsid w:val="007523E0"/>
    <w:rsid w:val="00755FB7"/>
    <w:rsid w:val="00762E04"/>
    <w:rsid w:val="00773CBD"/>
    <w:rsid w:val="00776089"/>
    <w:rsid w:val="007872F9"/>
    <w:rsid w:val="00792A7B"/>
    <w:rsid w:val="0079336B"/>
    <w:rsid w:val="007A0F0F"/>
    <w:rsid w:val="007B4936"/>
    <w:rsid w:val="007B4EE8"/>
    <w:rsid w:val="007B5234"/>
    <w:rsid w:val="007C1E8E"/>
    <w:rsid w:val="007C265D"/>
    <w:rsid w:val="007D0539"/>
    <w:rsid w:val="007D57D9"/>
    <w:rsid w:val="007D5892"/>
    <w:rsid w:val="007D7B12"/>
    <w:rsid w:val="007E76C7"/>
    <w:rsid w:val="007F0F01"/>
    <w:rsid w:val="00800527"/>
    <w:rsid w:val="00805A69"/>
    <w:rsid w:val="00814F20"/>
    <w:rsid w:val="008169D0"/>
    <w:rsid w:val="00840C3B"/>
    <w:rsid w:val="008617C6"/>
    <w:rsid w:val="008629FC"/>
    <w:rsid w:val="008671C8"/>
    <w:rsid w:val="008932D1"/>
    <w:rsid w:val="008A35F7"/>
    <w:rsid w:val="008A5890"/>
    <w:rsid w:val="008C3383"/>
    <w:rsid w:val="008C711A"/>
    <w:rsid w:val="008C789C"/>
    <w:rsid w:val="008D328D"/>
    <w:rsid w:val="008E21F9"/>
    <w:rsid w:val="008E2AA1"/>
    <w:rsid w:val="008E40F8"/>
    <w:rsid w:val="008F14FB"/>
    <w:rsid w:val="008F6BDC"/>
    <w:rsid w:val="00905C1C"/>
    <w:rsid w:val="009111EF"/>
    <w:rsid w:val="00914936"/>
    <w:rsid w:val="00932B8E"/>
    <w:rsid w:val="00933277"/>
    <w:rsid w:val="00950180"/>
    <w:rsid w:val="00974CAA"/>
    <w:rsid w:val="009846BE"/>
    <w:rsid w:val="009850DC"/>
    <w:rsid w:val="00986FE7"/>
    <w:rsid w:val="009930D2"/>
    <w:rsid w:val="009A7CD3"/>
    <w:rsid w:val="009C63FF"/>
    <w:rsid w:val="009D2D9B"/>
    <w:rsid w:val="009F3296"/>
    <w:rsid w:val="00A028A8"/>
    <w:rsid w:val="00A1752B"/>
    <w:rsid w:val="00A370BF"/>
    <w:rsid w:val="00A4514A"/>
    <w:rsid w:val="00A46FB7"/>
    <w:rsid w:val="00A55BCB"/>
    <w:rsid w:val="00A56BFF"/>
    <w:rsid w:val="00A84FB2"/>
    <w:rsid w:val="00A87E32"/>
    <w:rsid w:val="00A94992"/>
    <w:rsid w:val="00A95ECA"/>
    <w:rsid w:val="00AA03D2"/>
    <w:rsid w:val="00AA7E94"/>
    <w:rsid w:val="00AC0DB1"/>
    <w:rsid w:val="00AC7217"/>
    <w:rsid w:val="00AD0710"/>
    <w:rsid w:val="00AD3625"/>
    <w:rsid w:val="00AD4F7E"/>
    <w:rsid w:val="00AE0492"/>
    <w:rsid w:val="00AF6DCB"/>
    <w:rsid w:val="00AF7538"/>
    <w:rsid w:val="00B05FB1"/>
    <w:rsid w:val="00B14437"/>
    <w:rsid w:val="00B207B4"/>
    <w:rsid w:val="00B20AD2"/>
    <w:rsid w:val="00B26A47"/>
    <w:rsid w:val="00B275AF"/>
    <w:rsid w:val="00B31285"/>
    <w:rsid w:val="00B31443"/>
    <w:rsid w:val="00B43AEC"/>
    <w:rsid w:val="00B45FE1"/>
    <w:rsid w:val="00B6345E"/>
    <w:rsid w:val="00B663FB"/>
    <w:rsid w:val="00B67952"/>
    <w:rsid w:val="00B72FE2"/>
    <w:rsid w:val="00B7573A"/>
    <w:rsid w:val="00B84AA3"/>
    <w:rsid w:val="00BA45CC"/>
    <w:rsid w:val="00BE4BAC"/>
    <w:rsid w:val="00C007D9"/>
    <w:rsid w:val="00C0371D"/>
    <w:rsid w:val="00C15846"/>
    <w:rsid w:val="00C173CF"/>
    <w:rsid w:val="00C245E0"/>
    <w:rsid w:val="00C726CB"/>
    <w:rsid w:val="00C81B27"/>
    <w:rsid w:val="00C857E9"/>
    <w:rsid w:val="00C873AB"/>
    <w:rsid w:val="00C9359F"/>
    <w:rsid w:val="00CC0300"/>
    <w:rsid w:val="00CC4F62"/>
    <w:rsid w:val="00CD4CEC"/>
    <w:rsid w:val="00CE1AAB"/>
    <w:rsid w:val="00D03E58"/>
    <w:rsid w:val="00D054D0"/>
    <w:rsid w:val="00D11114"/>
    <w:rsid w:val="00D17AAC"/>
    <w:rsid w:val="00D27C54"/>
    <w:rsid w:val="00D522E1"/>
    <w:rsid w:val="00D56489"/>
    <w:rsid w:val="00D61C65"/>
    <w:rsid w:val="00D63489"/>
    <w:rsid w:val="00D7389D"/>
    <w:rsid w:val="00D846AA"/>
    <w:rsid w:val="00DA03DC"/>
    <w:rsid w:val="00DA7552"/>
    <w:rsid w:val="00DB0CDE"/>
    <w:rsid w:val="00DD7128"/>
    <w:rsid w:val="00DE7CA2"/>
    <w:rsid w:val="00DF218F"/>
    <w:rsid w:val="00DF4E98"/>
    <w:rsid w:val="00DF7E3D"/>
    <w:rsid w:val="00E22549"/>
    <w:rsid w:val="00E24A03"/>
    <w:rsid w:val="00E33976"/>
    <w:rsid w:val="00E340BB"/>
    <w:rsid w:val="00E55293"/>
    <w:rsid w:val="00E63CE3"/>
    <w:rsid w:val="00E66E9E"/>
    <w:rsid w:val="00E74311"/>
    <w:rsid w:val="00E76E78"/>
    <w:rsid w:val="00E81C7F"/>
    <w:rsid w:val="00E83B74"/>
    <w:rsid w:val="00E93391"/>
    <w:rsid w:val="00EE2606"/>
    <w:rsid w:val="00EE4CEB"/>
    <w:rsid w:val="00EF2E2E"/>
    <w:rsid w:val="00EF6301"/>
    <w:rsid w:val="00F06B76"/>
    <w:rsid w:val="00F1221B"/>
    <w:rsid w:val="00F26F80"/>
    <w:rsid w:val="00F33F74"/>
    <w:rsid w:val="00F37D63"/>
    <w:rsid w:val="00F465A7"/>
    <w:rsid w:val="00F50D9A"/>
    <w:rsid w:val="00F57A1A"/>
    <w:rsid w:val="00F703E9"/>
    <w:rsid w:val="00F827BC"/>
    <w:rsid w:val="00F86A36"/>
    <w:rsid w:val="00F86E98"/>
    <w:rsid w:val="00F956DB"/>
    <w:rsid w:val="00F97737"/>
    <w:rsid w:val="00FA5B5C"/>
    <w:rsid w:val="00FB1CF5"/>
    <w:rsid w:val="00FC4D62"/>
    <w:rsid w:val="00FD0508"/>
    <w:rsid w:val="00FF188C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E05740-0B44-4667-B31B-F0D7D8AB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5CC"/>
    <w:rPr>
      <w:sz w:val="24"/>
    </w:rPr>
  </w:style>
  <w:style w:type="paragraph" w:styleId="Heading1">
    <w:name w:val="heading 1"/>
    <w:basedOn w:val="Normal"/>
    <w:link w:val="Heading1Char"/>
    <w:uiPriority w:val="1"/>
    <w:qFormat/>
    <w:rsid w:val="004D031D"/>
    <w:pPr>
      <w:widowControl w:val="0"/>
      <w:spacing w:before="69"/>
      <w:ind w:left="2340" w:hanging="707"/>
      <w:outlineLvl w:val="0"/>
    </w:pPr>
    <w:rPr>
      <w:rFonts w:ascii="Arial" w:eastAsia="Arial" w:hAnsi="Arial" w:cstheme="min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A45C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A45CC"/>
    <w:pPr>
      <w:tabs>
        <w:tab w:val="center" w:pos="4320"/>
        <w:tab w:val="right" w:pos="8640"/>
      </w:tabs>
    </w:pPr>
  </w:style>
  <w:style w:type="paragraph" w:customStyle="1" w:styleId="Level1">
    <w:name w:val="Level 1"/>
    <w:rsid w:val="000E33BD"/>
    <w:pPr>
      <w:autoSpaceDE w:val="0"/>
      <w:autoSpaceDN w:val="0"/>
      <w:adjustRightInd w:val="0"/>
      <w:ind w:left="720"/>
    </w:pPr>
    <w:rPr>
      <w:rFonts w:ascii="Boldface 12pt" w:hAnsi="Boldface 12pt"/>
      <w:sz w:val="24"/>
      <w:szCs w:val="24"/>
    </w:rPr>
  </w:style>
  <w:style w:type="paragraph" w:customStyle="1" w:styleId="Level3">
    <w:name w:val="Level 3"/>
    <w:rsid w:val="000E33BD"/>
    <w:pPr>
      <w:autoSpaceDE w:val="0"/>
      <w:autoSpaceDN w:val="0"/>
      <w:adjustRightInd w:val="0"/>
      <w:ind w:left="2160"/>
    </w:pPr>
    <w:rPr>
      <w:rFonts w:ascii="Boldface 12pt" w:hAnsi="Boldface 12pt"/>
      <w:sz w:val="24"/>
      <w:szCs w:val="24"/>
    </w:rPr>
  </w:style>
  <w:style w:type="paragraph" w:customStyle="1" w:styleId="Level2">
    <w:name w:val="Level 2"/>
    <w:rsid w:val="00762E04"/>
    <w:pPr>
      <w:autoSpaceDE w:val="0"/>
      <w:autoSpaceDN w:val="0"/>
      <w:adjustRightInd w:val="0"/>
      <w:ind w:left="1440"/>
    </w:pPr>
    <w:rPr>
      <w:rFonts w:ascii="Boldface 12pt" w:hAnsi="Boldface 12pt"/>
      <w:sz w:val="24"/>
      <w:szCs w:val="24"/>
    </w:rPr>
  </w:style>
  <w:style w:type="paragraph" w:customStyle="1" w:styleId="Level4">
    <w:name w:val="Level 4"/>
    <w:rsid w:val="00762E04"/>
    <w:pPr>
      <w:autoSpaceDE w:val="0"/>
      <w:autoSpaceDN w:val="0"/>
      <w:adjustRightInd w:val="0"/>
      <w:ind w:left="2880"/>
    </w:pPr>
    <w:rPr>
      <w:rFonts w:ascii="Boldface 12pt" w:hAnsi="Boldface 12pt"/>
      <w:sz w:val="24"/>
      <w:szCs w:val="24"/>
    </w:rPr>
  </w:style>
  <w:style w:type="character" w:styleId="Hyperlink">
    <w:name w:val="Hyperlink"/>
    <w:basedOn w:val="DefaultParagraphFont"/>
    <w:rsid w:val="000962F7"/>
    <w:rPr>
      <w:color w:val="0000FF"/>
      <w:u w:val="single"/>
    </w:rPr>
  </w:style>
  <w:style w:type="paragraph" w:styleId="NormalWeb">
    <w:name w:val="Normal (Web)"/>
    <w:basedOn w:val="Normal"/>
    <w:rsid w:val="000962F7"/>
    <w:pPr>
      <w:spacing w:before="100" w:beforeAutospacing="1" w:after="100" w:afterAutospacing="1"/>
    </w:pPr>
    <w:rPr>
      <w:szCs w:val="24"/>
    </w:rPr>
  </w:style>
  <w:style w:type="character" w:styleId="FollowedHyperlink">
    <w:name w:val="FollowedHyperlink"/>
    <w:basedOn w:val="DefaultParagraphFont"/>
    <w:rsid w:val="006B1DB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E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2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4D031D"/>
    <w:rPr>
      <w:rFonts w:ascii="Arial" w:eastAsia="Arial" w:hAnsi="Arial" w:cstheme="minorBid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D031D"/>
    <w:pPr>
      <w:widowControl w:val="0"/>
      <w:ind w:left="1071"/>
    </w:pPr>
    <w:rPr>
      <w:rFonts w:ascii="Arial" w:eastAsia="Arial" w:hAnsi="Arial" w:cstheme="minorBidi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D031D"/>
    <w:rPr>
      <w:rFonts w:ascii="Arial" w:eastAsia="Arial" w:hAnsi="Arial" w:cstheme="minorBidi"/>
    </w:rPr>
  </w:style>
  <w:style w:type="paragraph" w:styleId="ListParagraph">
    <w:name w:val="List Paragraph"/>
    <w:basedOn w:val="Normal"/>
    <w:uiPriority w:val="1"/>
    <w:qFormat/>
    <w:rsid w:val="004D031D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4D031D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6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CA3AB-1280-4A4B-A085-28FA2A07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Healthcare</Company>
  <LinksUpToDate>false</LinksUpToDate>
  <CharactersWithSpaces>7305</CharactersWithSpaces>
  <SharedDoc>false</SharedDoc>
  <HLinks>
    <vt:vector size="6" baseType="variant">
      <vt:variant>
        <vt:i4>7012356</vt:i4>
      </vt:variant>
      <vt:variant>
        <vt:i4>16</vt:i4>
      </vt:variant>
      <vt:variant>
        <vt:i4>0</vt:i4>
      </vt:variant>
      <vt:variant>
        <vt:i4>5</vt:i4>
      </vt:variant>
      <vt:variant>
        <vt:lpwstr>mailto:kh15908@nahealth.com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FMC</dc:creator>
  <cp:lastModifiedBy>Dorothy Danielson</cp:lastModifiedBy>
  <cp:revision>7</cp:revision>
  <cp:lastPrinted>2009-03-03T21:21:00Z</cp:lastPrinted>
  <dcterms:created xsi:type="dcterms:W3CDTF">2017-01-11T23:02:00Z</dcterms:created>
  <dcterms:modified xsi:type="dcterms:W3CDTF">2017-01-13T00:36:00Z</dcterms:modified>
</cp:coreProperties>
</file>