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23" w:rsidRPr="00F36F24" w:rsidRDefault="00AA3B23" w:rsidP="00AA3B23">
      <w:pPr>
        <w:spacing w:after="120"/>
        <w:outlineLvl w:val="0"/>
        <w:rPr>
          <w:rFonts w:ascii="Arial" w:hAnsi="Arial" w:cs="Arial"/>
          <w:bCs/>
          <w:sz w:val="20"/>
          <w:u w:val="single"/>
        </w:rPr>
      </w:pPr>
      <w:r w:rsidRPr="00F36F24">
        <w:rPr>
          <w:rFonts w:ascii="Arial" w:hAnsi="Arial" w:cs="Arial"/>
          <w:bCs/>
          <w:sz w:val="20"/>
          <w:u w:val="single"/>
        </w:rPr>
        <w:t xml:space="preserve">PURPOSE </w:t>
      </w:r>
    </w:p>
    <w:p w:rsidR="00F36F24" w:rsidRPr="00F36F24" w:rsidRDefault="00F36F24" w:rsidP="00F36F24">
      <w:pPr>
        <w:pStyle w:val="NoSpacing"/>
        <w:rPr>
          <w:rFonts w:ascii="Arial" w:hAnsi="Arial" w:cs="Arial"/>
          <w:szCs w:val="20"/>
        </w:rPr>
      </w:pPr>
      <w:r w:rsidRPr="00F36F24">
        <w:rPr>
          <w:rFonts w:ascii="Arial" w:hAnsi="Arial" w:cs="Arial"/>
          <w:szCs w:val="20"/>
        </w:rPr>
        <w:t xml:space="preserve">Patient and product identification is a crucial element in ensuring patient safety.  To ensure the correct patient receives the correct product, a dual verification process is utilized to dispense blood products from the Blood Bank.  Both the Medical Technologist (MT) dispensing the product and the courier receiving the product are responsible for ensuring the correct product is dispensed for transfusion to the correct patient.  Blood products may only be released to RNs, LPNs, Perfusionists or providers, except under activation of the Massive Transfusion Protocol, when an aforementioned individual is not available to serve as the product courier.  In these instances the blood is released to the runner, regardless of their qualifications.  </w:t>
      </w:r>
    </w:p>
    <w:p w:rsidR="00F36F24" w:rsidRDefault="00F36F24" w:rsidP="00F36F24">
      <w:pPr>
        <w:rPr>
          <w:rFonts w:ascii="Arial" w:hAnsi="Arial" w:cs="Arial"/>
          <w:bCs/>
          <w:sz w:val="20"/>
          <w:u w:val="single"/>
        </w:rPr>
      </w:pPr>
    </w:p>
    <w:p w:rsidR="00AA3B23" w:rsidRDefault="00AA3B23" w:rsidP="00F36F24">
      <w:pPr>
        <w:rPr>
          <w:rFonts w:ascii="Arial" w:hAnsi="Arial" w:cs="Arial"/>
          <w:bCs/>
          <w:sz w:val="20"/>
        </w:rPr>
      </w:pPr>
      <w:r w:rsidRPr="00F36F24">
        <w:rPr>
          <w:rFonts w:ascii="Arial" w:hAnsi="Arial" w:cs="Arial"/>
          <w:bCs/>
          <w:sz w:val="20"/>
          <w:u w:val="single"/>
        </w:rPr>
        <w:t>DEFINITIONS</w:t>
      </w:r>
      <w:r w:rsidRPr="00F36F24">
        <w:rPr>
          <w:rFonts w:ascii="Arial" w:hAnsi="Arial" w:cs="Arial"/>
          <w:bCs/>
          <w:sz w:val="20"/>
        </w:rPr>
        <w:tab/>
        <w:t>N/A</w:t>
      </w:r>
    </w:p>
    <w:p w:rsidR="00F36F24" w:rsidRPr="00F36F24" w:rsidRDefault="00F36F24" w:rsidP="00F36F24">
      <w:pPr>
        <w:rPr>
          <w:rFonts w:ascii="Arial" w:hAnsi="Arial" w:cs="Arial"/>
          <w:bCs/>
          <w:sz w:val="20"/>
        </w:rPr>
      </w:pPr>
    </w:p>
    <w:p w:rsidR="00AA3B23" w:rsidRPr="00F36F24" w:rsidRDefault="00AA3B23" w:rsidP="00AA3B23">
      <w:pPr>
        <w:spacing w:after="120"/>
        <w:rPr>
          <w:rFonts w:ascii="Arial" w:hAnsi="Arial" w:cs="Arial"/>
          <w:bCs/>
          <w:sz w:val="20"/>
          <w:u w:val="single"/>
        </w:rPr>
      </w:pPr>
      <w:r w:rsidRPr="00F36F24">
        <w:rPr>
          <w:rFonts w:ascii="Arial" w:hAnsi="Arial" w:cs="Arial"/>
          <w:bCs/>
          <w:sz w:val="20"/>
          <w:u w:val="single"/>
        </w:rPr>
        <w:t>PROCEDURE</w:t>
      </w:r>
    </w:p>
    <w:p w:rsidR="00F36F24" w:rsidRPr="00F36F24" w:rsidRDefault="00F36F24" w:rsidP="00F36F24">
      <w:pPr>
        <w:widowControl w:val="0"/>
        <w:numPr>
          <w:ilvl w:val="0"/>
          <w:numId w:val="14"/>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Only one unit for one patient will be issued at a time unless an emergency situation indicates multiple units will be infused within 30 minutes to the same patient, or it is certain infusion of all released units will begin within 30 minutes (ex. the patient is on dialysis).</w:t>
      </w:r>
    </w:p>
    <w:p w:rsidR="00F36F24" w:rsidRPr="00F36F24" w:rsidRDefault="00F36F24" w:rsidP="00F36F24">
      <w:pPr>
        <w:widowControl w:val="0"/>
        <w:autoSpaceDE w:val="0"/>
        <w:autoSpaceDN w:val="0"/>
        <w:adjustRightInd w:val="0"/>
        <w:jc w:val="both"/>
        <w:textAlignment w:val="baseline"/>
        <w:rPr>
          <w:rFonts w:ascii="Arial" w:hAnsi="Arial" w:cs="Arial"/>
          <w:sz w:val="20"/>
        </w:rPr>
      </w:pPr>
    </w:p>
    <w:p w:rsidR="00F36F24" w:rsidRPr="00F36F24" w:rsidRDefault="00F36F24" w:rsidP="00F36F24">
      <w:pPr>
        <w:widowControl w:val="0"/>
        <w:numPr>
          <w:ilvl w:val="0"/>
          <w:numId w:val="14"/>
        </w:numPr>
        <w:autoSpaceDE w:val="0"/>
        <w:autoSpaceDN w:val="0"/>
        <w:adjustRightInd w:val="0"/>
        <w:spacing w:line="360" w:lineRule="atLeast"/>
        <w:jc w:val="both"/>
        <w:textAlignment w:val="baseline"/>
        <w:rPr>
          <w:rFonts w:ascii="Arial" w:hAnsi="Arial" w:cs="Arial"/>
          <w:sz w:val="20"/>
        </w:rPr>
      </w:pPr>
      <w:r w:rsidRPr="00751C27">
        <w:rPr>
          <w:rFonts w:ascii="Arial" w:hAnsi="Arial" w:cs="Arial"/>
          <w:sz w:val="20"/>
          <w:highlight w:val="yellow"/>
        </w:rPr>
        <w:t>The qualified courier must bring a patient label or a copy of the order to transfuse as positive patient identification.</w:t>
      </w:r>
      <w:bookmarkStart w:id="0" w:name="_GoBack"/>
      <w:bookmarkEnd w:id="0"/>
      <w:r w:rsidRPr="00F36F24">
        <w:rPr>
          <w:rFonts w:ascii="Arial" w:hAnsi="Arial" w:cs="Arial"/>
          <w:sz w:val="20"/>
        </w:rPr>
        <w:t xml:space="preserve">  The lab is not authorized to issue units without this identification process, unless an emergency dispense of blood products has been requested by the Emergency Department.</w:t>
      </w:r>
    </w:p>
    <w:p w:rsidR="00F36F24" w:rsidRPr="00F36F24" w:rsidRDefault="00F36F24" w:rsidP="00F36F24">
      <w:pPr>
        <w:widowControl w:val="0"/>
        <w:autoSpaceDE w:val="0"/>
        <w:autoSpaceDN w:val="0"/>
        <w:adjustRightInd w:val="0"/>
        <w:jc w:val="both"/>
        <w:textAlignment w:val="baseline"/>
        <w:rPr>
          <w:rFonts w:ascii="Arial" w:hAnsi="Arial" w:cs="Arial"/>
          <w:sz w:val="20"/>
        </w:rPr>
      </w:pPr>
    </w:p>
    <w:p w:rsidR="00F36F24" w:rsidRPr="00F36F24" w:rsidRDefault="00F36F24" w:rsidP="00F36F24">
      <w:pPr>
        <w:widowControl w:val="0"/>
        <w:numPr>
          <w:ilvl w:val="0"/>
          <w:numId w:val="14"/>
        </w:numPr>
        <w:autoSpaceDE w:val="0"/>
        <w:autoSpaceDN w:val="0"/>
        <w:adjustRightInd w:val="0"/>
        <w:spacing w:after="120" w:line="360" w:lineRule="atLeast"/>
        <w:jc w:val="both"/>
        <w:textAlignment w:val="baseline"/>
        <w:rPr>
          <w:rFonts w:ascii="Arial" w:hAnsi="Arial" w:cs="Arial"/>
          <w:sz w:val="20"/>
        </w:rPr>
      </w:pPr>
      <w:r w:rsidRPr="00F36F24">
        <w:rPr>
          <w:rFonts w:ascii="Arial" w:hAnsi="Arial" w:cs="Arial"/>
          <w:sz w:val="20"/>
        </w:rPr>
        <w:t>Blood products for multiple patients will NOT be issued at the same time to the same RN/LPN, Perfusionist or Provider.  Blood may only be issued to one patient at a time.</w:t>
      </w:r>
    </w:p>
    <w:p w:rsidR="00F36F24" w:rsidRPr="00F36F24" w:rsidRDefault="00F36F24" w:rsidP="00F36F24">
      <w:pPr>
        <w:widowControl w:val="0"/>
        <w:numPr>
          <w:ilvl w:val="0"/>
          <w:numId w:val="14"/>
        </w:numPr>
        <w:autoSpaceDE w:val="0"/>
        <w:autoSpaceDN w:val="0"/>
        <w:adjustRightInd w:val="0"/>
        <w:spacing w:after="120" w:line="360" w:lineRule="atLeast"/>
        <w:jc w:val="both"/>
        <w:textAlignment w:val="baseline"/>
        <w:rPr>
          <w:rFonts w:ascii="Arial" w:hAnsi="Arial" w:cs="Arial"/>
          <w:sz w:val="20"/>
        </w:rPr>
      </w:pPr>
      <w:r w:rsidRPr="00F36F24">
        <w:rPr>
          <w:rFonts w:ascii="Arial" w:hAnsi="Arial" w:cs="Arial"/>
          <w:sz w:val="20"/>
        </w:rPr>
        <w:t>If multiple units of RBCs are being released simultaneously to either ED or OR and they are going to be held for use as needed (not immediate transfusion), then they must be issued in a storage cooler.</w:t>
      </w:r>
    </w:p>
    <w:p w:rsidR="00F36F24" w:rsidRPr="00F36F24" w:rsidRDefault="00F36F24" w:rsidP="00F36F24">
      <w:pPr>
        <w:widowControl w:val="0"/>
        <w:autoSpaceDE w:val="0"/>
        <w:autoSpaceDN w:val="0"/>
        <w:adjustRightInd w:val="0"/>
        <w:ind w:left="360"/>
        <w:rPr>
          <w:rFonts w:ascii="Arial" w:hAnsi="Arial" w:cs="Arial"/>
          <w:sz w:val="20"/>
          <w:u w:val="single"/>
        </w:rPr>
      </w:pPr>
      <w:r w:rsidRPr="00F36F24">
        <w:rPr>
          <w:rFonts w:ascii="Arial" w:hAnsi="Arial" w:cs="Arial"/>
          <w:sz w:val="20"/>
          <w:u w:val="single"/>
        </w:rPr>
        <w:t>SURGERY PATIENTS</w:t>
      </w:r>
    </w:p>
    <w:p w:rsidR="00F36F24" w:rsidRPr="00F36F24" w:rsidRDefault="00F36F24" w:rsidP="00F36F24">
      <w:pPr>
        <w:widowControl w:val="0"/>
        <w:numPr>
          <w:ilvl w:val="0"/>
          <w:numId w:val="15"/>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 xml:space="preserve">Surgery notifies the Blood Bank, usually by phone, when a unit of blood on a specific patient is needed. </w:t>
      </w:r>
    </w:p>
    <w:p w:rsidR="00F36F24" w:rsidRPr="00F36F24" w:rsidRDefault="00F36F24" w:rsidP="00F36F24">
      <w:pPr>
        <w:widowControl w:val="0"/>
        <w:numPr>
          <w:ilvl w:val="0"/>
          <w:numId w:val="15"/>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Unit segments are removed (as described below) and the unit is placed in a plastic bag for transport to Surgery by Blood Bank personnel.</w:t>
      </w:r>
    </w:p>
    <w:p w:rsidR="00F36F24" w:rsidRPr="00F36F24" w:rsidRDefault="00F36F24" w:rsidP="00F36F24">
      <w:pPr>
        <w:widowControl w:val="0"/>
        <w:numPr>
          <w:ilvl w:val="0"/>
          <w:numId w:val="15"/>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 xml:space="preserve">In Surgery, the “Consent for Transfusion of Blood Products” or patient label is obtained from the patients chart and is reviewed by the Blood Bank personnel issuing the unit. </w:t>
      </w:r>
    </w:p>
    <w:p w:rsidR="00F36F24" w:rsidRPr="00F36F24" w:rsidRDefault="00F36F24" w:rsidP="00F36F24">
      <w:pPr>
        <w:widowControl w:val="0"/>
        <w:numPr>
          <w:ilvl w:val="0"/>
          <w:numId w:val="15"/>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Continue with the following “Double Vision” process below to check out blood products.</w:t>
      </w:r>
    </w:p>
    <w:p w:rsidR="00F36F24" w:rsidRPr="00F36F24" w:rsidRDefault="00F36F24" w:rsidP="00F36F24">
      <w:pPr>
        <w:widowControl w:val="0"/>
        <w:numPr>
          <w:ilvl w:val="0"/>
          <w:numId w:val="15"/>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After “Double Vision” has been completed:</w:t>
      </w:r>
    </w:p>
    <w:p w:rsidR="00F36F24" w:rsidRPr="00F36F24" w:rsidRDefault="00F36F24" w:rsidP="00F36F24">
      <w:pPr>
        <w:widowControl w:val="0"/>
        <w:numPr>
          <w:ilvl w:val="0"/>
          <w:numId w:val="16"/>
        </w:numPr>
        <w:autoSpaceDE w:val="0"/>
        <w:autoSpaceDN w:val="0"/>
        <w:adjustRightInd w:val="0"/>
        <w:spacing w:line="360" w:lineRule="atLeast"/>
        <w:ind w:left="1080"/>
        <w:jc w:val="both"/>
        <w:textAlignment w:val="baseline"/>
        <w:rPr>
          <w:rFonts w:ascii="Arial" w:hAnsi="Arial" w:cs="Arial"/>
          <w:sz w:val="20"/>
        </w:rPr>
      </w:pPr>
      <w:r w:rsidRPr="00F36F24">
        <w:rPr>
          <w:rFonts w:ascii="Arial" w:hAnsi="Arial" w:cs="Arial"/>
          <w:sz w:val="20"/>
        </w:rPr>
        <w:t xml:space="preserve">The Issuing Tech and Nurse/Physician document their Cerner ID and the date/time the unit was issued in the box on the bottom left portion of the Unit Tag.  </w:t>
      </w:r>
    </w:p>
    <w:p w:rsidR="00F36F24" w:rsidRPr="00F36F24" w:rsidRDefault="00F36F24" w:rsidP="00F36F24">
      <w:pPr>
        <w:widowControl w:val="0"/>
        <w:numPr>
          <w:ilvl w:val="0"/>
          <w:numId w:val="16"/>
        </w:numPr>
        <w:autoSpaceDE w:val="0"/>
        <w:autoSpaceDN w:val="0"/>
        <w:adjustRightInd w:val="0"/>
        <w:spacing w:line="360" w:lineRule="atLeast"/>
        <w:ind w:left="1080"/>
        <w:jc w:val="both"/>
        <w:textAlignment w:val="baseline"/>
        <w:rPr>
          <w:rFonts w:ascii="Arial" w:hAnsi="Arial" w:cs="Arial"/>
          <w:sz w:val="20"/>
        </w:rPr>
      </w:pPr>
      <w:r w:rsidRPr="00F36F24">
        <w:rPr>
          <w:rFonts w:ascii="Arial" w:hAnsi="Arial" w:cs="Arial"/>
          <w:sz w:val="20"/>
        </w:rPr>
        <w:t xml:space="preserve">This portion is then removed by the Blood Bank tech and returned to the Lab for Dispense data entry </w:t>
      </w:r>
      <w:r w:rsidRPr="00F36F24">
        <w:rPr>
          <w:rFonts w:ascii="Arial" w:hAnsi="Arial" w:cs="Arial"/>
          <w:sz w:val="20"/>
        </w:rPr>
        <w:lastRenderedPageBreak/>
        <w:t>in Cerner (see “Dispensing blood in Cerner” section below).  File this portion of the Unit Tag in the bins labeled “Downtime/Surgery Dispense Info”.</w:t>
      </w:r>
    </w:p>
    <w:p w:rsidR="00F36F24" w:rsidRPr="00F36F24" w:rsidRDefault="00F36F24" w:rsidP="00F36F24">
      <w:pPr>
        <w:widowControl w:val="0"/>
        <w:autoSpaceDE w:val="0"/>
        <w:autoSpaceDN w:val="0"/>
        <w:adjustRightInd w:val="0"/>
        <w:spacing w:line="360" w:lineRule="atLeast"/>
        <w:jc w:val="both"/>
        <w:textAlignment w:val="baseline"/>
        <w:rPr>
          <w:rFonts w:ascii="Arial" w:hAnsi="Arial" w:cs="Arial"/>
          <w:sz w:val="20"/>
          <w:u w:val="single"/>
        </w:rPr>
      </w:pPr>
      <w:r w:rsidRPr="00F36F24">
        <w:rPr>
          <w:rFonts w:ascii="Arial" w:hAnsi="Arial" w:cs="Arial"/>
          <w:sz w:val="20"/>
          <w:u w:val="single"/>
        </w:rPr>
        <w:t>ROUTINE DISPENSING</w:t>
      </w:r>
    </w:p>
    <w:p w:rsidR="00F36F24" w:rsidRPr="00F36F24" w:rsidRDefault="00F36F24" w:rsidP="00F36F24">
      <w:pPr>
        <w:widowControl w:val="0"/>
        <w:numPr>
          <w:ilvl w:val="0"/>
          <w:numId w:val="13"/>
        </w:numPr>
        <w:autoSpaceDE w:val="0"/>
        <w:autoSpaceDN w:val="0"/>
        <w:adjustRightInd w:val="0"/>
        <w:spacing w:line="360" w:lineRule="atLeast"/>
        <w:ind w:hanging="360"/>
        <w:jc w:val="both"/>
        <w:textAlignment w:val="baseline"/>
        <w:rPr>
          <w:rFonts w:ascii="Arial" w:hAnsi="Arial" w:cs="Arial"/>
          <w:sz w:val="20"/>
        </w:rPr>
      </w:pPr>
      <w:r w:rsidRPr="00F36F24">
        <w:rPr>
          <w:rFonts w:ascii="Arial" w:hAnsi="Arial" w:cs="Arial"/>
          <w:sz w:val="20"/>
        </w:rPr>
        <w:t>The qualified courier must bring a patient label or a copy of the order to transfuse as positive patient identification.  The lab is not authorized to issue units without this identification process, unless an emergency dispense of blood products has been requested by the Emergency Department.</w:t>
      </w:r>
    </w:p>
    <w:p w:rsidR="00F36F24" w:rsidRPr="00F36F24" w:rsidRDefault="00F36F24" w:rsidP="00F36F24">
      <w:pPr>
        <w:widowControl w:val="0"/>
        <w:numPr>
          <w:ilvl w:val="0"/>
          <w:numId w:val="13"/>
        </w:numPr>
        <w:autoSpaceDE w:val="0"/>
        <w:autoSpaceDN w:val="0"/>
        <w:adjustRightInd w:val="0"/>
        <w:spacing w:line="360" w:lineRule="atLeast"/>
        <w:ind w:hanging="360"/>
        <w:jc w:val="both"/>
        <w:textAlignment w:val="baseline"/>
        <w:rPr>
          <w:rFonts w:ascii="Arial" w:hAnsi="Arial" w:cs="Arial"/>
          <w:sz w:val="20"/>
        </w:rPr>
      </w:pPr>
      <w:r w:rsidRPr="00F36F24">
        <w:rPr>
          <w:rFonts w:ascii="Arial" w:hAnsi="Arial" w:cs="Arial"/>
          <w:sz w:val="20"/>
        </w:rPr>
        <w:t>The dispensing process is begun by the MT as follows:</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Select the appropriate product from the storage unit.</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Access “Assign/Dispense” application.</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Select “Dispense” from the Task Menu.</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Search using the patient’s FIN (preferable) or other identifier.</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Scan the Product Donation Identification Number in the appropriate field.</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Click on the &lt;SAVE&gt; button to open the “save dialog” box.</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If the physician name has not defaulted into the “Physician” field type in the beginning letter(s) of the physician’s last name and select the correct physician from the dropdown list.</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Press &lt;TAB&gt; to advance to the reasons dropdown list and select a reason for transfusion.</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 xml:space="preserve">Press &lt;TAB&gt; to select the reason and advance to the “Visual Inspection” field.  Inspect the unit for breakage, abnormal color, and correct labeling.  If the unit is acceptable enter “O” or select “OK” from the dropdown list. If the unit is unacceptable, do not release the unit for transfusion. </w:t>
      </w:r>
    </w:p>
    <w:p w:rsidR="00F36F24" w:rsidRPr="00F36F24" w:rsidRDefault="00F36F24" w:rsidP="00F36F24">
      <w:pPr>
        <w:widowControl w:val="0"/>
        <w:autoSpaceDE w:val="0"/>
        <w:autoSpaceDN w:val="0"/>
        <w:adjustRightInd w:val="0"/>
        <w:ind w:left="1080"/>
        <w:jc w:val="both"/>
        <w:textAlignment w:val="baseline"/>
        <w:rPr>
          <w:rFonts w:ascii="Arial" w:hAnsi="Arial" w:cs="Arial"/>
          <w:sz w:val="20"/>
        </w:rPr>
      </w:pPr>
      <w:r w:rsidRPr="00F36F24">
        <w:rPr>
          <w:rFonts w:ascii="Arial" w:hAnsi="Arial" w:cs="Arial"/>
          <w:sz w:val="20"/>
        </w:rPr>
        <w:t xml:space="preserve">Quarantine the unit until destroyed, returned to the blood provider or released into stock. See “Quarantine/Destruction of Blood Products” procedure.           </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Press &lt;TAB&gt; to accept the entry and to advance to the courier field.</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Type the second verifier’s initials and their Lawson number into the “Courier” field (RN/LPN, MT, etc., depending on the circumstances).</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Press &lt;TAB&gt; to accept the entry and advance to the cooler field.  No entry is made in this field unless a cooler is being used.</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Press &lt;TAB&gt; to advance to the Blood Bank ID field.</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Enter the Blood Bank ID number.</w:t>
      </w:r>
    </w:p>
    <w:p w:rsidR="00F36F24" w:rsidRPr="00F36F24" w:rsidRDefault="00F36F24" w:rsidP="00F36F24">
      <w:pPr>
        <w:widowControl w:val="0"/>
        <w:numPr>
          <w:ilvl w:val="0"/>
          <w:numId w:val="17"/>
        </w:numPr>
        <w:autoSpaceDE w:val="0"/>
        <w:autoSpaceDN w:val="0"/>
        <w:adjustRightInd w:val="0"/>
        <w:spacing w:line="360" w:lineRule="atLeast"/>
        <w:ind w:left="1080" w:hanging="360"/>
        <w:jc w:val="both"/>
        <w:textAlignment w:val="baseline"/>
        <w:rPr>
          <w:rFonts w:ascii="Arial" w:hAnsi="Arial" w:cs="Arial"/>
          <w:sz w:val="20"/>
        </w:rPr>
      </w:pPr>
      <w:r w:rsidRPr="00F36F24">
        <w:rPr>
          <w:rFonts w:ascii="Arial" w:hAnsi="Arial" w:cs="Arial"/>
          <w:sz w:val="20"/>
        </w:rPr>
        <w:t>Hand the Blood Product Administration Worksheet to the qualified courier.</w:t>
      </w:r>
    </w:p>
    <w:p w:rsidR="00F36F24" w:rsidRPr="00F36F24" w:rsidRDefault="00F36F24" w:rsidP="00F36F24">
      <w:pPr>
        <w:widowControl w:val="0"/>
        <w:numPr>
          <w:ilvl w:val="0"/>
          <w:numId w:val="13"/>
        </w:numPr>
        <w:autoSpaceDE w:val="0"/>
        <w:autoSpaceDN w:val="0"/>
        <w:adjustRightInd w:val="0"/>
        <w:spacing w:line="360" w:lineRule="atLeast"/>
        <w:ind w:hanging="360"/>
        <w:jc w:val="both"/>
        <w:textAlignment w:val="baseline"/>
        <w:rPr>
          <w:rFonts w:ascii="Arial" w:hAnsi="Arial" w:cs="Arial"/>
          <w:strike/>
          <w:sz w:val="20"/>
        </w:rPr>
      </w:pPr>
      <w:r w:rsidRPr="00F36F24">
        <w:rPr>
          <w:rFonts w:ascii="Arial" w:hAnsi="Arial" w:cs="Arial"/>
          <w:sz w:val="20"/>
        </w:rPr>
        <w:t>The nurse reads the following information off of the worksheet as the MT verifies that the information is identical to that on the computer screen, the information provided to request the unit, on the crossmatch tag affixed to the unit and the unit itself.</w:t>
      </w:r>
    </w:p>
    <w:p w:rsidR="00F36F24" w:rsidRPr="00F36F24" w:rsidRDefault="00F36F24" w:rsidP="00F36F24">
      <w:pPr>
        <w:widowControl w:val="0"/>
        <w:numPr>
          <w:ilvl w:val="0"/>
          <w:numId w:val="18"/>
        </w:numPr>
        <w:autoSpaceDE w:val="0"/>
        <w:autoSpaceDN w:val="0"/>
        <w:adjustRightInd w:val="0"/>
        <w:spacing w:line="360" w:lineRule="atLeast"/>
        <w:ind w:left="1080" w:hanging="360"/>
        <w:jc w:val="both"/>
        <w:textAlignment w:val="baseline"/>
        <w:rPr>
          <w:rFonts w:ascii="Arial" w:hAnsi="Arial" w:cs="Arial"/>
          <w:strike/>
          <w:sz w:val="20"/>
        </w:rPr>
      </w:pPr>
      <w:r w:rsidRPr="00F36F24">
        <w:rPr>
          <w:rFonts w:ascii="Arial" w:hAnsi="Arial" w:cs="Arial"/>
          <w:sz w:val="20"/>
        </w:rPr>
        <w:t>Patient’s name</w:t>
      </w:r>
    </w:p>
    <w:p w:rsidR="00F36F24" w:rsidRPr="00F36F24" w:rsidRDefault="00F36F24" w:rsidP="00F36F24">
      <w:pPr>
        <w:widowControl w:val="0"/>
        <w:numPr>
          <w:ilvl w:val="0"/>
          <w:numId w:val="18"/>
        </w:numPr>
        <w:autoSpaceDE w:val="0"/>
        <w:autoSpaceDN w:val="0"/>
        <w:adjustRightInd w:val="0"/>
        <w:spacing w:line="360" w:lineRule="atLeast"/>
        <w:ind w:left="1080" w:hanging="360"/>
        <w:jc w:val="both"/>
        <w:textAlignment w:val="baseline"/>
        <w:rPr>
          <w:rFonts w:ascii="Arial" w:hAnsi="Arial" w:cs="Arial"/>
          <w:strike/>
          <w:sz w:val="20"/>
        </w:rPr>
      </w:pPr>
      <w:r w:rsidRPr="00F36F24">
        <w:rPr>
          <w:rFonts w:ascii="Arial" w:hAnsi="Arial" w:cs="Arial"/>
          <w:sz w:val="20"/>
        </w:rPr>
        <w:t>Medical record number</w:t>
      </w:r>
    </w:p>
    <w:p w:rsidR="00F36F24" w:rsidRPr="00F36F24" w:rsidRDefault="00F36F24" w:rsidP="00F36F24">
      <w:pPr>
        <w:widowControl w:val="0"/>
        <w:numPr>
          <w:ilvl w:val="0"/>
          <w:numId w:val="18"/>
        </w:numPr>
        <w:autoSpaceDE w:val="0"/>
        <w:autoSpaceDN w:val="0"/>
        <w:adjustRightInd w:val="0"/>
        <w:spacing w:line="360" w:lineRule="atLeast"/>
        <w:ind w:left="1080" w:hanging="360"/>
        <w:jc w:val="both"/>
        <w:textAlignment w:val="baseline"/>
        <w:rPr>
          <w:rFonts w:ascii="Arial" w:hAnsi="Arial" w:cs="Arial"/>
          <w:strike/>
          <w:sz w:val="20"/>
        </w:rPr>
      </w:pPr>
      <w:r w:rsidRPr="00F36F24">
        <w:rPr>
          <w:rFonts w:ascii="Arial" w:hAnsi="Arial" w:cs="Arial"/>
          <w:sz w:val="20"/>
        </w:rPr>
        <w:t>Patient’s Blood Bank Identification number</w:t>
      </w:r>
    </w:p>
    <w:p w:rsidR="00F36F24" w:rsidRPr="00F36F24" w:rsidRDefault="00F36F24" w:rsidP="00F36F24">
      <w:pPr>
        <w:widowControl w:val="0"/>
        <w:numPr>
          <w:ilvl w:val="0"/>
          <w:numId w:val="18"/>
        </w:numPr>
        <w:autoSpaceDE w:val="0"/>
        <w:autoSpaceDN w:val="0"/>
        <w:adjustRightInd w:val="0"/>
        <w:spacing w:line="360" w:lineRule="atLeast"/>
        <w:ind w:left="1080" w:hanging="360"/>
        <w:jc w:val="both"/>
        <w:textAlignment w:val="baseline"/>
        <w:rPr>
          <w:rFonts w:ascii="Arial" w:hAnsi="Arial" w:cs="Arial"/>
          <w:strike/>
          <w:sz w:val="20"/>
        </w:rPr>
      </w:pPr>
      <w:r w:rsidRPr="00F36F24">
        <w:rPr>
          <w:rFonts w:ascii="Arial" w:hAnsi="Arial" w:cs="Arial"/>
          <w:sz w:val="20"/>
        </w:rPr>
        <w:t>The product Donation Identification Number</w:t>
      </w:r>
    </w:p>
    <w:p w:rsidR="00F36F24" w:rsidRPr="00F36F24" w:rsidRDefault="00F36F24" w:rsidP="00F36F24">
      <w:pPr>
        <w:widowControl w:val="0"/>
        <w:numPr>
          <w:ilvl w:val="0"/>
          <w:numId w:val="18"/>
        </w:numPr>
        <w:autoSpaceDE w:val="0"/>
        <w:autoSpaceDN w:val="0"/>
        <w:adjustRightInd w:val="0"/>
        <w:spacing w:line="360" w:lineRule="atLeast"/>
        <w:ind w:left="1080" w:hanging="360"/>
        <w:jc w:val="both"/>
        <w:textAlignment w:val="baseline"/>
        <w:rPr>
          <w:rFonts w:ascii="Arial" w:hAnsi="Arial" w:cs="Arial"/>
          <w:strike/>
          <w:sz w:val="20"/>
        </w:rPr>
      </w:pPr>
      <w:r w:rsidRPr="00F36F24">
        <w:rPr>
          <w:rFonts w:ascii="Arial" w:hAnsi="Arial" w:cs="Arial"/>
          <w:sz w:val="20"/>
        </w:rPr>
        <w:lastRenderedPageBreak/>
        <w:t>Product ABO/Rh</w:t>
      </w:r>
    </w:p>
    <w:p w:rsidR="00F36F24" w:rsidRPr="00F36F24" w:rsidRDefault="00F36F24" w:rsidP="00F36F24">
      <w:pPr>
        <w:widowControl w:val="0"/>
        <w:numPr>
          <w:ilvl w:val="0"/>
          <w:numId w:val="18"/>
        </w:numPr>
        <w:autoSpaceDE w:val="0"/>
        <w:autoSpaceDN w:val="0"/>
        <w:adjustRightInd w:val="0"/>
        <w:spacing w:line="360" w:lineRule="atLeast"/>
        <w:ind w:left="1080" w:hanging="360"/>
        <w:jc w:val="both"/>
        <w:textAlignment w:val="baseline"/>
        <w:rPr>
          <w:rFonts w:ascii="Arial" w:hAnsi="Arial" w:cs="Arial"/>
          <w:strike/>
          <w:sz w:val="20"/>
        </w:rPr>
      </w:pPr>
      <w:r w:rsidRPr="00F36F24">
        <w:rPr>
          <w:rFonts w:ascii="Arial" w:hAnsi="Arial" w:cs="Arial"/>
          <w:sz w:val="20"/>
        </w:rPr>
        <w:t>Patient ABO/Rh</w:t>
      </w:r>
    </w:p>
    <w:p w:rsidR="00F36F24" w:rsidRPr="00F36F24" w:rsidRDefault="00F36F24" w:rsidP="00F36F24">
      <w:pPr>
        <w:widowControl w:val="0"/>
        <w:autoSpaceDE w:val="0"/>
        <w:autoSpaceDN w:val="0"/>
        <w:adjustRightInd w:val="0"/>
        <w:ind w:left="1080" w:hanging="360"/>
        <w:jc w:val="both"/>
        <w:textAlignment w:val="baseline"/>
        <w:rPr>
          <w:rFonts w:ascii="Arial" w:hAnsi="Arial" w:cs="Arial"/>
          <w:strike/>
          <w:sz w:val="20"/>
        </w:rPr>
      </w:pPr>
      <w:r w:rsidRPr="00F36F24">
        <w:rPr>
          <w:rFonts w:ascii="Arial" w:hAnsi="Arial" w:cs="Arial"/>
          <w:sz w:val="20"/>
        </w:rPr>
        <w:t>g.</w:t>
      </w:r>
      <w:r w:rsidRPr="00F36F24">
        <w:rPr>
          <w:rFonts w:ascii="Arial" w:hAnsi="Arial" w:cs="Arial"/>
          <w:sz w:val="20"/>
        </w:rPr>
        <w:tab/>
        <w:t>Special transfusion requirements</w:t>
      </w:r>
    </w:p>
    <w:p w:rsidR="00F36F24" w:rsidRPr="00F36F24" w:rsidRDefault="00F36F24" w:rsidP="00F36F24">
      <w:pPr>
        <w:widowControl w:val="0"/>
        <w:autoSpaceDE w:val="0"/>
        <w:autoSpaceDN w:val="0"/>
        <w:adjustRightInd w:val="0"/>
        <w:ind w:left="1080" w:hanging="360"/>
        <w:jc w:val="both"/>
        <w:textAlignment w:val="baseline"/>
        <w:rPr>
          <w:rFonts w:ascii="Arial" w:hAnsi="Arial" w:cs="Arial"/>
          <w:sz w:val="20"/>
        </w:rPr>
      </w:pPr>
      <w:r w:rsidRPr="00F36F24">
        <w:rPr>
          <w:rFonts w:ascii="Arial" w:hAnsi="Arial" w:cs="Arial"/>
          <w:sz w:val="20"/>
        </w:rPr>
        <w:t>h.</w:t>
      </w:r>
      <w:r w:rsidRPr="00F36F24">
        <w:rPr>
          <w:rFonts w:ascii="Arial" w:hAnsi="Arial" w:cs="Arial"/>
          <w:sz w:val="20"/>
        </w:rPr>
        <w:tab/>
        <w:t>Expiration date and time of the product</w:t>
      </w:r>
    </w:p>
    <w:p w:rsidR="00F36F24" w:rsidRPr="00F36F24" w:rsidRDefault="00F36F24" w:rsidP="00F36F24">
      <w:pPr>
        <w:widowControl w:val="0"/>
        <w:autoSpaceDE w:val="0"/>
        <w:autoSpaceDN w:val="0"/>
        <w:adjustRightInd w:val="0"/>
        <w:ind w:left="1080" w:hanging="360"/>
        <w:jc w:val="both"/>
        <w:textAlignment w:val="baseline"/>
        <w:rPr>
          <w:rFonts w:ascii="Arial" w:hAnsi="Arial" w:cs="Arial"/>
          <w:strike/>
          <w:sz w:val="20"/>
        </w:rPr>
      </w:pPr>
      <w:r w:rsidRPr="00F36F24">
        <w:rPr>
          <w:rFonts w:ascii="Arial" w:hAnsi="Arial" w:cs="Arial"/>
          <w:sz w:val="20"/>
        </w:rPr>
        <w:t>i.</w:t>
      </w:r>
      <w:r w:rsidRPr="00F36F24">
        <w:rPr>
          <w:rFonts w:ascii="Arial" w:hAnsi="Arial" w:cs="Arial"/>
          <w:sz w:val="20"/>
        </w:rPr>
        <w:tab/>
        <w:t>Compatibility (if applicable)</w:t>
      </w:r>
    </w:p>
    <w:p w:rsidR="00F36F24" w:rsidRPr="00F36F24" w:rsidRDefault="00F36F24" w:rsidP="00F36F24">
      <w:pPr>
        <w:widowControl w:val="0"/>
        <w:autoSpaceDE w:val="0"/>
        <w:autoSpaceDN w:val="0"/>
        <w:adjustRightInd w:val="0"/>
        <w:ind w:left="1080" w:hanging="360"/>
        <w:jc w:val="both"/>
        <w:textAlignment w:val="baseline"/>
        <w:rPr>
          <w:rFonts w:ascii="Arial" w:hAnsi="Arial" w:cs="Arial"/>
          <w:strike/>
          <w:sz w:val="20"/>
        </w:rPr>
      </w:pPr>
      <w:r w:rsidRPr="00F36F24">
        <w:rPr>
          <w:rFonts w:ascii="Arial" w:hAnsi="Arial" w:cs="Arial"/>
          <w:sz w:val="20"/>
        </w:rPr>
        <w:t>j.</w:t>
      </w:r>
      <w:r w:rsidRPr="00F36F24">
        <w:rPr>
          <w:rFonts w:ascii="Arial" w:hAnsi="Arial" w:cs="Arial"/>
          <w:sz w:val="20"/>
        </w:rPr>
        <w:tab/>
        <w:t>Click &lt;OK&gt; and exit the application.</w:t>
      </w:r>
    </w:p>
    <w:p w:rsidR="00F36F24" w:rsidRPr="00F36F24" w:rsidRDefault="00F36F24" w:rsidP="00F36F24">
      <w:pPr>
        <w:widowControl w:val="0"/>
        <w:autoSpaceDE w:val="0"/>
        <w:autoSpaceDN w:val="0"/>
        <w:adjustRightInd w:val="0"/>
        <w:ind w:left="720" w:hanging="360"/>
        <w:jc w:val="both"/>
        <w:textAlignment w:val="baseline"/>
        <w:rPr>
          <w:rFonts w:ascii="Arial" w:hAnsi="Arial" w:cs="Arial"/>
          <w:sz w:val="20"/>
        </w:rPr>
      </w:pPr>
      <w:r w:rsidRPr="00F36F24">
        <w:rPr>
          <w:rFonts w:ascii="Arial" w:hAnsi="Arial" w:cs="Arial"/>
          <w:sz w:val="20"/>
        </w:rPr>
        <w:t xml:space="preserve">4.  </w:t>
      </w:r>
      <w:r w:rsidRPr="00F36F24">
        <w:rPr>
          <w:rFonts w:ascii="Arial" w:hAnsi="Arial" w:cs="Arial"/>
          <w:sz w:val="20"/>
        </w:rPr>
        <w:tab/>
        <w:t>Blood products CANNOT be issued if there is any discrepancy in any of the items listed in #3 above.  Any and all discrepancies in patient versus product versus records must be resolved BEFORE product is released for transfusion.</w:t>
      </w:r>
    </w:p>
    <w:p w:rsidR="00F36F24" w:rsidRPr="00F36F24" w:rsidRDefault="00F36F24" w:rsidP="00F36F24">
      <w:pPr>
        <w:widowControl w:val="0"/>
        <w:autoSpaceDE w:val="0"/>
        <w:autoSpaceDN w:val="0"/>
        <w:adjustRightInd w:val="0"/>
        <w:ind w:left="720" w:hanging="360"/>
        <w:jc w:val="both"/>
        <w:textAlignment w:val="baseline"/>
        <w:rPr>
          <w:rFonts w:ascii="Arial" w:hAnsi="Arial" w:cs="Arial"/>
          <w:sz w:val="20"/>
        </w:rPr>
      </w:pPr>
      <w:r w:rsidRPr="00F36F24">
        <w:rPr>
          <w:rFonts w:ascii="Arial" w:hAnsi="Arial" w:cs="Arial"/>
          <w:sz w:val="20"/>
        </w:rPr>
        <w:t xml:space="preserve">5. </w:t>
      </w:r>
      <w:r w:rsidRPr="00F36F24">
        <w:rPr>
          <w:rFonts w:ascii="Arial" w:hAnsi="Arial" w:cs="Arial"/>
          <w:sz w:val="20"/>
        </w:rPr>
        <w:tab/>
        <w:t>The unit is placed in a blue plastic bag and then physically released to the courier for immediate transport to the appropriate nursing unit.</w:t>
      </w:r>
    </w:p>
    <w:p w:rsidR="00F36F24" w:rsidRPr="00F36F24" w:rsidRDefault="00F36F24" w:rsidP="00F36F24">
      <w:pPr>
        <w:widowControl w:val="0"/>
        <w:autoSpaceDE w:val="0"/>
        <w:autoSpaceDN w:val="0"/>
        <w:adjustRightInd w:val="0"/>
        <w:ind w:left="720" w:hanging="360"/>
        <w:jc w:val="both"/>
        <w:textAlignment w:val="baseline"/>
        <w:rPr>
          <w:rFonts w:ascii="Arial" w:hAnsi="Arial" w:cs="Arial"/>
          <w:sz w:val="20"/>
        </w:rPr>
      </w:pPr>
      <w:r w:rsidRPr="00F36F24">
        <w:rPr>
          <w:rFonts w:ascii="Arial" w:hAnsi="Arial" w:cs="Arial"/>
          <w:sz w:val="20"/>
        </w:rPr>
        <w:t xml:space="preserve">6. </w:t>
      </w:r>
      <w:r w:rsidRPr="00F36F24">
        <w:rPr>
          <w:rFonts w:ascii="Arial" w:hAnsi="Arial" w:cs="Arial"/>
          <w:sz w:val="20"/>
        </w:rPr>
        <w:tab/>
        <w:t xml:space="preserve">Blood products shall not be stored in any storage unit (refrigerator, freezer, etc.) other than an approved temperature monitored Blood Bank storage unit. </w:t>
      </w:r>
    </w:p>
    <w:p w:rsidR="00F36F24" w:rsidRPr="00F36F24" w:rsidRDefault="00F36F24" w:rsidP="00F36F24">
      <w:pPr>
        <w:widowControl w:val="0"/>
        <w:autoSpaceDE w:val="0"/>
        <w:autoSpaceDN w:val="0"/>
        <w:adjustRightInd w:val="0"/>
        <w:ind w:left="720" w:hanging="360"/>
        <w:jc w:val="both"/>
        <w:textAlignment w:val="baseline"/>
        <w:rPr>
          <w:rFonts w:ascii="Arial" w:hAnsi="Arial" w:cs="Arial"/>
          <w:sz w:val="20"/>
        </w:rPr>
      </w:pPr>
      <w:r w:rsidRPr="00F36F24">
        <w:rPr>
          <w:rFonts w:ascii="Arial" w:hAnsi="Arial" w:cs="Arial"/>
          <w:sz w:val="20"/>
        </w:rPr>
        <w:t>7.</w:t>
      </w:r>
      <w:r w:rsidRPr="00F36F24">
        <w:rPr>
          <w:rFonts w:ascii="Arial" w:hAnsi="Arial" w:cs="Arial"/>
          <w:sz w:val="20"/>
        </w:rPr>
        <w:tab/>
        <w:t xml:space="preserve">Blood products dispensed from the Blood Bank and not infused can be returned if the temperature of the unit is ≤10°C and the unit has not been entered (spiked).  If the transfusion cannot be started within 30 minutes of product issue the product should be returned to the Blood Bank.  </w:t>
      </w:r>
    </w:p>
    <w:p w:rsidR="00F36F24" w:rsidRPr="00F36F24" w:rsidRDefault="00F36F24" w:rsidP="00F36F24">
      <w:pPr>
        <w:widowControl w:val="0"/>
        <w:autoSpaceDE w:val="0"/>
        <w:autoSpaceDN w:val="0"/>
        <w:adjustRightInd w:val="0"/>
        <w:ind w:left="720" w:hanging="360"/>
        <w:jc w:val="both"/>
        <w:textAlignment w:val="baseline"/>
        <w:rPr>
          <w:rFonts w:ascii="Arial" w:hAnsi="Arial" w:cs="Arial"/>
          <w:sz w:val="20"/>
        </w:rPr>
      </w:pPr>
      <w:r w:rsidRPr="00F36F24">
        <w:rPr>
          <w:rFonts w:ascii="Arial" w:hAnsi="Arial" w:cs="Arial"/>
          <w:sz w:val="20"/>
        </w:rPr>
        <w:t>8.</w:t>
      </w:r>
      <w:r w:rsidRPr="00F36F24">
        <w:rPr>
          <w:rFonts w:ascii="Arial" w:hAnsi="Arial" w:cs="Arial"/>
          <w:sz w:val="20"/>
        </w:rPr>
        <w:tab/>
        <w:t xml:space="preserve">Products returned &gt;10°C may not be returned to general inventory.  However, the expiration date and time of the product may be modified to reflect an expiration of four hours from the time of original issue. The unit may only be re-released to the same patient.  If the unit is then re-issued for </w:t>
      </w:r>
      <w:r w:rsidRPr="00F36F24">
        <w:rPr>
          <w:rFonts w:ascii="Arial" w:hAnsi="Arial" w:cs="Arial"/>
          <w:b/>
          <w:sz w:val="20"/>
        </w:rPr>
        <w:t>the same</w:t>
      </w:r>
      <w:r w:rsidRPr="00F36F24">
        <w:rPr>
          <w:rFonts w:ascii="Arial" w:hAnsi="Arial" w:cs="Arial"/>
          <w:sz w:val="20"/>
        </w:rPr>
        <w:t xml:space="preserve"> </w:t>
      </w:r>
      <w:r w:rsidRPr="00F36F24">
        <w:rPr>
          <w:rFonts w:ascii="Arial" w:hAnsi="Arial" w:cs="Arial"/>
          <w:b/>
          <w:sz w:val="20"/>
        </w:rPr>
        <w:t>patient,</w:t>
      </w:r>
      <w:r w:rsidRPr="00F36F24">
        <w:rPr>
          <w:rFonts w:ascii="Arial" w:hAnsi="Arial" w:cs="Arial"/>
          <w:sz w:val="20"/>
        </w:rPr>
        <w:t xml:space="preserve"> the unit must be completely infused prior to the unit’s new expiration date and time. </w:t>
      </w:r>
    </w:p>
    <w:p w:rsidR="00F36F24" w:rsidRPr="00F36F24" w:rsidRDefault="00F36F24" w:rsidP="00F36F24">
      <w:pPr>
        <w:widowControl w:val="0"/>
        <w:autoSpaceDE w:val="0"/>
        <w:autoSpaceDN w:val="0"/>
        <w:adjustRightInd w:val="0"/>
        <w:ind w:left="720" w:hanging="360"/>
        <w:jc w:val="both"/>
        <w:textAlignment w:val="baseline"/>
        <w:rPr>
          <w:rFonts w:ascii="Arial" w:hAnsi="Arial" w:cs="Arial"/>
          <w:sz w:val="20"/>
        </w:rPr>
      </w:pPr>
      <w:r w:rsidRPr="00F36F24">
        <w:rPr>
          <w:rFonts w:ascii="Arial" w:hAnsi="Arial" w:cs="Arial"/>
          <w:sz w:val="20"/>
        </w:rPr>
        <w:t xml:space="preserve">9. </w:t>
      </w:r>
      <w:r w:rsidRPr="00F36F24">
        <w:rPr>
          <w:rFonts w:ascii="Arial" w:hAnsi="Arial" w:cs="Arial"/>
          <w:sz w:val="20"/>
        </w:rPr>
        <w:tab/>
        <w:t>If a transfusion is begun and not completed the patient will be charged for the blood product.</w:t>
      </w:r>
    </w:p>
    <w:p w:rsidR="00F36F24" w:rsidRPr="00F36F24" w:rsidRDefault="00F36F24" w:rsidP="00F36F24">
      <w:pPr>
        <w:widowControl w:val="0"/>
        <w:autoSpaceDE w:val="0"/>
        <w:autoSpaceDN w:val="0"/>
        <w:adjustRightInd w:val="0"/>
        <w:jc w:val="both"/>
        <w:textAlignment w:val="baseline"/>
        <w:rPr>
          <w:rFonts w:ascii="Arial" w:hAnsi="Arial" w:cs="Arial"/>
          <w:sz w:val="20"/>
          <w:u w:val="single"/>
        </w:rPr>
      </w:pPr>
    </w:p>
    <w:p w:rsidR="00F36F24" w:rsidRPr="00F36F24" w:rsidRDefault="00F36F24" w:rsidP="00F36F24">
      <w:pPr>
        <w:widowControl w:val="0"/>
        <w:autoSpaceDE w:val="0"/>
        <w:autoSpaceDN w:val="0"/>
        <w:adjustRightInd w:val="0"/>
        <w:jc w:val="both"/>
        <w:textAlignment w:val="baseline"/>
        <w:rPr>
          <w:rFonts w:ascii="Arial" w:hAnsi="Arial" w:cs="Arial"/>
          <w:sz w:val="20"/>
          <w:u w:val="single"/>
        </w:rPr>
      </w:pPr>
      <w:r w:rsidRPr="00F36F24">
        <w:rPr>
          <w:rFonts w:ascii="Arial" w:hAnsi="Arial" w:cs="Arial"/>
          <w:sz w:val="20"/>
          <w:u w:val="single"/>
        </w:rPr>
        <w:t>NOTES</w:t>
      </w:r>
    </w:p>
    <w:p w:rsidR="00F36F24" w:rsidRPr="00F36F24" w:rsidRDefault="00F36F24" w:rsidP="00F36F24">
      <w:pPr>
        <w:widowControl w:val="0"/>
        <w:numPr>
          <w:ilvl w:val="0"/>
          <w:numId w:val="19"/>
        </w:numPr>
        <w:autoSpaceDE w:val="0"/>
        <w:autoSpaceDN w:val="0"/>
        <w:adjustRightInd w:val="0"/>
        <w:spacing w:line="360" w:lineRule="atLeast"/>
        <w:ind w:left="720" w:hanging="360"/>
        <w:jc w:val="both"/>
        <w:textAlignment w:val="baseline"/>
        <w:rPr>
          <w:rFonts w:ascii="Arial" w:hAnsi="Arial" w:cs="Arial"/>
          <w:sz w:val="20"/>
        </w:rPr>
      </w:pPr>
      <w:r w:rsidRPr="00F36F24">
        <w:rPr>
          <w:rFonts w:ascii="Arial" w:hAnsi="Arial" w:cs="Arial"/>
          <w:sz w:val="20"/>
        </w:rPr>
        <w:t>Units dispensed and not returned to the Blood Bank are updated automatically in the computer system to transfused 30 minutes after issue.  Units dispensed in a cooler will not automatically update and any units transfused must be manually updated in Cerner using the “Final Disposition” application.</w:t>
      </w:r>
    </w:p>
    <w:p w:rsidR="00F36F24" w:rsidRPr="00F36F24" w:rsidRDefault="00F36F24" w:rsidP="00F36F24">
      <w:pPr>
        <w:widowControl w:val="0"/>
        <w:numPr>
          <w:ilvl w:val="0"/>
          <w:numId w:val="19"/>
        </w:numPr>
        <w:autoSpaceDE w:val="0"/>
        <w:autoSpaceDN w:val="0"/>
        <w:adjustRightInd w:val="0"/>
        <w:spacing w:line="360" w:lineRule="atLeast"/>
        <w:ind w:left="720" w:hanging="360"/>
        <w:jc w:val="both"/>
        <w:textAlignment w:val="baseline"/>
        <w:rPr>
          <w:rFonts w:ascii="Arial" w:hAnsi="Arial" w:cs="Arial"/>
          <w:sz w:val="20"/>
        </w:rPr>
      </w:pPr>
      <w:r w:rsidRPr="00F36F24">
        <w:rPr>
          <w:rFonts w:ascii="Arial" w:hAnsi="Arial" w:cs="Arial"/>
          <w:sz w:val="20"/>
        </w:rPr>
        <w:t xml:space="preserve">When products are returned to the laboratory the “Return to Inventory” application in the computer system is used to document the return of the product and to make the product available for future use.  The product must be inspected for the following conditions prior to returning the product to inventory.  If </w:t>
      </w:r>
      <w:r w:rsidRPr="00F36F24">
        <w:rPr>
          <w:rFonts w:ascii="Arial" w:hAnsi="Arial" w:cs="Arial"/>
          <w:sz w:val="20"/>
          <w:u w:val="single"/>
        </w:rPr>
        <w:t>any</w:t>
      </w:r>
      <w:r w:rsidRPr="00F36F24">
        <w:rPr>
          <w:rFonts w:ascii="Arial" w:hAnsi="Arial" w:cs="Arial"/>
          <w:sz w:val="20"/>
        </w:rPr>
        <w:t xml:space="preserve"> of these conditions is not met the unit cannot be returned to inventory, it must be destroyed.</w:t>
      </w:r>
    </w:p>
    <w:p w:rsidR="00F36F24" w:rsidRPr="00F36F24" w:rsidRDefault="00F36F24" w:rsidP="00F36F24">
      <w:pPr>
        <w:widowControl w:val="0"/>
        <w:numPr>
          <w:ilvl w:val="1"/>
          <w:numId w:val="19"/>
        </w:numPr>
        <w:autoSpaceDE w:val="0"/>
        <w:autoSpaceDN w:val="0"/>
        <w:adjustRightInd w:val="0"/>
        <w:spacing w:line="360" w:lineRule="atLeast"/>
        <w:ind w:left="1440"/>
        <w:jc w:val="both"/>
        <w:textAlignment w:val="baseline"/>
        <w:rPr>
          <w:rFonts w:ascii="Arial" w:hAnsi="Arial" w:cs="Arial"/>
          <w:sz w:val="20"/>
        </w:rPr>
      </w:pPr>
      <w:r w:rsidRPr="00F36F24">
        <w:rPr>
          <w:rFonts w:ascii="Arial" w:hAnsi="Arial" w:cs="Arial"/>
          <w:sz w:val="20"/>
        </w:rPr>
        <w:t>The unit was returned within an acceptable time period:</w:t>
      </w:r>
    </w:p>
    <w:p w:rsidR="00F36F24" w:rsidRPr="00F36F24" w:rsidRDefault="00F36F24" w:rsidP="00F36F24">
      <w:pPr>
        <w:widowControl w:val="0"/>
        <w:numPr>
          <w:ilvl w:val="2"/>
          <w:numId w:val="19"/>
        </w:numPr>
        <w:autoSpaceDE w:val="0"/>
        <w:autoSpaceDN w:val="0"/>
        <w:adjustRightInd w:val="0"/>
        <w:spacing w:line="360" w:lineRule="atLeast"/>
        <w:ind w:left="2160"/>
        <w:jc w:val="both"/>
        <w:textAlignment w:val="baseline"/>
        <w:rPr>
          <w:rFonts w:ascii="Arial" w:hAnsi="Arial" w:cs="Arial"/>
          <w:sz w:val="20"/>
        </w:rPr>
      </w:pPr>
      <w:r w:rsidRPr="00F36F24">
        <w:rPr>
          <w:rFonts w:ascii="Arial" w:hAnsi="Arial" w:cs="Arial"/>
          <w:sz w:val="20"/>
        </w:rPr>
        <w:t>Products not issued in a cooler ≤ 10°C</w:t>
      </w:r>
    </w:p>
    <w:p w:rsidR="00F36F24" w:rsidRPr="00F36F24" w:rsidRDefault="00F36F24" w:rsidP="00F36F24">
      <w:pPr>
        <w:widowControl w:val="0"/>
        <w:numPr>
          <w:ilvl w:val="2"/>
          <w:numId w:val="19"/>
        </w:numPr>
        <w:autoSpaceDE w:val="0"/>
        <w:autoSpaceDN w:val="0"/>
        <w:adjustRightInd w:val="0"/>
        <w:spacing w:line="360" w:lineRule="atLeast"/>
        <w:ind w:left="2160"/>
        <w:jc w:val="both"/>
        <w:textAlignment w:val="baseline"/>
        <w:rPr>
          <w:rFonts w:ascii="Arial" w:hAnsi="Arial" w:cs="Arial"/>
          <w:sz w:val="20"/>
        </w:rPr>
      </w:pPr>
      <w:r w:rsidRPr="00F36F24">
        <w:rPr>
          <w:rFonts w:ascii="Arial" w:hAnsi="Arial" w:cs="Arial"/>
          <w:sz w:val="20"/>
        </w:rPr>
        <w:t>Products issued in a cooler before the time expires on the cooler AND the temperature indicator (RBCs only) is still white; indicating the RBC temperature was within 1-10°C</w:t>
      </w:r>
    </w:p>
    <w:p w:rsidR="00F36F24" w:rsidRPr="00F36F24" w:rsidRDefault="00F36F24" w:rsidP="00F36F24">
      <w:pPr>
        <w:widowControl w:val="0"/>
        <w:numPr>
          <w:ilvl w:val="1"/>
          <w:numId w:val="19"/>
        </w:numPr>
        <w:autoSpaceDE w:val="0"/>
        <w:autoSpaceDN w:val="0"/>
        <w:adjustRightInd w:val="0"/>
        <w:spacing w:line="360" w:lineRule="atLeast"/>
        <w:ind w:left="1440"/>
        <w:jc w:val="both"/>
        <w:textAlignment w:val="baseline"/>
        <w:rPr>
          <w:rFonts w:ascii="Arial" w:hAnsi="Arial" w:cs="Arial"/>
          <w:sz w:val="20"/>
        </w:rPr>
      </w:pPr>
      <w:r w:rsidRPr="00F36F24">
        <w:rPr>
          <w:rFonts w:ascii="Arial" w:hAnsi="Arial" w:cs="Arial"/>
          <w:sz w:val="20"/>
        </w:rPr>
        <w:t>The container closure has not been disturbed.</w:t>
      </w:r>
    </w:p>
    <w:p w:rsidR="00F36F24" w:rsidRPr="00F36F24" w:rsidRDefault="00F36F24" w:rsidP="00F36F24">
      <w:pPr>
        <w:widowControl w:val="0"/>
        <w:numPr>
          <w:ilvl w:val="1"/>
          <w:numId w:val="19"/>
        </w:numPr>
        <w:autoSpaceDE w:val="0"/>
        <w:autoSpaceDN w:val="0"/>
        <w:adjustRightInd w:val="0"/>
        <w:spacing w:line="360" w:lineRule="atLeast"/>
        <w:ind w:left="1440"/>
        <w:jc w:val="both"/>
        <w:textAlignment w:val="baseline"/>
        <w:rPr>
          <w:rFonts w:ascii="Arial" w:hAnsi="Arial" w:cs="Arial"/>
          <w:sz w:val="20"/>
        </w:rPr>
      </w:pPr>
      <w:r w:rsidRPr="00F36F24">
        <w:rPr>
          <w:rFonts w:ascii="Arial" w:hAnsi="Arial" w:cs="Arial"/>
          <w:sz w:val="20"/>
        </w:rPr>
        <w:t>At least one sealed segment of the integral donor tubing has remained attached to the container (RBCs only).</w:t>
      </w:r>
    </w:p>
    <w:p w:rsidR="00F36F24" w:rsidRDefault="00F36F24" w:rsidP="00F36F24">
      <w:pPr>
        <w:widowControl w:val="0"/>
        <w:autoSpaceDE w:val="0"/>
        <w:autoSpaceDN w:val="0"/>
        <w:adjustRightInd w:val="0"/>
        <w:jc w:val="both"/>
        <w:textAlignment w:val="baseline"/>
        <w:rPr>
          <w:rFonts w:ascii="Arial" w:hAnsi="Arial" w:cs="Arial"/>
          <w:sz w:val="20"/>
          <w:u w:val="single"/>
        </w:rPr>
      </w:pPr>
    </w:p>
    <w:p w:rsidR="00F36F24" w:rsidRPr="00F36F24" w:rsidRDefault="00F36F24" w:rsidP="00F36F24">
      <w:pPr>
        <w:widowControl w:val="0"/>
        <w:autoSpaceDE w:val="0"/>
        <w:autoSpaceDN w:val="0"/>
        <w:adjustRightInd w:val="0"/>
        <w:jc w:val="both"/>
        <w:textAlignment w:val="baseline"/>
        <w:rPr>
          <w:rFonts w:ascii="Arial" w:hAnsi="Arial" w:cs="Arial"/>
          <w:sz w:val="20"/>
        </w:rPr>
      </w:pPr>
      <w:r w:rsidRPr="00F36F24">
        <w:rPr>
          <w:rFonts w:ascii="Arial" w:hAnsi="Arial" w:cs="Arial"/>
          <w:sz w:val="20"/>
          <w:u w:val="single"/>
        </w:rPr>
        <w:t>CERNER DOWNTIME</w:t>
      </w:r>
    </w:p>
    <w:p w:rsidR="00F36F24" w:rsidRPr="00F36F24" w:rsidRDefault="00F36F24" w:rsidP="00F36F24">
      <w:pPr>
        <w:widowControl w:val="0"/>
        <w:numPr>
          <w:ilvl w:val="0"/>
          <w:numId w:val="20"/>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If Cerner is down, the Unit Tag may be replaced by the Blood Bank Unit Requisition when a unit is processed during downtime (See procedure “</w:t>
      </w:r>
      <w:r w:rsidRPr="00F36F24">
        <w:rPr>
          <w:rFonts w:ascii="Arial" w:hAnsi="Arial" w:cs="Arial"/>
          <w:b/>
          <w:i/>
          <w:sz w:val="20"/>
        </w:rPr>
        <w:t>Blood Bank Requisition</w:t>
      </w:r>
      <w:r w:rsidRPr="00F36F24">
        <w:rPr>
          <w:rFonts w:ascii="Arial" w:hAnsi="Arial" w:cs="Arial"/>
          <w:sz w:val="20"/>
        </w:rPr>
        <w:t xml:space="preserve">”). </w:t>
      </w:r>
    </w:p>
    <w:p w:rsidR="00F36F24" w:rsidRPr="00F36F24" w:rsidRDefault="00F36F24" w:rsidP="00F36F24">
      <w:pPr>
        <w:widowControl w:val="0"/>
        <w:numPr>
          <w:ilvl w:val="0"/>
          <w:numId w:val="20"/>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t>The Unit Tag is available for units processed when Cerner was live.  In this case the staff performing double vision documents the dispense information on the bottom, left, sticker of the unit tag.  The data is entered in to Cerner when it becomes available.</w:t>
      </w:r>
    </w:p>
    <w:p w:rsidR="00F36F24" w:rsidRPr="00F36F24" w:rsidRDefault="00F36F24" w:rsidP="00F36F24">
      <w:pPr>
        <w:widowControl w:val="0"/>
        <w:numPr>
          <w:ilvl w:val="0"/>
          <w:numId w:val="20"/>
        </w:numPr>
        <w:autoSpaceDE w:val="0"/>
        <w:autoSpaceDN w:val="0"/>
        <w:adjustRightInd w:val="0"/>
        <w:spacing w:line="360" w:lineRule="atLeast"/>
        <w:jc w:val="both"/>
        <w:textAlignment w:val="baseline"/>
        <w:rPr>
          <w:rFonts w:ascii="Arial" w:hAnsi="Arial" w:cs="Arial"/>
          <w:sz w:val="20"/>
        </w:rPr>
      </w:pPr>
      <w:r w:rsidRPr="00F36F24">
        <w:rPr>
          <w:rFonts w:ascii="Arial" w:hAnsi="Arial" w:cs="Arial"/>
          <w:sz w:val="20"/>
        </w:rPr>
        <w:lastRenderedPageBreak/>
        <w:t>Cerner does not allow units with an expired crossmatch to be dispensed without a warning.  If Cerner is down, the unit crossmatch expiration date/time must be checked manually if the unit is dispensed.</w:t>
      </w:r>
    </w:p>
    <w:p w:rsidR="00F36F24" w:rsidRPr="00F36F24" w:rsidRDefault="00F36F24" w:rsidP="00F36F24">
      <w:pPr>
        <w:widowControl w:val="0"/>
        <w:autoSpaceDE w:val="0"/>
        <w:autoSpaceDN w:val="0"/>
        <w:adjustRightInd w:val="0"/>
        <w:jc w:val="both"/>
        <w:textAlignment w:val="baseline"/>
        <w:rPr>
          <w:rFonts w:ascii="Arial" w:hAnsi="Arial" w:cs="Arial"/>
          <w:sz w:val="20"/>
        </w:rPr>
      </w:pPr>
    </w:p>
    <w:p w:rsidR="00F36F24" w:rsidRDefault="00F36F24" w:rsidP="00F36F24">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p>
    <w:p w:rsidR="00F36F24" w:rsidRPr="00AA3B23" w:rsidRDefault="00F36F24" w:rsidP="00F36F24">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r w:rsidRPr="00AA3B23">
        <w:rPr>
          <w:rFonts w:ascii="Arial" w:hAnsi="Arial" w:cs="Arial"/>
          <w:sz w:val="20"/>
          <w:u w:val="single"/>
        </w:rPr>
        <w:t>RELATED DOCUMENTS</w:t>
      </w:r>
      <w:r w:rsidRPr="00AA3B23">
        <w:rPr>
          <w:rFonts w:ascii="Arial" w:hAnsi="Arial" w:cs="Arial"/>
          <w:sz w:val="20"/>
        </w:rPr>
        <w:tab/>
        <w:t>N/A</w:t>
      </w:r>
    </w:p>
    <w:p w:rsidR="00F36F24" w:rsidRDefault="00F36F24" w:rsidP="00F36F24">
      <w:pPr>
        <w:widowControl w:val="0"/>
        <w:autoSpaceDE w:val="0"/>
        <w:autoSpaceDN w:val="0"/>
        <w:adjustRightInd w:val="0"/>
        <w:jc w:val="both"/>
        <w:textAlignment w:val="baseline"/>
        <w:rPr>
          <w:rFonts w:ascii="Arial" w:hAnsi="Arial" w:cs="Arial"/>
          <w:sz w:val="20"/>
          <w:u w:val="single"/>
        </w:rPr>
      </w:pPr>
    </w:p>
    <w:p w:rsidR="00F36F24" w:rsidRPr="00F36F24" w:rsidRDefault="00F36F24" w:rsidP="00F36F24">
      <w:pPr>
        <w:widowControl w:val="0"/>
        <w:autoSpaceDE w:val="0"/>
        <w:autoSpaceDN w:val="0"/>
        <w:adjustRightInd w:val="0"/>
        <w:jc w:val="both"/>
        <w:textAlignment w:val="baseline"/>
        <w:rPr>
          <w:rFonts w:ascii="Arial" w:hAnsi="Arial" w:cs="Arial"/>
          <w:sz w:val="20"/>
          <w:u w:val="single"/>
        </w:rPr>
      </w:pPr>
      <w:r>
        <w:rPr>
          <w:rFonts w:ascii="Arial" w:hAnsi="Arial" w:cs="Arial"/>
          <w:sz w:val="20"/>
          <w:u w:val="single"/>
        </w:rPr>
        <w:t>REFERENCES</w:t>
      </w:r>
    </w:p>
    <w:p w:rsidR="00F36F24" w:rsidRPr="00F36F24" w:rsidRDefault="00F36F24" w:rsidP="00F36F24">
      <w:pPr>
        <w:widowControl w:val="0"/>
        <w:autoSpaceDE w:val="0"/>
        <w:autoSpaceDN w:val="0"/>
        <w:adjustRightInd w:val="0"/>
        <w:jc w:val="both"/>
        <w:textAlignment w:val="baseline"/>
        <w:rPr>
          <w:rFonts w:ascii="Arial" w:hAnsi="Arial" w:cs="Arial"/>
          <w:sz w:val="20"/>
        </w:rPr>
      </w:pPr>
      <w:r w:rsidRPr="00F36F24">
        <w:rPr>
          <w:rFonts w:ascii="Arial" w:hAnsi="Arial" w:cs="Arial"/>
          <w:sz w:val="20"/>
        </w:rPr>
        <w:t>1. AABB, 18</w:t>
      </w:r>
      <w:r w:rsidRPr="00F36F24">
        <w:rPr>
          <w:rFonts w:ascii="Arial" w:hAnsi="Arial" w:cs="Arial"/>
          <w:sz w:val="20"/>
          <w:vertAlign w:val="superscript"/>
        </w:rPr>
        <w:t>th</w:t>
      </w:r>
      <w:r w:rsidRPr="00F36F24">
        <w:rPr>
          <w:rFonts w:ascii="Arial" w:hAnsi="Arial" w:cs="Arial"/>
          <w:sz w:val="20"/>
        </w:rPr>
        <w:t xml:space="preserve"> Edition. (2014). </w:t>
      </w:r>
      <w:r w:rsidRPr="00F36F24">
        <w:rPr>
          <w:rFonts w:ascii="Arial" w:hAnsi="Arial" w:cs="Arial"/>
          <w:i/>
          <w:sz w:val="20"/>
        </w:rPr>
        <w:t>Technical Manual</w:t>
      </w:r>
      <w:r w:rsidRPr="00F36F24">
        <w:rPr>
          <w:rFonts w:ascii="Arial" w:hAnsi="Arial" w:cs="Arial"/>
          <w:sz w:val="20"/>
        </w:rPr>
        <w:t>, Bethesda, Maryland: AABB.</w:t>
      </w:r>
    </w:p>
    <w:p w:rsidR="00F36F24" w:rsidRPr="00F36F24" w:rsidRDefault="00F36F24" w:rsidP="00F36F24">
      <w:pPr>
        <w:widowControl w:val="0"/>
        <w:autoSpaceDE w:val="0"/>
        <w:autoSpaceDN w:val="0"/>
        <w:adjustRightInd w:val="0"/>
        <w:jc w:val="both"/>
        <w:textAlignment w:val="baseline"/>
        <w:rPr>
          <w:rFonts w:ascii="Arial" w:hAnsi="Arial" w:cs="Arial"/>
          <w:sz w:val="20"/>
        </w:rPr>
      </w:pPr>
      <w:r w:rsidRPr="00F36F24">
        <w:rPr>
          <w:rFonts w:ascii="Arial" w:hAnsi="Arial" w:cs="Arial"/>
          <w:sz w:val="20"/>
        </w:rPr>
        <w:t>2. AABB, 30</w:t>
      </w:r>
      <w:r w:rsidRPr="00F36F24">
        <w:rPr>
          <w:rFonts w:ascii="Arial" w:hAnsi="Arial" w:cs="Arial"/>
          <w:sz w:val="20"/>
          <w:vertAlign w:val="superscript"/>
        </w:rPr>
        <w:t>th</w:t>
      </w:r>
      <w:r w:rsidRPr="00F36F24">
        <w:rPr>
          <w:rFonts w:ascii="Arial" w:hAnsi="Arial" w:cs="Arial"/>
          <w:sz w:val="20"/>
        </w:rPr>
        <w:t xml:space="preserve"> Edition. (2016).</w:t>
      </w:r>
      <w:r w:rsidRPr="00F36F24">
        <w:rPr>
          <w:rFonts w:ascii="Arial" w:hAnsi="Arial" w:cs="Arial"/>
          <w:i/>
          <w:sz w:val="20"/>
        </w:rPr>
        <w:t>Standards for Blood Banks and Transfusion Services</w:t>
      </w:r>
      <w:r w:rsidRPr="00F36F24">
        <w:rPr>
          <w:rFonts w:ascii="Arial" w:hAnsi="Arial" w:cs="Arial"/>
          <w:sz w:val="20"/>
        </w:rPr>
        <w:t xml:space="preserve">,    </w:t>
      </w:r>
    </w:p>
    <w:p w:rsidR="00F36F24" w:rsidRPr="00F36F24" w:rsidRDefault="00F36F24" w:rsidP="00F36F24">
      <w:pPr>
        <w:widowControl w:val="0"/>
        <w:autoSpaceDE w:val="0"/>
        <w:autoSpaceDN w:val="0"/>
        <w:adjustRightInd w:val="0"/>
        <w:jc w:val="both"/>
        <w:textAlignment w:val="baseline"/>
        <w:rPr>
          <w:rFonts w:ascii="Arial" w:hAnsi="Arial" w:cs="Arial"/>
          <w:sz w:val="20"/>
        </w:rPr>
      </w:pPr>
      <w:r w:rsidRPr="00F36F24">
        <w:rPr>
          <w:rFonts w:ascii="Arial" w:hAnsi="Arial" w:cs="Arial"/>
          <w:sz w:val="20"/>
        </w:rPr>
        <w:t xml:space="preserve">    Bethesda, Maryland: AABB.</w:t>
      </w:r>
    </w:p>
    <w:p w:rsidR="00F36F24" w:rsidRPr="00F36F24" w:rsidRDefault="00F36F24" w:rsidP="00F36F24">
      <w:pPr>
        <w:widowControl w:val="0"/>
        <w:autoSpaceDE w:val="0"/>
        <w:autoSpaceDN w:val="0"/>
        <w:adjustRightInd w:val="0"/>
        <w:jc w:val="both"/>
        <w:textAlignment w:val="baseline"/>
        <w:rPr>
          <w:rFonts w:ascii="Arial" w:hAnsi="Arial" w:cs="Arial"/>
          <w:sz w:val="22"/>
          <w:szCs w:val="22"/>
        </w:rPr>
      </w:pPr>
    </w:p>
    <w:p w:rsidR="003D6706" w:rsidRDefault="003D6706" w:rsidP="003D6706">
      <w:pPr>
        <w:tabs>
          <w:tab w:val="left" w:pos="360"/>
        </w:tabs>
        <w:ind w:right="120"/>
        <w:jc w:val="both"/>
        <w:rPr>
          <w:rFonts w:ascii="Arial" w:hAnsi="Arial" w:cs="Arial"/>
          <w:sz w:val="20"/>
          <w:lang w:val="en-CA"/>
        </w:rPr>
      </w:pPr>
    </w:p>
    <w:p w:rsidR="0088016B" w:rsidRPr="00AA3B23" w:rsidRDefault="0088016B" w:rsidP="003D6706">
      <w:pPr>
        <w:tabs>
          <w:tab w:val="left" w:pos="360"/>
        </w:tabs>
        <w:ind w:right="120"/>
        <w:jc w:val="both"/>
        <w:rPr>
          <w:rFonts w:ascii="Arial" w:hAnsi="Arial" w:cs="Arial"/>
          <w:sz w:val="20"/>
        </w:rPr>
      </w:pPr>
    </w:p>
    <w:p w:rsidR="003D6706" w:rsidRPr="00AA3B23" w:rsidRDefault="003D6706" w:rsidP="003D6706">
      <w:pPr>
        <w:tabs>
          <w:tab w:val="left" w:pos="960"/>
        </w:tabs>
        <w:ind w:right="120"/>
        <w:rPr>
          <w:rFonts w:ascii="Arial" w:hAnsi="Arial" w:cs="Arial"/>
          <w:sz w:val="20"/>
          <w:u w:val="single"/>
        </w:rPr>
      </w:pPr>
    </w:p>
    <w:p w:rsidR="003D6706" w:rsidRPr="00AA3B23"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Pr="004D031D" w:rsidRDefault="003D6706" w:rsidP="004D031D">
      <w:pPr>
        <w:tabs>
          <w:tab w:val="left" w:pos="723"/>
        </w:tabs>
        <w:spacing w:line="238" w:lineRule="auto"/>
        <w:ind w:right="710"/>
        <w:rPr>
          <w:rFonts w:ascii="Arial" w:eastAsia="Arial" w:hAnsi="Arial" w:cs="Arial"/>
          <w:sz w:val="20"/>
        </w:rPr>
      </w:pPr>
    </w:p>
    <w:sectPr w:rsidR="003D6706" w:rsidRPr="004D031D" w:rsidSect="009F3296">
      <w:headerReference w:type="even" r:id="rId7"/>
      <w:headerReference w:type="default" r:id="rId8"/>
      <w:footerReference w:type="even" r:id="rId9"/>
      <w:footerReference w:type="default" r:id="rId10"/>
      <w:headerReference w:type="first" r:id="rId11"/>
      <w:footerReference w:type="first" r:id="rId12"/>
      <w:pgSz w:w="12240" w:h="15840" w:code="1"/>
      <w:pgMar w:top="718" w:right="965" w:bottom="418" w:left="1440" w:header="418" w:footer="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C4" w:rsidRDefault="009062C4">
      <w:r>
        <w:separator/>
      </w:r>
    </w:p>
  </w:endnote>
  <w:endnote w:type="continuationSeparator" w:id="0">
    <w:p w:rsidR="009062C4" w:rsidRDefault="0090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24" w:rsidRDefault="00F36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620"/>
    </w:tblGrid>
    <w:tr w:rsidR="006C4220" w:rsidRPr="009F3296" w:rsidTr="00A660AE">
      <w:tc>
        <w:tcPr>
          <w:tcW w:w="10620" w:type="dxa"/>
        </w:tcPr>
        <w:p w:rsidR="006C4220" w:rsidRPr="009F3296" w:rsidRDefault="006C4220" w:rsidP="00A660AE">
          <w:pPr>
            <w:pStyle w:val="Footer"/>
            <w:rPr>
              <w:rFonts w:ascii="Arial" w:hAnsi="Arial" w:cs="Arial"/>
              <w:sz w:val="20"/>
            </w:rPr>
          </w:pPr>
          <w:r w:rsidRPr="009F3296">
            <w:rPr>
              <w:rFonts w:ascii="Arial" w:hAnsi="Arial" w:cs="Arial"/>
              <w:sz w:val="20"/>
            </w:rPr>
            <w:t>Reviewed:</w:t>
          </w:r>
          <w:r>
            <w:rPr>
              <w:rFonts w:ascii="Arial" w:hAnsi="Arial" w:cs="Arial"/>
              <w:sz w:val="20"/>
            </w:rPr>
            <w:t xml:space="preserve"> </w:t>
          </w:r>
          <w:r w:rsidR="00F36F24">
            <w:rPr>
              <w:rFonts w:ascii="Arial" w:hAnsi="Arial" w:cs="Arial"/>
              <w:sz w:val="20"/>
            </w:rPr>
            <w:t>01/1996, 11/1997, 12/1999, 12/2000, 12/2001, 12/2002, 11/2003,11/2004, 06/2005, 04/2006, 10/2007, 11/2008, 11/2009, 03/2012, 02/2013, 04/2015, 02/23/2017</w:t>
          </w:r>
        </w:p>
        <w:p w:rsidR="006C4220" w:rsidRPr="009F3296" w:rsidRDefault="006C4220" w:rsidP="00A660AE">
          <w:pPr>
            <w:pStyle w:val="Footer"/>
            <w:rPr>
              <w:rFonts w:ascii="Arial" w:hAnsi="Arial" w:cs="Arial"/>
              <w:sz w:val="20"/>
            </w:rPr>
          </w:pPr>
        </w:p>
        <w:p w:rsidR="006C4220" w:rsidRPr="009F3296" w:rsidRDefault="006C4220" w:rsidP="00F36F24">
          <w:pPr>
            <w:pStyle w:val="Footer"/>
            <w:rPr>
              <w:rFonts w:ascii="Arial" w:hAnsi="Arial" w:cs="Arial"/>
              <w:sz w:val="20"/>
            </w:rPr>
          </w:pPr>
          <w:r w:rsidRPr="009F3296">
            <w:rPr>
              <w:rFonts w:ascii="Arial" w:hAnsi="Arial" w:cs="Arial"/>
              <w:sz w:val="20"/>
            </w:rPr>
            <w:t xml:space="preserve">Revised: </w:t>
          </w:r>
          <w:r w:rsidR="00F36F24">
            <w:rPr>
              <w:rFonts w:ascii="Arial" w:hAnsi="Arial" w:cs="Arial"/>
              <w:sz w:val="20"/>
            </w:rPr>
            <w:t>01/1996, 11/1997, 12/1999, 12/2000, 12/2001, 12/2002, 11/2003,11/2004, 06/2005, 04/2006, 10/2007, 11/2008, 11/2009, 03/2012, 02/2013, 04/2015, 02/23/2017</w:t>
          </w:r>
        </w:p>
      </w:tc>
    </w:tr>
  </w:tbl>
  <w:p w:rsidR="006C4220" w:rsidRPr="00A87E32" w:rsidRDefault="006C4220" w:rsidP="006C422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620"/>
    </w:tblGrid>
    <w:tr w:rsidR="004D031D" w:rsidRPr="009F3296" w:rsidTr="00294119">
      <w:tc>
        <w:tcPr>
          <w:tcW w:w="10620" w:type="dxa"/>
        </w:tcPr>
        <w:p w:rsidR="00F36F24" w:rsidRPr="009F3296" w:rsidRDefault="004D031D" w:rsidP="00F36F24">
          <w:pPr>
            <w:pStyle w:val="Footer"/>
            <w:rPr>
              <w:rFonts w:ascii="Arial" w:hAnsi="Arial" w:cs="Arial"/>
              <w:sz w:val="20"/>
            </w:rPr>
          </w:pPr>
          <w:r w:rsidRPr="009F3296">
            <w:rPr>
              <w:rFonts w:ascii="Arial" w:hAnsi="Arial" w:cs="Arial"/>
              <w:sz w:val="20"/>
            </w:rPr>
            <w:t>Reviewed:</w:t>
          </w:r>
          <w:r w:rsidR="004F0693">
            <w:rPr>
              <w:rFonts w:ascii="Arial" w:hAnsi="Arial" w:cs="Arial"/>
              <w:sz w:val="20"/>
            </w:rPr>
            <w:t xml:space="preserve"> </w:t>
          </w:r>
          <w:r w:rsidR="009055EC">
            <w:rPr>
              <w:rFonts w:ascii="Arial" w:hAnsi="Arial" w:cs="Arial"/>
              <w:sz w:val="20"/>
            </w:rPr>
            <w:t xml:space="preserve">  </w:t>
          </w:r>
          <w:r w:rsidR="00F36F24">
            <w:rPr>
              <w:rFonts w:ascii="Arial" w:hAnsi="Arial" w:cs="Arial"/>
              <w:sz w:val="20"/>
            </w:rPr>
            <w:t>01/1996, 11/1997, 12/1999, 12/2000, 12/2001, 12/2002, 11/2003,11/2004, 06/2005, 04/2006, 10/2007, 11/2008, 11/2009, 03/2012, 02/2013, 04/2015, 02/23/2017</w:t>
          </w:r>
        </w:p>
        <w:p w:rsidR="004D031D" w:rsidRPr="009F3296" w:rsidRDefault="004D031D" w:rsidP="00012C46">
          <w:pPr>
            <w:pStyle w:val="Footer"/>
            <w:rPr>
              <w:rFonts w:ascii="Arial" w:hAnsi="Arial" w:cs="Arial"/>
              <w:sz w:val="20"/>
            </w:rPr>
          </w:pPr>
        </w:p>
        <w:p w:rsidR="004D031D" w:rsidRPr="009F3296" w:rsidRDefault="004D031D" w:rsidP="00F36F24">
          <w:pPr>
            <w:pStyle w:val="Footer"/>
            <w:rPr>
              <w:rFonts w:ascii="Arial" w:hAnsi="Arial" w:cs="Arial"/>
              <w:sz w:val="20"/>
            </w:rPr>
          </w:pPr>
          <w:r w:rsidRPr="009F3296">
            <w:rPr>
              <w:rFonts w:ascii="Arial" w:hAnsi="Arial" w:cs="Arial"/>
              <w:sz w:val="20"/>
            </w:rPr>
            <w:t xml:space="preserve">Revised: </w:t>
          </w:r>
          <w:r w:rsidR="00AA3B23">
            <w:rPr>
              <w:rFonts w:ascii="Arial" w:hAnsi="Arial" w:cs="Arial"/>
              <w:sz w:val="20"/>
            </w:rPr>
            <w:t xml:space="preserve">    </w:t>
          </w:r>
          <w:r w:rsidR="00F36F24">
            <w:rPr>
              <w:rFonts w:ascii="Arial" w:hAnsi="Arial" w:cs="Arial"/>
              <w:sz w:val="20"/>
            </w:rPr>
            <w:t>01/1996, 11/1997, 12/1999, 12/2000, 12/2001, 12/2002, 11/2003,11/2004, 06/2005, 04/2006, 10/2007, 11/2008, 11/2009, 03/2012, 02/2013, 04/2015, 02/23/2017</w:t>
          </w:r>
        </w:p>
      </w:tc>
    </w:tr>
  </w:tbl>
  <w:p w:rsidR="004833D0" w:rsidRPr="00A87E32" w:rsidRDefault="004833D0" w:rsidP="004833D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C4" w:rsidRDefault="009062C4">
      <w:r>
        <w:separator/>
      </w:r>
    </w:p>
  </w:footnote>
  <w:footnote w:type="continuationSeparator" w:id="0">
    <w:p w:rsidR="009062C4" w:rsidRDefault="00906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24" w:rsidRDefault="00F36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F24" w:rsidRDefault="00F36F24" w:rsidP="00E63CE3">
    <w:pPr>
      <w:pStyle w:val="Header"/>
      <w:ind w:right="120"/>
      <w:jc w:val="right"/>
      <w:rPr>
        <w:rFonts w:ascii="Arial" w:hAnsi="Arial" w:cs="Arial"/>
        <w:sz w:val="20"/>
      </w:rPr>
    </w:pPr>
    <w:r>
      <w:rPr>
        <w:rFonts w:ascii="Arial" w:hAnsi="Arial" w:cs="Arial"/>
        <w:sz w:val="20"/>
      </w:rPr>
      <w:t>BLBK 764.0</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Pr="00627463">
      <w:rPr>
        <w:rFonts w:ascii="Arial" w:hAnsi="Arial" w:cs="Arial"/>
        <w:sz w:val="20"/>
      </w:rPr>
      <w:fldChar w:fldCharType="begin"/>
    </w:r>
    <w:r w:rsidRPr="00627463">
      <w:rPr>
        <w:rFonts w:ascii="Arial" w:hAnsi="Arial" w:cs="Arial"/>
        <w:sz w:val="20"/>
      </w:rPr>
      <w:instrText xml:space="preserve"> PAGE </w:instrText>
    </w:r>
    <w:r w:rsidRPr="00627463">
      <w:rPr>
        <w:rFonts w:ascii="Arial" w:hAnsi="Arial" w:cs="Arial"/>
        <w:sz w:val="20"/>
      </w:rPr>
      <w:fldChar w:fldCharType="separate"/>
    </w:r>
    <w:r w:rsidR="00751C27">
      <w:rPr>
        <w:rFonts w:ascii="Arial" w:hAnsi="Arial" w:cs="Arial"/>
        <w:noProof/>
        <w:sz w:val="20"/>
      </w:rPr>
      <w:t>4</w:t>
    </w:r>
    <w:r w:rsidRPr="00627463">
      <w:rPr>
        <w:rFonts w:ascii="Arial" w:hAnsi="Arial" w:cs="Arial"/>
        <w:sz w:val="20"/>
      </w:rPr>
      <w:fldChar w:fldCharType="end"/>
    </w:r>
    <w:r w:rsidRPr="00627463">
      <w:rPr>
        <w:rFonts w:ascii="Arial" w:hAnsi="Arial" w:cs="Arial"/>
        <w:sz w:val="20"/>
      </w:rPr>
      <w:t xml:space="preserve"> of </w:t>
    </w:r>
    <w:r w:rsidRPr="00627463">
      <w:rPr>
        <w:rFonts w:ascii="Arial" w:hAnsi="Arial" w:cs="Arial"/>
        <w:sz w:val="20"/>
      </w:rPr>
      <w:fldChar w:fldCharType="begin"/>
    </w:r>
    <w:r w:rsidRPr="00627463">
      <w:rPr>
        <w:rFonts w:ascii="Arial" w:hAnsi="Arial" w:cs="Arial"/>
        <w:sz w:val="20"/>
      </w:rPr>
      <w:instrText xml:space="preserve"> NUMPAGES </w:instrText>
    </w:r>
    <w:r w:rsidRPr="00627463">
      <w:rPr>
        <w:rFonts w:ascii="Arial" w:hAnsi="Arial" w:cs="Arial"/>
        <w:sz w:val="20"/>
      </w:rPr>
      <w:fldChar w:fldCharType="separate"/>
    </w:r>
    <w:r w:rsidR="00751C27">
      <w:rPr>
        <w:rFonts w:ascii="Arial" w:hAnsi="Arial" w:cs="Arial"/>
        <w:noProof/>
        <w:sz w:val="20"/>
      </w:rPr>
      <w:t>4</w:t>
    </w:r>
    <w:r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0" w:type="dxa"/>
      <w:tblLayout w:type="fixed"/>
      <w:tblCellMar>
        <w:left w:w="336" w:type="dxa"/>
        <w:right w:w="336" w:type="dxa"/>
      </w:tblCellMar>
      <w:tblLook w:val="0000" w:firstRow="0" w:lastRow="0" w:firstColumn="0" w:lastColumn="0" w:noHBand="0" w:noVBand="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9055EC"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14:anchorId="048AFBE5" wp14:editId="62EE3577">
                <wp:extent cx="1935480" cy="41211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VVMC-New.jpg"/>
                        <pic:cNvPicPr/>
                      </pic:nvPicPr>
                      <pic:blipFill>
                        <a:blip r:embed="rId1">
                          <a:extLst>
                            <a:ext uri="{28A0092B-C50C-407E-A947-70E740481C1C}">
                              <a14:useLocalDpi xmlns:a14="http://schemas.microsoft.com/office/drawing/2010/main" val="0"/>
                            </a:ext>
                          </a:extLst>
                        </a:blip>
                        <a:stretch>
                          <a:fillRect/>
                        </a:stretch>
                      </pic:blipFill>
                      <pic:spPr>
                        <a:xfrm>
                          <a:off x="0" y="0"/>
                          <a:ext cx="1935480" cy="41211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4F0693" w:rsidRDefault="00215065" w:rsidP="004D031D">
          <w:pPr>
            <w:widowControl w:val="0"/>
            <w:tabs>
              <w:tab w:val="left" w:pos="0"/>
              <w:tab w:val="center" w:pos="1624"/>
            </w:tabs>
            <w:jc w:val="center"/>
            <w:rPr>
              <w:rFonts w:ascii="Arial" w:hAnsi="Arial" w:cs="Arial"/>
              <w:b/>
              <w:caps/>
              <w:sz w:val="22"/>
            </w:rPr>
          </w:pPr>
          <w:r>
            <w:rPr>
              <w:rFonts w:ascii="Arial" w:hAnsi="Arial" w:cs="Arial"/>
              <w:b/>
              <w:caps/>
              <w:sz w:val="22"/>
            </w:rPr>
            <w:t>DEPARTMENTAL</w:t>
          </w:r>
        </w:p>
        <w:p w:rsidR="00A61485" w:rsidRDefault="00A61485" w:rsidP="004D031D">
          <w:pPr>
            <w:widowControl w:val="0"/>
            <w:tabs>
              <w:tab w:val="left" w:pos="0"/>
              <w:tab w:val="center" w:pos="1624"/>
            </w:tabs>
            <w:jc w:val="center"/>
            <w:rPr>
              <w:rFonts w:ascii="Arial" w:hAnsi="Arial" w:cs="Arial"/>
              <w:b/>
              <w:caps/>
              <w:sz w:val="20"/>
            </w:rPr>
          </w:pPr>
        </w:p>
        <w:p w:rsidR="00A61485" w:rsidRPr="00905C1C" w:rsidRDefault="00215065" w:rsidP="004D031D">
          <w:pPr>
            <w:widowControl w:val="0"/>
            <w:tabs>
              <w:tab w:val="left" w:pos="0"/>
              <w:tab w:val="center" w:pos="1624"/>
            </w:tabs>
            <w:jc w:val="center"/>
            <w:rPr>
              <w:rFonts w:ascii="Arial" w:hAnsi="Arial" w:cs="Arial"/>
              <w:b/>
              <w:caps/>
              <w:sz w:val="20"/>
            </w:rPr>
          </w:pPr>
          <w:r>
            <w:rPr>
              <w:rFonts w:ascii="Arial" w:hAnsi="Arial" w:cs="Arial"/>
              <w:b/>
              <w:caps/>
              <w:sz w:val="20"/>
            </w:rPr>
            <w:t>GUIDELINES OF PRACTICE</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905C1C"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Pr="00905C1C">
            <w:rPr>
              <w:rFonts w:ascii="Arial" w:hAnsi="Arial" w:cs="Arial"/>
              <w:sz w:val="20"/>
            </w:rPr>
            <w:tab/>
          </w:r>
          <w:r w:rsidR="00F36F24">
            <w:rPr>
              <w:rFonts w:ascii="Arial" w:hAnsi="Arial" w:cs="Arial"/>
              <w:sz w:val="20"/>
            </w:rPr>
            <w:t>BLBK 764.0</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fldSimple w:instr=" NUMPAGES   \* MERGEFORMAT ">
            <w:r w:rsidR="00751C27" w:rsidRPr="00751C27">
              <w:rPr>
                <w:rFonts w:ascii="Arial" w:hAnsi="Arial" w:cs="Arial"/>
                <w:noProof/>
                <w:sz w:val="20"/>
              </w:rPr>
              <w:t>4</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4F0693">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905C1C" w:rsidRDefault="00F36F24"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January 1996</w:t>
          </w:r>
        </w:p>
      </w:tc>
    </w:tr>
    <w:tr w:rsidR="00F36F24"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F36F24" w:rsidRPr="0015080A" w:rsidRDefault="00F36F24" w:rsidP="00F36F24">
          <w:pPr>
            <w:spacing w:line="120" w:lineRule="exact"/>
            <w:rPr>
              <w:rFonts w:ascii="Arial" w:hAnsi="Arial" w:cs="Arial"/>
              <w:b/>
              <w:bCs/>
              <w:sz w:val="20"/>
            </w:rPr>
          </w:pPr>
        </w:p>
        <w:p w:rsidR="00F36F24" w:rsidRPr="0015080A" w:rsidRDefault="00F36F24" w:rsidP="00F36F24">
          <w:pPr>
            <w:spacing w:after="58"/>
            <w:jc w:val="center"/>
            <w:rPr>
              <w:rFonts w:ascii="Arial" w:hAnsi="Arial" w:cs="Arial"/>
              <w:b/>
              <w:bCs/>
              <w:sz w:val="20"/>
            </w:rPr>
          </w:pPr>
          <w:r w:rsidRPr="0015080A">
            <w:rPr>
              <w:rFonts w:ascii="Arial" w:hAnsi="Arial" w:cs="Arial"/>
              <w:b/>
              <w:bCs/>
              <w:sz w:val="20"/>
            </w:rPr>
            <w:t>ROUTINE ISSUE OF BLOOD COMPONENTS</w:t>
          </w:r>
        </w:p>
      </w:tc>
    </w:tr>
  </w:tbl>
  <w:p w:rsidR="004D031D" w:rsidRDefault="004D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A22C0D"/>
    <w:multiLevelType w:val="hybridMultilevel"/>
    <w:tmpl w:val="A8647D40"/>
    <w:lvl w:ilvl="0" w:tplc="7DB0478C">
      <w:start w:val="1"/>
      <w:numFmt w:val="lowerLetter"/>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6" w15:restartNumberingAfterBreak="0">
    <w:nsid w:val="31FF4C6E"/>
    <w:multiLevelType w:val="hybridMultilevel"/>
    <w:tmpl w:val="103C3488"/>
    <w:lvl w:ilvl="0" w:tplc="D28258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87140"/>
    <w:multiLevelType w:val="hybridMultilevel"/>
    <w:tmpl w:val="D3B4204A"/>
    <w:lvl w:ilvl="0" w:tplc="2340D2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1" w15:restartNumberingAfterBreak="0">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2" w15:restartNumberingAfterBreak="0">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3" w15:restartNumberingAfterBreak="0">
    <w:nsid w:val="56427124"/>
    <w:multiLevelType w:val="hybridMultilevel"/>
    <w:tmpl w:val="563EFBC0"/>
    <w:lvl w:ilvl="0" w:tplc="86642C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416F9"/>
    <w:multiLevelType w:val="hybridMultilevel"/>
    <w:tmpl w:val="04941E7E"/>
    <w:lvl w:ilvl="0" w:tplc="E4E0FC20">
      <w:start w:val="1"/>
      <w:numFmt w:val="decimal"/>
      <w:lvlText w:val="%1."/>
      <w:lvlJc w:val="left"/>
      <w:pPr>
        <w:tabs>
          <w:tab w:val="num" w:pos="1440"/>
        </w:tabs>
        <w:ind w:left="1440" w:hanging="720"/>
      </w:pPr>
      <w:rPr>
        <w:rFonts w:hint="default"/>
        <w:color w:val="auto"/>
      </w:rPr>
    </w:lvl>
    <w:lvl w:ilvl="1" w:tplc="0248E378">
      <w:start w:val="1"/>
      <w:numFmt w:val="lowerLetter"/>
      <w:lvlText w:val="%2."/>
      <w:lvlJc w:val="left"/>
      <w:pPr>
        <w:tabs>
          <w:tab w:val="num" w:pos="2520"/>
        </w:tabs>
        <w:ind w:left="2520" w:hanging="720"/>
      </w:pPr>
      <w:rPr>
        <w:rFonts w:hint="default"/>
        <w:color w:val="auto"/>
      </w:rPr>
    </w:lvl>
    <w:lvl w:ilvl="2" w:tplc="1212A556">
      <w:start w:val="1"/>
      <w:numFmt w:val="decimal"/>
      <w:lvlText w:val="%3)"/>
      <w:lvlJc w:val="left"/>
      <w:pPr>
        <w:tabs>
          <w:tab w:val="num" w:pos="3420"/>
        </w:tabs>
        <w:ind w:left="3420" w:hanging="720"/>
      </w:pPr>
      <w:rPr>
        <w:rFonts w:hint="default"/>
        <w:color w:val="auto"/>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2FC0480"/>
    <w:multiLevelType w:val="hybridMultilevel"/>
    <w:tmpl w:val="F86E3FC0"/>
    <w:lvl w:ilvl="0" w:tplc="14EC1B32">
      <w:start w:val="1"/>
      <w:numFmt w:val="decimal"/>
      <w:lvlText w:val="%1."/>
      <w:lvlJc w:val="left"/>
      <w:pPr>
        <w:tabs>
          <w:tab w:val="num" w:pos="720"/>
        </w:tabs>
        <w:ind w:left="720" w:hanging="720"/>
      </w:pPr>
      <w:rPr>
        <w:rFonts w:hint="default"/>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2B72EA"/>
    <w:multiLevelType w:val="hybridMultilevel"/>
    <w:tmpl w:val="1C1018B4"/>
    <w:lvl w:ilvl="0" w:tplc="2EE432DC">
      <w:start w:val="1"/>
      <w:numFmt w:val="lowerLetter"/>
      <w:lvlText w:val="%1."/>
      <w:lvlJc w:val="left"/>
      <w:pPr>
        <w:tabs>
          <w:tab w:val="num" w:pos="2160"/>
        </w:tabs>
        <w:ind w:left="2160" w:hanging="720"/>
      </w:pPr>
      <w:rPr>
        <w:rFonts w:hint="default"/>
        <w:strike w:val="0"/>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703140"/>
    <w:multiLevelType w:val="hybridMultilevel"/>
    <w:tmpl w:val="6786F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3"/>
  </w:num>
  <w:num w:numId="5">
    <w:abstractNumId w:val="9"/>
  </w:num>
  <w:num w:numId="6">
    <w:abstractNumId w:val="0"/>
  </w:num>
  <w:num w:numId="7">
    <w:abstractNumId w:val="15"/>
  </w:num>
  <w:num w:numId="8">
    <w:abstractNumId w:val="8"/>
  </w:num>
  <w:num w:numId="9">
    <w:abstractNumId w:val="10"/>
  </w:num>
  <w:num w:numId="10">
    <w:abstractNumId w:val="12"/>
  </w:num>
  <w:num w:numId="11">
    <w:abstractNumId w:val="11"/>
  </w:num>
  <w:num w:numId="12">
    <w:abstractNumId w:val="5"/>
  </w:num>
  <w:num w:numId="13">
    <w:abstractNumId w:val="16"/>
  </w:num>
  <w:num w:numId="14">
    <w:abstractNumId w:val="6"/>
  </w:num>
  <w:num w:numId="15">
    <w:abstractNumId w:val="7"/>
  </w:num>
  <w:num w:numId="16">
    <w:abstractNumId w:val="19"/>
  </w:num>
  <w:num w:numId="17">
    <w:abstractNumId w:val="4"/>
  </w:num>
  <w:num w:numId="18">
    <w:abstractNumId w:val="17"/>
  </w:num>
  <w:num w:numId="19">
    <w:abstractNumId w:val="14"/>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C9"/>
    <w:rsid w:val="00001126"/>
    <w:rsid w:val="00010A88"/>
    <w:rsid w:val="00011834"/>
    <w:rsid w:val="00012C46"/>
    <w:rsid w:val="000134F9"/>
    <w:rsid w:val="0003088C"/>
    <w:rsid w:val="0003775B"/>
    <w:rsid w:val="00045249"/>
    <w:rsid w:val="0007006B"/>
    <w:rsid w:val="00070EE0"/>
    <w:rsid w:val="00072EE3"/>
    <w:rsid w:val="00075353"/>
    <w:rsid w:val="00075625"/>
    <w:rsid w:val="00087E44"/>
    <w:rsid w:val="000962F7"/>
    <w:rsid w:val="000A2AFA"/>
    <w:rsid w:val="000A513A"/>
    <w:rsid w:val="000A6467"/>
    <w:rsid w:val="000D7C73"/>
    <w:rsid w:val="000E33BD"/>
    <w:rsid w:val="00100FE0"/>
    <w:rsid w:val="0010141E"/>
    <w:rsid w:val="00133BCB"/>
    <w:rsid w:val="00136DD6"/>
    <w:rsid w:val="00161437"/>
    <w:rsid w:val="00174C17"/>
    <w:rsid w:val="00180CC7"/>
    <w:rsid w:val="00186D29"/>
    <w:rsid w:val="00187AE1"/>
    <w:rsid w:val="001A3603"/>
    <w:rsid w:val="001A4D26"/>
    <w:rsid w:val="001A4FC8"/>
    <w:rsid w:val="001B33B3"/>
    <w:rsid w:val="001C21EF"/>
    <w:rsid w:val="001D0B4D"/>
    <w:rsid w:val="001D2FAA"/>
    <w:rsid w:val="001D6B76"/>
    <w:rsid w:val="001E558B"/>
    <w:rsid w:val="001F4BA5"/>
    <w:rsid w:val="00203E11"/>
    <w:rsid w:val="00211496"/>
    <w:rsid w:val="00215065"/>
    <w:rsid w:val="002178DD"/>
    <w:rsid w:val="002303C2"/>
    <w:rsid w:val="002334DB"/>
    <w:rsid w:val="00235E4D"/>
    <w:rsid w:val="00262BD1"/>
    <w:rsid w:val="00271BD1"/>
    <w:rsid w:val="00282909"/>
    <w:rsid w:val="00282A9D"/>
    <w:rsid w:val="00294119"/>
    <w:rsid w:val="0029502A"/>
    <w:rsid w:val="002A31BB"/>
    <w:rsid w:val="002B4CB2"/>
    <w:rsid w:val="002D1EF9"/>
    <w:rsid w:val="002E211B"/>
    <w:rsid w:val="002F0605"/>
    <w:rsid w:val="002F5661"/>
    <w:rsid w:val="00302B2E"/>
    <w:rsid w:val="003149AE"/>
    <w:rsid w:val="003200F9"/>
    <w:rsid w:val="003205B8"/>
    <w:rsid w:val="00341FBC"/>
    <w:rsid w:val="0034718F"/>
    <w:rsid w:val="0035283E"/>
    <w:rsid w:val="00353C8E"/>
    <w:rsid w:val="00361E66"/>
    <w:rsid w:val="00374B8F"/>
    <w:rsid w:val="003867D8"/>
    <w:rsid w:val="003A0A08"/>
    <w:rsid w:val="003A4713"/>
    <w:rsid w:val="003A520A"/>
    <w:rsid w:val="003A6E59"/>
    <w:rsid w:val="003C050E"/>
    <w:rsid w:val="003C15A2"/>
    <w:rsid w:val="003C1DBF"/>
    <w:rsid w:val="003D6706"/>
    <w:rsid w:val="004135B6"/>
    <w:rsid w:val="00421011"/>
    <w:rsid w:val="004259FB"/>
    <w:rsid w:val="00431EAE"/>
    <w:rsid w:val="0044074C"/>
    <w:rsid w:val="00441782"/>
    <w:rsid w:val="00441BF9"/>
    <w:rsid w:val="00454A8B"/>
    <w:rsid w:val="00462FAC"/>
    <w:rsid w:val="00462FBC"/>
    <w:rsid w:val="00466AE0"/>
    <w:rsid w:val="004674C2"/>
    <w:rsid w:val="0047130E"/>
    <w:rsid w:val="00471A47"/>
    <w:rsid w:val="004833D0"/>
    <w:rsid w:val="00494B98"/>
    <w:rsid w:val="00495581"/>
    <w:rsid w:val="00495EA3"/>
    <w:rsid w:val="004974DE"/>
    <w:rsid w:val="004B4E2A"/>
    <w:rsid w:val="004B70E2"/>
    <w:rsid w:val="004C18B9"/>
    <w:rsid w:val="004C3741"/>
    <w:rsid w:val="004C77A6"/>
    <w:rsid w:val="004D031D"/>
    <w:rsid w:val="004E0E0E"/>
    <w:rsid w:val="004F0693"/>
    <w:rsid w:val="005121D1"/>
    <w:rsid w:val="00521232"/>
    <w:rsid w:val="005250F2"/>
    <w:rsid w:val="005419A5"/>
    <w:rsid w:val="0054275A"/>
    <w:rsid w:val="005477C9"/>
    <w:rsid w:val="00547FC7"/>
    <w:rsid w:val="00560094"/>
    <w:rsid w:val="005635E3"/>
    <w:rsid w:val="005636A7"/>
    <w:rsid w:val="00575215"/>
    <w:rsid w:val="005903BE"/>
    <w:rsid w:val="00596162"/>
    <w:rsid w:val="005A43C7"/>
    <w:rsid w:val="005A639D"/>
    <w:rsid w:val="005B0C9B"/>
    <w:rsid w:val="005D31DE"/>
    <w:rsid w:val="005F5911"/>
    <w:rsid w:val="0060172F"/>
    <w:rsid w:val="00611801"/>
    <w:rsid w:val="00615217"/>
    <w:rsid w:val="0062205E"/>
    <w:rsid w:val="00624728"/>
    <w:rsid w:val="00627463"/>
    <w:rsid w:val="0063045C"/>
    <w:rsid w:val="00630DB4"/>
    <w:rsid w:val="00631B24"/>
    <w:rsid w:val="00647456"/>
    <w:rsid w:val="0065165B"/>
    <w:rsid w:val="00657C87"/>
    <w:rsid w:val="00662892"/>
    <w:rsid w:val="0066588F"/>
    <w:rsid w:val="00670332"/>
    <w:rsid w:val="006721D8"/>
    <w:rsid w:val="00676D4A"/>
    <w:rsid w:val="006960E2"/>
    <w:rsid w:val="006B16D7"/>
    <w:rsid w:val="006B1DB4"/>
    <w:rsid w:val="006B212B"/>
    <w:rsid w:val="006B33A8"/>
    <w:rsid w:val="006B4924"/>
    <w:rsid w:val="006B513B"/>
    <w:rsid w:val="006B5FD7"/>
    <w:rsid w:val="006B7B79"/>
    <w:rsid w:val="006C4220"/>
    <w:rsid w:val="006C7B78"/>
    <w:rsid w:val="006D115C"/>
    <w:rsid w:val="006D2197"/>
    <w:rsid w:val="006D6615"/>
    <w:rsid w:val="006E3B57"/>
    <w:rsid w:val="007061A1"/>
    <w:rsid w:val="007105E5"/>
    <w:rsid w:val="00720BBA"/>
    <w:rsid w:val="007234CA"/>
    <w:rsid w:val="007420B9"/>
    <w:rsid w:val="00751147"/>
    <w:rsid w:val="00751C27"/>
    <w:rsid w:val="007523E0"/>
    <w:rsid w:val="00755FB7"/>
    <w:rsid w:val="00762E04"/>
    <w:rsid w:val="00773CBD"/>
    <w:rsid w:val="00776089"/>
    <w:rsid w:val="00792A7B"/>
    <w:rsid w:val="0079336B"/>
    <w:rsid w:val="00796681"/>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40C3B"/>
    <w:rsid w:val="008617C6"/>
    <w:rsid w:val="008629FC"/>
    <w:rsid w:val="008671C8"/>
    <w:rsid w:val="00875DE4"/>
    <w:rsid w:val="0088016B"/>
    <w:rsid w:val="008932D1"/>
    <w:rsid w:val="008A35F7"/>
    <w:rsid w:val="008A5890"/>
    <w:rsid w:val="008C711A"/>
    <w:rsid w:val="008C789C"/>
    <w:rsid w:val="008D328D"/>
    <w:rsid w:val="008E21F9"/>
    <w:rsid w:val="008E2AA1"/>
    <w:rsid w:val="008E40F8"/>
    <w:rsid w:val="008F14FB"/>
    <w:rsid w:val="009055EC"/>
    <w:rsid w:val="00905C1C"/>
    <w:rsid w:val="009062C4"/>
    <w:rsid w:val="00914936"/>
    <w:rsid w:val="00932B8E"/>
    <w:rsid w:val="00933277"/>
    <w:rsid w:val="00950180"/>
    <w:rsid w:val="00974CAA"/>
    <w:rsid w:val="009846BE"/>
    <w:rsid w:val="009850DC"/>
    <w:rsid w:val="00986FE7"/>
    <w:rsid w:val="009930D2"/>
    <w:rsid w:val="009A7CD3"/>
    <w:rsid w:val="009C63FF"/>
    <w:rsid w:val="009D2D9B"/>
    <w:rsid w:val="009F3296"/>
    <w:rsid w:val="00A028A8"/>
    <w:rsid w:val="00A1752B"/>
    <w:rsid w:val="00A370BF"/>
    <w:rsid w:val="00A4514A"/>
    <w:rsid w:val="00A46FB7"/>
    <w:rsid w:val="00A56BFF"/>
    <w:rsid w:val="00A61485"/>
    <w:rsid w:val="00A84FB2"/>
    <w:rsid w:val="00A87E32"/>
    <w:rsid w:val="00A94992"/>
    <w:rsid w:val="00A95ECA"/>
    <w:rsid w:val="00AA03D2"/>
    <w:rsid w:val="00AA3B23"/>
    <w:rsid w:val="00AA7E94"/>
    <w:rsid w:val="00AC0DB1"/>
    <w:rsid w:val="00AC7217"/>
    <w:rsid w:val="00AD0710"/>
    <w:rsid w:val="00AD3625"/>
    <w:rsid w:val="00AD4F7E"/>
    <w:rsid w:val="00AF6DCB"/>
    <w:rsid w:val="00AF7538"/>
    <w:rsid w:val="00B05FB1"/>
    <w:rsid w:val="00B14437"/>
    <w:rsid w:val="00B207B4"/>
    <w:rsid w:val="00B20AD2"/>
    <w:rsid w:val="00B26A47"/>
    <w:rsid w:val="00B275AF"/>
    <w:rsid w:val="00B31285"/>
    <w:rsid w:val="00B31443"/>
    <w:rsid w:val="00B43AEC"/>
    <w:rsid w:val="00B6345E"/>
    <w:rsid w:val="00B6374C"/>
    <w:rsid w:val="00B663FB"/>
    <w:rsid w:val="00B67952"/>
    <w:rsid w:val="00B72FE2"/>
    <w:rsid w:val="00B7573A"/>
    <w:rsid w:val="00B84AA3"/>
    <w:rsid w:val="00BA45CC"/>
    <w:rsid w:val="00BC38A6"/>
    <w:rsid w:val="00BE4BAC"/>
    <w:rsid w:val="00C007D9"/>
    <w:rsid w:val="00C0371D"/>
    <w:rsid w:val="00C15846"/>
    <w:rsid w:val="00C173CF"/>
    <w:rsid w:val="00C245E0"/>
    <w:rsid w:val="00C726CB"/>
    <w:rsid w:val="00C81B27"/>
    <w:rsid w:val="00C857E9"/>
    <w:rsid w:val="00C873AB"/>
    <w:rsid w:val="00C9359F"/>
    <w:rsid w:val="00CC0300"/>
    <w:rsid w:val="00CC4F62"/>
    <w:rsid w:val="00CD4CEC"/>
    <w:rsid w:val="00CE1AAB"/>
    <w:rsid w:val="00D03E58"/>
    <w:rsid w:val="00D054D0"/>
    <w:rsid w:val="00D11114"/>
    <w:rsid w:val="00D17AAC"/>
    <w:rsid w:val="00D27C54"/>
    <w:rsid w:val="00D522E1"/>
    <w:rsid w:val="00D56489"/>
    <w:rsid w:val="00D61C65"/>
    <w:rsid w:val="00D63489"/>
    <w:rsid w:val="00D7389D"/>
    <w:rsid w:val="00D846AA"/>
    <w:rsid w:val="00DA03DC"/>
    <w:rsid w:val="00DA7552"/>
    <w:rsid w:val="00DB0CDE"/>
    <w:rsid w:val="00DD7128"/>
    <w:rsid w:val="00DE7CA2"/>
    <w:rsid w:val="00DF218F"/>
    <w:rsid w:val="00DF4E98"/>
    <w:rsid w:val="00DF7E3D"/>
    <w:rsid w:val="00E22549"/>
    <w:rsid w:val="00E24A03"/>
    <w:rsid w:val="00E33976"/>
    <w:rsid w:val="00E340BB"/>
    <w:rsid w:val="00E55293"/>
    <w:rsid w:val="00E63CE3"/>
    <w:rsid w:val="00E66E9E"/>
    <w:rsid w:val="00E74311"/>
    <w:rsid w:val="00E76E78"/>
    <w:rsid w:val="00E81C7F"/>
    <w:rsid w:val="00E83B74"/>
    <w:rsid w:val="00E93391"/>
    <w:rsid w:val="00EE2606"/>
    <w:rsid w:val="00EE4CEB"/>
    <w:rsid w:val="00EF2E2E"/>
    <w:rsid w:val="00EF6301"/>
    <w:rsid w:val="00F06B76"/>
    <w:rsid w:val="00F1221B"/>
    <w:rsid w:val="00F26F80"/>
    <w:rsid w:val="00F33F74"/>
    <w:rsid w:val="00F36F24"/>
    <w:rsid w:val="00F37D63"/>
    <w:rsid w:val="00F465A7"/>
    <w:rsid w:val="00F50D9A"/>
    <w:rsid w:val="00F57A1A"/>
    <w:rsid w:val="00F66272"/>
    <w:rsid w:val="00F703E9"/>
    <w:rsid w:val="00F827BC"/>
    <w:rsid w:val="00F86A36"/>
    <w:rsid w:val="00F97737"/>
    <w:rsid w:val="00FA5B5C"/>
    <w:rsid w:val="00FB1CF5"/>
    <w:rsid w:val="00FC4D62"/>
    <w:rsid w:val="00FD0508"/>
    <w:rsid w:val="00FF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C23E0C-0489-4CA3-9664-0FBDD5C4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 w:type="paragraph" w:styleId="NoSpacing">
    <w:name w:val="No Spacing"/>
    <w:uiPriority w:val="1"/>
    <w:qFormat/>
    <w:rsid w:val="00F36F24"/>
    <w:pPr>
      <w:widowControl w:val="0"/>
      <w:autoSpaceDE w:val="0"/>
      <w:autoSpaceDN w:val="0"/>
      <w:adjustRightInd w:val="0"/>
      <w:jc w:val="both"/>
      <w:textAlignment w:val="baseline"/>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8519</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FMC</dc:creator>
  <cp:lastModifiedBy>Dorothy Danielson</cp:lastModifiedBy>
  <cp:revision>3</cp:revision>
  <cp:lastPrinted>2009-03-03T21:21:00Z</cp:lastPrinted>
  <dcterms:created xsi:type="dcterms:W3CDTF">2017-07-24T18:45:00Z</dcterms:created>
  <dcterms:modified xsi:type="dcterms:W3CDTF">2017-07-24T18:46:00Z</dcterms:modified>
</cp:coreProperties>
</file>