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19" w:rsidRPr="000E5A18" w:rsidRDefault="008D4019">
      <w:pPr>
        <w:pStyle w:val="SectionHeader"/>
        <w:rPr>
          <w:sz w:val="24"/>
        </w:rPr>
      </w:pPr>
    </w:p>
    <w:p w:rsidR="00686223" w:rsidRPr="00F96B47" w:rsidRDefault="00686223">
      <w:pPr>
        <w:pStyle w:val="SectionHeader"/>
        <w:rPr>
          <w:b/>
          <w:szCs w:val="28"/>
        </w:rPr>
      </w:pPr>
      <w:r w:rsidRPr="00F96B47">
        <w:rPr>
          <w:b/>
          <w:szCs w:val="28"/>
        </w:rPr>
        <w:t>PURPOSE</w:t>
      </w:r>
    </w:p>
    <w:p w:rsidR="000F793F" w:rsidRPr="000F793F" w:rsidRDefault="000F793F" w:rsidP="000F793F">
      <w:pPr>
        <w:pStyle w:val="ListParagraph"/>
        <w:autoSpaceDE w:val="0"/>
        <w:autoSpaceDN w:val="0"/>
        <w:adjustRightInd w:val="0"/>
        <w:spacing w:line="141" w:lineRule="atLeast"/>
        <w:ind w:left="360"/>
        <w:jc w:val="both"/>
        <w:rPr>
          <w:rFonts w:ascii="Times New Roman" w:hAnsi="Times New Roman"/>
          <w:color w:val="211D1E"/>
          <w:sz w:val="24"/>
          <w:szCs w:val="24"/>
        </w:rPr>
      </w:pPr>
      <w:r w:rsidRPr="000F793F">
        <w:rPr>
          <w:rFonts w:ascii="Times New Roman" w:hAnsi="Times New Roman"/>
          <w:color w:val="211D1E"/>
          <w:sz w:val="24"/>
          <w:szCs w:val="24"/>
        </w:rPr>
        <w:t xml:space="preserve">The BinaxNOW® Malaria Test is an </w:t>
      </w:r>
      <w:r w:rsidRPr="000F793F">
        <w:rPr>
          <w:rFonts w:ascii="Times New Roman" w:hAnsi="Times New Roman"/>
          <w:iCs/>
          <w:color w:val="211D1E"/>
          <w:sz w:val="24"/>
          <w:szCs w:val="24"/>
        </w:rPr>
        <w:t xml:space="preserve">in vitro </w:t>
      </w:r>
      <w:r w:rsidRPr="000F793F">
        <w:rPr>
          <w:rFonts w:ascii="Times New Roman" w:hAnsi="Times New Roman"/>
          <w:color w:val="211D1E"/>
          <w:sz w:val="24"/>
          <w:szCs w:val="24"/>
        </w:rPr>
        <w:t xml:space="preserve">immunochromatographic assay for the qualitative detection of </w:t>
      </w:r>
      <w:r w:rsidRPr="000F793F">
        <w:rPr>
          <w:rFonts w:ascii="Times New Roman" w:hAnsi="Times New Roman"/>
          <w:iCs/>
          <w:color w:val="211D1E"/>
          <w:sz w:val="24"/>
          <w:szCs w:val="24"/>
        </w:rPr>
        <w:t xml:space="preserve">Plasmodium </w:t>
      </w:r>
      <w:r w:rsidRPr="000F793F">
        <w:rPr>
          <w:rFonts w:ascii="Times New Roman" w:hAnsi="Times New Roman"/>
          <w:color w:val="211D1E"/>
          <w:sz w:val="24"/>
          <w:szCs w:val="24"/>
        </w:rPr>
        <w:t xml:space="preserve">antigens circulating in human venous and capillary EDTA whole blood of individuals with signs and symptoms of malarial infection. The test targets the histidine-rich protein II (HRPII) antigen specific to </w:t>
      </w:r>
      <w:r w:rsidRPr="000F793F">
        <w:rPr>
          <w:rFonts w:ascii="Times New Roman" w:hAnsi="Times New Roman"/>
          <w:iCs/>
          <w:color w:val="211D1E"/>
          <w:sz w:val="24"/>
          <w:szCs w:val="24"/>
        </w:rPr>
        <w:t xml:space="preserve">Plasmodium falciparum </w:t>
      </w:r>
      <w:r w:rsidRPr="000F793F">
        <w:rPr>
          <w:rFonts w:ascii="Times New Roman" w:hAnsi="Times New Roman"/>
          <w:color w:val="211D1E"/>
          <w:sz w:val="24"/>
          <w:szCs w:val="24"/>
        </w:rPr>
        <w:t>(P.f.) and a pan-malarial ant</w:t>
      </w:r>
      <w:r w:rsidR="001574CB">
        <w:rPr>
          <w:rFonts w:ascii="Times New Roman" w:hAnsi="Times New Roman"/>
          <w:color w:val="211D1E"/>
          <w:sz w:val="24"/>
          <w:szCs w:val="24"/>
        </w:rPr>
        <w:t>igen (Aldolase)</w:t>
      </w:r>
      <w:r w:rsidRPr="000F793F">
        <w:rPr>
          <w:rFonts w:ascii="Times New Roman" w:hAnsi="Times New Roman"/>
          <w:color w:val="211D1E"/>
          <w:sz w:val="24"/>
          <w:szCs w:val="24"/>
        </w:rPr>
        <w:t xml:space="preserve"> common to all four malaria species capable of infecting humans - </w:t>
      </w:r>
      <w:r w:rsidRPr="000F793F">
        <w:rPr>
          <w:rFonts w:ascii="Times New Roman" w:hAnsi="Times New Roman"/>
          <w:iCs/>
          <w:color w:val="211D1E"/>
          <w:sz w:val="24"/>
          <w:szCs w:val="24"/>
        </w:rPr>
        <w:t>P. falciparum</w:t>
      </w:r>
      <w:r w:rsidRPr="000F793F">
        <w:rPr>
          <w:rFonts w:ascii="Times New Roman" w:hAnsi="Times New Roman"/>
          <w:color w:val="211D1E"/>
          <w:sz w:val="24"/>
          <w:szCs w:val="24"/>
        </w:rPr>
        <w:t xml:space="preserve">, </w:t>
      </w:r>
      <w:r w:rsidRPr="000F793F">
        <w:rPr>
          <w:rFonts w:ascii="Times New Roman" w:hAnsi="Times New Roman"/>
          <w:iCs/>
          <w:color w:val="211D1E"/>
          <w:sz w:val="24"/>
          <w:szCs w:val="24"/>
        </w:rPr>
        <w:t xml:space="preserve">P. vivax </w:t>
      </w:r>
      <w:r w:rsidRPr="000F793F">
        <w:rPr>
          <w:rFonts w:ascii="Times New Roman" w:hAnsi="Times New Roman"/>
          <w:color w:val="211D1E"/>
          <w:sz w:val="24"/>
          <w:szCs w:val="24"/>
        </w:rPr>
        <w:t xml:space="preserve">(P.v.), </w:t>
      </w:r>
      <w:r w:rsidRPr="000F793F">
        <w:rPr>
          <w:rFonts w:ascii="Times New Roman" w:hAnsi="Times New Roman"/>
          <w:iCs/>
          <w:color w:val="211D1E"/>
          <w:sz w:val="24"/>
          <w:szCs w:val="24"/>
        </w:rPr>
        <w:t xml:space="preserve">P. ovale </w:t>
      </w:r>
      <w:r w:rsidRPr="000F793F">
        <w:rPr>
          <w:rFonts w:ascii="Times New Roman" w:hAnsi="Times New Roman"/>
          <w:color w:val="211D1E"/>
          <w:sz w:val="24"/>
          <w:szCs w:val="24"/>
        </w:rPr>
        <w:t xml:space="preserve">(P.o.), and </w:t>
      </w:r>
      <w:r w:rsidRPr="000F793F">
        <w:rPr>
          <w:rFonts w:ascii="Times New Roman" w:hAnsi="Times New Roman"/>
          <w:iCs/>
          <w:color w:val="211D1E"/>
          <w:sz w:val="24"/>
          <w:szCs w:val="24"/>
        </w:rPr>
        <w:t xml:space="preserve">P. malariae </w:t>
      </w:r>
      <w:r w:rsidRPr="000F793F">
        <w:rPr>
          <w:rFonts w:ascii="Times New Roman" w:hAnsi="Times New Roman"/>
          <w:color w:val="211D1E"/>
          <w:sz w:val="24"/>
          <w:szCs w:val="24"/>
        </w:rPr>
        <w:t xml:space="preserve">(P.m.). Negative results </w:t>
      </w:r>
      <w:r w:rsidR="001574CB">
        <w:rPr>
          <w:rFonts w:ascii="Times New Roman" w:hAnsi="Times New Roman"/>
          <w:color w:val="211D1E"/>
          <w:sz w:val="24"/>
          <w:szCs w:val="24"/>
        </w:rPr>
        <w:t>should be</w:t>
      </w:r>
      <w:r w:rsidRPr="000F793F">
        <w:rPr>
          <w:rFonts w:ascii="Times New Roman" w:hAnsi="Times New Roman"/>
          <w:color w:val="211D1E"/>
          <w:sz w:val="24"/>
          <w:szCs w:val="24"/>
        </w:rPr>
        <w:t xml:space="preserve"> be confirmed b</w:t>
      </w:r>
      <w:r w:rsidR="001574CB">
        <w:rPr>
          <w:rFonts w:ascii="Times New Roman" w:hAnsi="Times New Roman"/>
          <w:color w:val="211D1E"/>
          <w:sz w:val="24"/>
          <w:szCs w:val="24"/>
        </w:rPr>
        <w:t>y thin / thick smear microscopy</w:t>
      </w:r>
      <w:r w:rsidRPr="000F793F">
        <w:rPr>
          <w:rFonts w:ascii="Times New Roman" w:hAnsi="Times New Roman"/>
          <w:color w:val="211D1E"/>
          <w:sz w:val="24"/>
          <w:szCs w:val="24"/>
        </w:rPr>
        <w:t xml:space="preserve"> </w:t>
      </w:r>
      <w:r w:rsidR="001574CB">
        <w:rPr>
          <w:rFonts w:ascii="Times New Roman" w:hAnsi="Times New Roman"/>
          <w:color w:val="211D1E"/>
          <w:sz w:val="24"/>
          <w:szCs w:val="24"/>
        </w:rPr>
        <w:t>or repeat RDT.</w:t>
      </w:r>
    </w:p>
    <w:p w:rsidR="000F793F" w:rsidRPr="000F793F" w:rsidRDefault="000F793F" w:rsidP="000F793F">
      <w:pPr>
        <w:pStyle w:val="ListParagraph"/>
        <w:autoSpaceDE w:val="0"/>
        <w:autoSpaceDN w:val="0"/>
        <w:adjustRightInd w:val="0"/>
        <w:spacing w:line="141" w:lineRule="atLeast"/>
        <w:ind w:left="360"/>
        <w:jc w:val="both"/>
        <w:rPr>
          <w:rFonts w:ascii="Times New Roman" w:hAnsi="Times New Roman"/>
          <w:color w:val="211D1E"/>
          <w:sz w:val="24"/>
          <w:szCs w:val="24"/>
        </w:rPr>
      </w:pPr>
    </w:p>
    <w:p w:rsidR="00686223" w:rsidRPr="00F96B47" w:rsidRDefault="00FC027B" w:rsidP="000E5A18">
      <w:pPr>
        <w:pStyle w:val="BodyText"/>
        <w:rPr>
          <w:b/>
          <w:sz w:val="28"/>
          <w:szCs w:val="28"/>
        </w:rPr>
      </w:pPr>
      <w:r w:rsidRPr="00F96B47">
        <w:rPr>
          <w:b/>
          <w:sz w:val="28"/>
          <w:szCs w:val="28"/>
        </w:rPr>
        <w:t>PRINCIPLE</w:t>
      </w:r>
    </w:p>
    <w:p w:rsidR="00FC027B" w:rsidRPr="00FC027B" w:rsidRDefault="00FC027B" w:rsidP="00FC027B">
      <w:pPr>
        <w:pStyle w:val="Headline"/>
        <w:tabs>
          <w:tab w:val="left" w:pos="360"/>
        </w:tabs>
        <w:ind w:left="360"/>
        <w:jc w:val="both"/>
        <w:rPr>
          <w:rFonts w:ascii="Times New Roman" w:hAnsi="Times New Roman"/>
          <w:spacing w:val="-4"/>
          <w:sz w:val="24"/>
          <w:szCs w:val="24"/>
        </w:rPr>
      </w:pPr>
      <w:r>
        <w:rPr>
          <w:rFonts w:ascii="Times New Roman" w:hAnsi="Times New Roman"/>
          <w:spacing w:val="-4"/>
          <w:sz w:val="24"/>
          <w:szCs w:val="24"/>
        </w:rPr>
        <w:t xml:space="preserve">The BinaxNOW Malaria Test </w:t>
      </w:r>
      <w:r w:rsidRPr="00FC027B">
        <w:rPr>
          <w:rFonts w:ascii="Times New Roman" w:hAnsi="Times New Roman"/>
          <w:spacing w:val="-4"/>
          <w:sz w:val="24"/>
          <w:szCs w:val="24"/>
        </w:rPr>
        <w:t xml:space="preserve">uses monoclonal antibodies to detect </w:t>
      </w:r>
      <w:r w:rsidRPr="00FC027B">
        <w:rPr>
          <w:rFonts w:ascii="Times New Roman" w:hAnsi="Times New Roman"/>
          <w:i/>
          <w:iCs/>
          <w:spacing w:val="-4"/>
          <w:sz w:val="24"/>
          <w:szCs w:val="24"/>
        </w:rPr>
        <w:t xml:space="preserve">Plasmodium falciparum </w:t>
      </w:r>
      <w:r w:rsidRPr="00FC027B">
        <w:rPr>
          <w:rFonts w:ascii="Times New Roman" w:hAnsi="Times New Roman"/>
          <w:spacing w:val="-4"/>
          <w:sz w:val="24"/>
          <w:szCs w:val="24"/>
        </w:rPr>
        <w:t>antigen and pan-malarial antigen in venous and capillary whole blood specimens. These antibodies</w:t>
      </w:r>
      <w:r>
        <w:rPr>
          <w:rFonts w:ascii="Times New Roman" w:hAnsi="Times New Roman"/>
          <w:spacing w:val="-4"/>
          <w:sz w:val="24"/>
          <w:szCs w:val="24"/>
        </w:rPr>
        <w:t xml:space="preserve"> </w:t>
      </w:r>
      <w:r w:rsidRPr="00FC027B">
        <w:rPr>
          <w:rFonts w:ascii="Times New Roman" w:hAnsi="Times New Roman"/>
          <w:spacing w:val="-4"/>
          <w:sz w:val="24"/>
          <w:szCs w:val="24"/>
        </w:rPr>
        <w:t>are immobilized on a membrane support as three distinct lines and</w:t>
      </w:r>
      <w:r>
        <w:rPr>
          <w:rFonts w:ascii="Times New Roman" w:hAnsi="Times New Roman"/>
          <w:spacing w:val="-4"/>
          <w:sz w:val="24"/>
          <w:szCs w:val="24"/>
        </w:rPr>
        <w:t xml:space="preserve"> are combined with a sample pad</w:t>
      </w:r>
      <w:r w:rsidRPr="00FC027B">
        <w:rPr>
          <w:rFonts w:ascii="Times New Roman" w:hAnsi="Times New Roman"/>
          <w:spacing w:val="-4"/>
          <w:sz w:val="24"/>
          <w:szCs w:val="24"/>
        </w:rPr>
        <w:t xml:space="preserve"> impregnated with visualizing particles conjugated to control and anti-malaria antibodies to create a test strip.  This test strip is mounted in a book-shaped, hinged test device, along with wash and absorbent pads, intended to aid in the clearing of the membrane when the device is closed.</w:t>
      </w:r>
    </w:p>
    <w:p w:rsidR="00FC027B" w:rsidRPr="00FC027B" w:rsidRDefault="00FC027B" w:rsidP="00FC027B">
      <w:pPr>
        <w:pStyle w:val="Headline"/>
        <w:tabs>
          <w:tab w:val="left" w:pos="360"/>
        </w:tabs>
        <w:ind w:left="360"/>
        <w:jc w:val="both"/>
        <w:rPr>
          <w:rFonts w:ascii="Times New Roman" w:hAnsi="Times New Roman"/>
          <w:spacing w:val="-4"/>
          <w:sz w:val="24"/>
          <w:szCs w:val="24"/>
        </w:rPr>
      </w:pPr>
      <w:r w:rsidRPr="00FC027B">
        <w:rPr>
          <w:rFonts w:ascii="Times New Roman" w:hAnsi="Times New Roman"/>
          <w:spacing w:val="-4"/>
          <w:sz w:val="24"/>
          <w:szCs w:val="24"/>
        </w:rPr>
        <w:t>To perform the test, whole blood is applied to the sample pad.  Malarial antigen present in the sample reacts to bind the anti-malaria conjugated antibody.  Reagent A is added to the bottom of the test strip and allows the antigen-conjugate complexes to migrate along the test strip, where they are captured by the immobilized antibodies, forming the Test Line(s).  Immobilized control antibody captures control conjugate, forming the Control Line.  Once the blood sample has migrated the length of the test strip, the device is closed, allowing Reagent A that has been added to the wash pad to clear the test strip of excess blood.</w:t>
      </w:r>
    </w:p>
    <w:p w:rsidR="00781BC3" w:rsidRPr="002D3EE3" w:rsidRDefault="00FC027B" w:rsidP="002D3EE3">
      <w:pPr>
        <w:pStyle w:val="Headline"/>
        <w:tabs>
          <w:tab w:val="left" w:pos="360"/>
        </w:tabs>
        <w:ind w:left="360"/>
        <w:jc w:val="both"/>
        <w:rPr>
          <w:rFonts w:ascii="Times New Roman" w:hAnsi="Times New Roman"/>
          <w:spacing w:val="-4"/>
          <w:sz w:val="24"/>
          <w:szCs w:val="24"/>
        </w:rPr>
      </w:pPr>
      <w:r w:rsidRPr="00FC027B">
        <w:rPr>
          <w:rFonts w:ascii="Times New Roman" w:hAnsi="Times New Roman"/>
          <w:spacing w:val="-4"/>
          <w:sz w:val="24"/>
          <w:szCs w:val="24"/>
        </w:rPr>
        <w:t>Test results are interpreted by the presence or absence of visually detectable pink-to-purple colored lines.  A positive test result, read in 15 minutes, will include the detection of</w:t>
      </w:r>
      <w:r w:rsidR="007D2F44">
        <w:rPr>
          <w:rFonts w:ascii="Times New Roman" w:hAnsi="Times New Roman"/>
          <w:spacing w:val="-4"/>
          <w:sz w:val="24"/>
          <w:szCs w:val="24"/>
        </w:rPr>
        <w:t xml:space="preserve"> </w:t>
      </w:r>
      <w:r w:rsidRPr="00FC027B">
        <w:rPr>
          <w:rFonts w:ascii="Times New Roman" w:hAnsi="Times New Roman"/>
          <w:spacing w:val="-4"/>
          <w:sz w:val="24"/>
          <w:szCs w:val="24"/>
        </w:rPr>
        <w:t xml:space="preserve"> both a Test Line (or Test Lines) and a Control Line.  A negative test result, read in 15 minutes, will produce only a Control Line, indicating that malarial antigens were not detected in the sample.  </w:t>
      </w:r>
      <w:r>
        <w:rPr>
          <w:rFonts w:ascii="Times New Roman" w:hAnsi="Times New Roman"/>
          <w:spacing w:val="-4"/>
          <w:sz w:val="24"/>
          <w:szCs w:val="24"/>
        </w:rPr>
        <w:t>A f</w:t>
      </w:r>
      <w:r w:rsidRPr="00FC027B">
        <w:rPr>
          <w:rFonts w:ascii="Times New Roman" w:hAnsi="Times New Roman"/>
          <w:spacing w:val="-4"/>
          <w:sz w:val="24"/>
          <w:szCs w:val="24"/>
        </w:rPr>
        <w:t xml:space="preserve">ailure of the Control Line </w:t>
      </w:r>
      <w:r w:rsidR="00781BC3">
        <w:rPr>
          <w:rFonts w:ascii="Times New Roman" w:hAnsi="Times New Roman"/>
          <w:spacing w:val="-4"/>
          <w:sz w:val="24"/>
          <w:szCs w:val="24"/>
        </w:rPr>
        <w:t>in</w:t>
      </w:r>
      <w:r w:rsidRPr="00FC027B">
        <w:rPr>
          <w:rFonts w:ascii="Times New Roman" w:hAnsi="Times New Roman"/>
          <w:spacing w:val="-4"/>
          <w:sz w:val="24"/>
          <w:szCs w:val="24"/>
        </w:rPr>
        <w:t xml:space="preserve"> appear</w:t>
      </w:r>
      <w:r w:rsidR="00781BC3">
        <w:rPr>
          <w:rFonts w:ascii="Times New Roman" w:hAnsi="Times New Roman"/>
          <w:spacing w:val="-4"/>
          <w:sz w:val="24"/>
          <w:szCs w:val="24"/>
        </w:rPr>
        <w:t>ance</w:t>
      </w:r>
      <w:r w:rsidRPr="00FC027B">
        <w:rPr>
          <w:rFonts w:ascii="Times New Roman" w:hAnsi="Times New Roman"/>
          <w:spacing w:val="-4"/>
          <w:sz w:val="24"/>
          <w:szCs w:val="24"/>
        </w:rPr>
        <w:t xml:space="preserve">, whether the Test Line(s) is present or not, indicates an invalid result.  </w:t>
      </w:r>
    </w:p>
    <w:p w:rsidR="000E5A18" w:rsidRPr="00F96B47" w:rsidRDefault="000F793F" w:rsidP="00E440A0">
      <w:pPr>
        <w:pStyle w:val="SectionHeader"/>
        <w:rPr>
          <w:b/>
          <w:szCs w:val="28"/>
        </w:rPr>
      </w:pPr>
      <w:r w:rsidRPr="00F96B47">
        <w:rPr>
          <w:b/>
          <w:szCs w:val="28"/>
        </w:rPr>
        <w:t>SAMPLE</w:t>
      </w:r>
    </w:p>
    <w:p w:rsidR="000F793F" w:rsidRPr="00860A7D" w:rsidRDefault="00781BC3" w:rsidP="002D3EE3">
      <w:pPr>
        <w:pStyle w:val="Heading1"/>
      </w:pPr>
      <w:r w:rsidRPr="00860A7D">
        <w:t>EDTA Whole Blood specimen from fingerstick or venipuncture collection is the only acceptable specimen.</w:t>
      </w:r>
    </w:p>
    <w:p w:rsidR="00781BC3" w:rsidRDefault="00781BC3" w:rsidP="009916E3">
      <w:pPr>
        <w:pStyle w:val="Heading2"/>
      </w:pPr>
      <w:r w:rsidRPr="005055DF">
        <w:rPr>
          <w:b/>
        </w:rPr>
        <w:t>Venous Whole Blood</w:t>
      </w:r>
      <w:r w:rsidRPr="00781BC3">
        <w:t>:</w:t>
      </w:r>
      <w:r w:rsidRPr="00781BC3">
        <w:rPr>
          <w:b/>
        </w:rPr>
        <w:t xml:space="preserve">  </w:t>
      </w:r>
      <w:r w:rsidRPr="00781BC3">
        <w:t>Collect by standard venipuncture procedure using an EDTA blood collection container.</w:t>
      </w:r>
    </w:p>
    <w:p w:rsidR="005055DF" w:rsidRPr="005055DF" w:rsidRDefault="005055DF" w:rsidP="008C2E3A">
      <w:pPr>
        <w:pStyle w:val="Heading3"/>
      </w:pPr>
      <w:r w:rsidRPr="005055DF">
        <w:t xml:space="preserve">Test samples as soon as possible.  If the test cannot be performed </w:t>
      </w:r>
      <w:r w:rsidRPr="005055DF">
        <w:lastRenderedPageBreak/>
        <w:t>immediately, the blood sample may be stored up to 3 days at 2°-30°C.  Before testing, ensure samples are at room temperature.</w:t>
      </w:r>
    </w:p>
    <w:p w:rsidR="00781BC3" w:rsidRDefault="00781BC3" w:rsidP="009916E3">
      <w:pPr>
        <w:pStyle w:val="Heading2"/>
      </w:pPr>
      <w:r w:rsidRPr="005055DF">
        <w:rPr>
          <w:b/>
        </w:rPr>
        <w:t>Capillary sample</w:t>
      </w:r>
      <w:r w:rsidRPr="00781BC3">
        <w:t xml:space="preserve">:  Cleanse area with a sterile wipe or pad and dry.  Use a lancet to puncture the skin and collect the blood directly into the EDTA capillary tube provided in the test kit.  Fill the entire capillary tube. </w:t>
      </w:r>
      <w:r>
        <w:t>Testing must be performed immediately on this sample so transport to lab after collection is not acceptable.</w:t>
      </w:r>
    </w:p>
    <w:p w:rsidR="00F96B47" w:rsidRPr="00F96B47" w:rsidRDefault="00F96B47" w:rsidP="00F96B47"/>
    <w:p w:rsidR="005055DF" w:rsidRPr="00F96B47" w:rsidRDefault="005055DF" w:rsidP="005055DF">
      <w:pPr>
        <w:rPr>
          <w:b/>
          <w:sz w:val="28"/>
          <w:szCs w:val="28"/>
        </w:rPr>
      </w:pPr>
      <w:r w:rsidRPr="00F96B47">
        <w:rPr>
          <w:b/>
          <w:sz w:val="28"/>
          <w:szCs w:val="28"/>
        </w:rPr>
        <w:t>MATERIALS</w:t>
      </w:r>
    </w:p>
    <w:p w:rsidR="005055DF" w:rsidRPr="008C2E3A" w:rsidRDefault="005055DF" w:rsidP="002D3EE3">
      <w:pPr>
        <w:pStyle w:val="Heading1"/>
        <w:numPr>
          <w:ilvl w:val="0"/>
          <w:numId w:val="10"/>
        </w:numPr>
      </w:pPr>
      <w:r w:rsidRPr="008C2E3A">
        <w:t>BinaxNOW® Malaria RDT Kit (PN 665-000)</w:t>
      </w:r>
      <w:r w:rsidR="008C2E3A" w:rsidRPr="008C2E3A">
        <w:t xml:space="preserve">: Store the BinaxNOW Malaria Test kit at </w:t>
      </w:r>
      <w:r w:rsidR="008C2E3A">
        <w:tab/>
      </w:r>
      <w:r w:rsidR="008C2E3A" w:rsidRPr="008C2E3A">
        <w:t xml:space="preserve">2-37°C.  The BinaxNOW Malaria Test and reagents are stable until the expiration dates </w:t>
      </w:r>
      <w:r w:rsidR="008C2E3A">
        <w:tab/>
      </w:r>
      <w:r w:rsidR="008C2E3A" w:rsidRPr="008C2E3A">
        <w:t>marked on their outer packaging and containers when stored as specified.</w:t>
      </w:r>
      <w:r w:rsidR="008C2E3A">
        <w:t xml:space="preserve"> They contain:</w:t>
      </w:r>
    </w:p>
    <w:p w:rsidR="00163BFB" w:rsidRDefault="00163BFB" w:rsidP="004B2442">
      <w:pPr>
        <w:pStyle w:val="Heading2"/>
        <w:numPr>
          <w:ilvl w:val="0"/>
          <w:numId w:val="9"/>
        </w:numPr>
      </w:pPr>
      <w:r>
        <w:t xml:space="preserve">Test devices are a cardboard, book shaped, hinged test device containing the test </w:t>
      </w:r>
      <w:r>
        <w:tab/>
        <w:t>strip and several wash pads. Open pouch immediately prior to testing.</w:t>
      </w:r>
    </w:p>
    <w:p w:rsidR="00163BFB" w:rsidRPr="00163BFB" w:rsidRDefault="00163BFB" w:rsidP="009916E3">
      <w:pPr>
        <w:pStyle w:val="Heading2"/>
      </w:pPr>
      <w:r>
        <w:t>Bottle Reagent A: a tris buffer containing detergent and sodium azide.</w:t>
      </w:r>
    </w:p>
    <w:p w:rsidR="005055DF" w:rsidRPr="00860A7D" w:rsidRDefault="005055DF" w:rsidP="002D3EE3">
      <w:pPr>
        <w:pStyle w:val="Heading1"/>
      </w:pPr>
      <w:r w:rsidRPr="00860A7D">
        <w:t>BinaxNOW® Malaria Positive Control Kit (PN 665-010)</w:t>
      </w:r>
      <w:r w:rsidR="009C3DD3" w:rsidRPr="00860A7D">
        <w:t xml:space="preserve">:  lyophilized recombinant </w:t>
      </w:r>
      <w:r w:rsidR="009C3DD3" w:rsidRPr="00860A7D">
        <w:tab/>
        <w:t xml:space="preserve">antigen control containing a mixture of HRP II and a pan-malarial protein (Aldolase) in a </w:t>
      </w:r>
      <w:r w:rsidR="009C3DD3" w:rsidRPr="00860A7D">
        <w:tab/>
        <w:t xml:space="preserve">protein buffer with stabilizers and sodium azide as a preservative. </w:t>
      </w:r>
    </w:p>
    <w:p w:rsidR="009C3DD3" w:rsidRDefault="00803F2A" w:rsidP="004B2442">
      <w:pPr>
        <w:pStyle w:val="Heading2"/>
        <w:numPr>
          <w:ilvl w:val="0"/>
          <w:numId w:val="6"/>
        </w:numPr>
      </w:pPr>
      <w:r>
        <w:t>Reconstitute lyophilized control with 500ul deionized water.</w:t>
      </w:r>
    </w:p>
    <w:p w:rsidR="00803F2A" w:rsidRDefault="00803F2A" w:rsidP="009916E3">
      <w:pPr>
        <w:pStyle w:val="Heading2"/>
      </w:pPr>
      <w:r>
        <w:t>Ensure complete dissolution of product, then vortex to ensure complete mixing.</w:t>
      </w:r>
    </w:p>
    <w:p w:rsidR="00860A7D" w:rsidRDefault="00860A7D" w:rsidP="009916E3">
      <w:pPr>
        <w:pStyle w:val="Heading2"/>
      </w:pPr>
      <w:r>
        <w:t xml:space="preserve">Aliquot the </w:t>
      </w:r>
      <w:r w:rsidR="00176C74">
        <w:t xml:space="preserve">reconstituted control immediately into the provided cryovials by </w:t>
      </w:r>
      <w:r w:rsidR="008C2E3A">
        <w:tab/>
      </w:r>
      <w:r w:rsidR="00176C74">
        <w:t xml:space="preserve">adding 25ul into each of the vials provided.  Freeze the aliquots at </w:t>
      </w:r>
      <w:r w:rsidR="00176C74" w:rsidRPr="00176C74">
        <w:rPr>
          <w:u w:val="single"/>
        </w:rPr>
        <w:t>&lt;</w:t>
      </w:r>
      <w:r w:rsidR="00176C74">
        <w:rPr>
          <w:u w:val="single"/>
        </w:rPr>
        <w:t xml:space="preserve"> </w:t>
      </w:r>
      <w:r w:rsidR="00176C74">
        <w:t>-20</w:t>
      </w:r>
      <w:r w:rsidR="00176C74" w:rsidRPr="00176C74">
        <w:rPr>
          <w:vertAlign w:val="superscript"/>
        </w:rPr>
        <w:t>o</w:t>
      </w:r>
      <w:r w:rsidR="00176C74">
        <w:t xml:space="preserve">C. </w:t>
      </w:r>
      <w:r w:rsidR="008C2E3A">
        <w:tab/>
      </w:r>
      <w:r w:rsidR="00176C74">
        <w:t xml:space="preserve">Frozen control is good for the number of months printed on the cardboard vial </w:t>
      </w:r>
      <w:r w:rsidR="008C2E3A">
        <w:tab/>
      </w:r>
      <w:r w:rsidR="00176C74">
        <w:t xml:space="preserve">holder if maintained at appropriate temperatures (Original lot stable for 18 </w:t>
      </w:r>
      <w:r w:rsidR="008C2E3A">
        <w:tab/>
      </w:r>
      <w:r w:rsidR="00176C74">
        <w:t xml:space="preserve">months). Do not refreeze reconstituted controls. </w:t>
      </w:r>
    </w:p>
    <w:p w:rsidR="00803F2A" w:rsidRPr="00860A7D" w:rsidRDefault="00176C74" w:rsidP="009916E3">
      <w:pPr>
        <w:pStyle w:val="Heading2"/>
      </w:pPr>
      <w:r>
        <w:t xml:space="preserve">Using the negative control EDTA sample add </w:t>
      </w:r>
      <w:r w:rsidR="000B575F">
        <w:t xml:space="preserve">approximately </w:t>
      </w:r>
      <w:r>
        <w:t>100ul</w:t>
      </w:r>
      <w:r w:rsidR="000B575F">
        <w:t xml:space="preserve"> (2 drops with </w:t>
      </w:r>
      <w:r w:rsidR="000B575F">
        <w:tab/>
        <w:t>a plastic transfer pipette</w:t>
      </w:r>
      <w:r>
        <w:t xml:space="preserve"> of the EDTA blood to the positive control vial once </w:t>
      </w:r>
      <w:r w:rsidR="000B575F">
        <w:tab/>
      </w:r>
      <w:r>
        <w:t xml:space="preserve">thawed.  Vortex prior to using to assure proper mixing.  </w:t>
      </w:r>
    </w:p>
    <w:p w:rsidR="005055DF" w:rsidRPr="00860A7D" w:rsidRDefault="009C3DD3" w:rsidP="002D3EE3">
      <w:pPr>
        <w:pStyle w:val="Heading1"/>
      </w:pPr>
      <w:r w:rsidRPr="00860A7D">
        <w:t xml:space="preserve">Negative Control: A presumed malarial negative EDTA sample less than 3 days old is </w:t>
      </w:r>
      <w:r w:rsidRPr="00860A7D">
        <w:tab/>
        <w:t>used as a negative control.</w:t>
      </w:r>
    </w:p>
    <w:p w:rsidR="000B575F" w:rsidRDefault="000B575F" w:rsidP="002D3EE3">
      <w:pPr>
        <w:pStyle w:val="Heading1"/>
      </w:pPr>
      <w:r>
        <w:lastRenderedPageBreak/>
        <w:t>Pipettes and tips capable of delivering 100 and 500 ul of sample.</w:t>
      </w:r>
    </w:p>
    <w:p w:rsidR="005055DF" w:rsidRPr="00860A7D" w:rsidRDefault="000B575F" w:rsidP="002D3EE3">
      <w:pPr>
        <w:pStyle w:val="Heading1"/>
      </w:pPr>
      <w:r>
        <w:t xml:space="preserve">Plastic Transfer pipettes </w:t>
      </w:r>
      <w:r w:rsidR="009C3DD3" w:rsidRPr="00860A7D">
        <w:t xml:space="preserve">capable of delivering </w:t>
      </w:r>
      <w:r>
        <w:t xml:space="preserve">approximately </w:t>
      </w:r>
      <w:r w:rsidR="009C3DD3" w:rsidRPr="00860A7D">
        <w:t xml:space="preserve">15ul </w:t>
      </w:r>
      <w:r>
        <w:t>and</w:t>
      </w:r>
      <w:r w:rsidR="009C3DD3" w:rsidRPr="00860A7D">
        <w:t xml:space="preserve"> </w:t>
      </w:r>
      <w:r>
        <w:t>1</w:t>
      </w:r>
      <w:r w:rsidR="009C3DD3" w:rsidRPr="00860A7D">
        <w:t xml:space="preserve">00ul of whole </w:t>
      </w:r>
      <w:r>
        <w:tab/>
      </w:r>
      <w:r w:rsidR="009C3DD3" w:rsidRPr="00860A7D">
        <w:t>blood</w:t>
      </w:r>
    </w:p>
    <w:p w:rsidR="00803F2A" w:rsidRPr="00860A7D" w:rsidRDefault="00803F2A" w:rsidP="002D3EE3">
      <w:pPr>
        <w:pStyle w:val="Heading1"/>
      </w:pPr>
      <w:r w:rsidRPr="00860A7D">
        <w:t>Deionized water</w:t>
      </w:r>
    </w:p>
    <w:p w:rsidR="00803F2A" w:rsidRDefault="00803F2A" w:rsidP="002D3EE3">
      <w:pPr>
        <w:pStyle w:val="Heading1"/>
      </w:pPr>
      <w:r w:rsidRPr="00860A7D">
        <w:t>Vortex</w:t>
      </w:r>
    </w:p>
    <w:p w:rsidR="00163BFB" w:rsidRPr="00163BFB" w:rsidRDefault="00163BFB" w:rsidP="002D3EE3">
      <w:pPr>
        <w:pStyle w:val="Heading1"/>
      </w:pPr>
      <w:r>
        <w:t>Timer</w:t>
      </w:r>
    </w:p>
    <w:p w:rsidR="00176C74" w:rsidRPr="00176C74" w:rsidRDefault="00176C74" w:rsidP="00176C74"/>
    <w:p w:rsidR="000F793F" w:rsidRPr="00F96B47" w:rsidRDefault="000F793F" w:rsidP="00E440A0">
      <w:pPr>
        <w:pStyle w:val="SectionHeader"/>
        <w:rPr>
          <w:b/>
          <w:szCs w:val="28"/>
        </w:rPr>
      </w:pPr>
      <w:r w:rsidRPr="00F96B47">
        <w:rPr>
          <w:b/>
          <w:szCs w:val="28"/>
        </w:rPr>
        <w:t>QUALITY CONTROL</w:t>
      </w:r>
    </w:p>
    <w:p w:rsidR="000F793F" w:rsidRDefault="00176C74" w:rsidP="002D3EE3">
      <w:pPr>
        <w:pStyle w:val="Heading1"/>
        <w:numPr>
          <w:ilvl w:val="0"/>
          <w:numId w:val="5"/>
        </w:numPr>
      </w:pPr>
      <w:r>
        <w:t xml:space="preserve">Positive and negative external controls should be performed to assure that each lot and </w:t>
      </w:r>
      <w:r w:rsidR="007C14FA">
        <w:tab/>
      </w:r>
      <w:r>
        <w:t>new shipment is performing as expected prior to patient use.</w:t>
      </w:r>
    </w:p>
    <w:p w:rsidR="007C14FA" w:rsidRDefault="007C14FA" w:rsidP="004B2442">
      <w:pPr>
        <w:pStyle w:val="Heading2"/>
        <w:numPr>
          <w:ilvl w:val="0"/>
          <w:numId w:val="7"/>
        </w:numPr>
      </w:pPr>
      <w:r>
        <w:t xml:space="preserve">Positive Control should generate </w:t>
      </w:r>
      <w:r w:rsidR="00163BFB">
        <w:t xml:space="preserve">pink to purple </w:t>
      </w:r>
      <w:r>
        <w:t>visib</w:t>
      </w:r>
      <w:r w:rsidR="00163BFB">
        <w:t>le lines (even if very faint) on</w:t>
      </w:r>
      <w:r>
        <w:t xml:space="preserve"> </w:t>
      </w:r>
      <w:r w:rsidR="00163BFB">
        <w:tab/>
      </w:r>
      <w:r>
        <w:t>the Control line and both the T1 and T2 lines.</w:t>
      </w:r>
    </w:p>
    <w:p w:rsidR="007C14FA" w:rsidRDefault="007C14FA" w:rsidP="009916E3">
      <w:pPr>
        <w:pStyle w:val="Heading2"/>
      </w:pPr>
      <w:r>
        <w:t xml:space="preserve">Negative control should generate a single </w:t>
      </w:r>
      <w:r w:rsidR="00163BFB">
        <w:t xml:space="preserve">pink to purple </w:t>
      </w:r>
      <w:r>
        <w:t xml:space="preserve">visible line on the C line </w:t>
      </w:r>
      <w:r w:rsidR="00163BFB">
        <w:tab/>
      </w:r>
      <w:r>
        <w:t>only.</w:t>
      </w:r>
    </w:p>
    <w:p w:rsidR="007C14FA" w:rsidRDefault="007C14FA" w:rsidP="002D3EE3">
      <w:pPr>
        <w:pStyle w:val="Heading1"/>
      </w:pPr>
      <w:r>
        <w:t xml:space="preserve">A procedural control line (C) is built into each run and must be positive on the </w:t>
      </w:r>
      <w:r>
        <w:tab/>
        <w:t>cassette for the testing to be valid.</w:t>
      </w:r>
      <w:r w:rsidR="00163BFB">
        <w:t xml:space="preserve">  If the C line does not appear the test is invalid even if </w:t>
      </w:r>
      <w:r w:rsidR="00163BFB">
        <w:tab/>
        <w:t xml:space="preserve">the other lines (T1 and T2) appear visible.  </w:t>
      </w:r>
    </w:p>
    <w:p w:rsidR="008C2E3A" w:rsidRPr="008C2E3A" w:rsidRDefault="008C2E3A" w:rsidP="004B2442">
      <w:pPr>
        <w:pStyle w:val="Heading2"/>
        <w:numPr>
          <w:ilvl w:val="0"/>
          <w:numId w:val="11"/>
        </w:numPr>
      </w:pPr>
      <w:r w:rsidRPr="008C2E3A">
        <w:t xml:space="preserve">For daily control, the manufacturer recommends that you record these controls for </w:t>
      </w:r>
      <w:r>
        <w:tab/>
      </w:r>
      <w:r w:rsidRPr="008C2E3A">
        <w:t>each test run.</w:t>
      </w:r>
    </w:p>
    <w:p w:rsidR="008C2E3A" w:rsidRPr="00163BFB" w:rsidRDefault="008C2E3A" w:rsidP="00163BFB"/>
    <w:p w:rsidR="00E440A0" w:rsidRDefault="00686223" w:rsidP="00E440A0">
      <w:pPr>
        <w:pStyle w:val="SectionHeader"/>
        <w:rPr>
          <w:b/>
          <w:szCs w:val="28"/>
        </w:rPr>
      </w:pPr>
      <w:r w:rsidRPr="00F96B47">
        <w:rPr>
          <w:b/>
          <w:szCs w:val="28"/>
        </w:rPr>
        <w:t>PROCEDURE</w:t>
      </w:r>
    </w:p>
    <w:p w:rsidR="00E440A0" w:rsidRDefault="00163BFB" w:rsidP="002D3EE3">
      <w:pPr>
        <w:pStyle w:val="Heading1"/>
        <w:numPr>
          <w:ilvl w:val="0"/>
          <w:numId w:val="8"/>
        </w:numPr>
      </w:pPr>
      <w:r>
        <w:t>Assure that all samples are warmed to room temperature prior to use.</w:t>
      </w:r>
    </w:p>
    <w:p w:rsidR="008C2E3A" w:rsidRDefault="008C2E3A" w:rsidP="004B2442">
      <w:pPr>
        <w:pStyle w:val="Heading2"/>
        <w:numPr>
          <w:ilvl w:val="0"/>
          <w:numId w:val="12"/>
        </w:numPr>
      </w:pPr>
      <w:r w:rsidRPr="008C2E3A">
        <w:t xml:space="preserve">If using a venous blood sample, prime the pipette tip by drawing up sample and </w:t>
      </w:r>
      <w:r w:rsidR="002D3EE3">
        <w:tab/>
      </w:r>
      <w:r w:rsidRPr="008C2E3A">
        <w:t xml:space="preserve">expelling it a couple of times.  Then </w:t>
      </w:r>
      <w:r w:rsidRPr="009916E3">
        <w:rPr>
          <w:b/>
        </w:rPr>
        <w:t>slowly</w:t>
      </w:r>
      <w:r w:rsidRPr="008C2E3A">
        <w:t xml:space="preserve"> add </w:t>
      </w:r>
      <w:r w:rsidR="000B575F">
        <w:t xml:space="preserve">approximately </w:t>
      </w:r>
      <w:r w:rsidRPr="008C2E3A">
        <w:t xml:space="preserve">15 μl of blood </w:t>
      </w:r>
      <w:r w:rsidR="000B575F">
        <w:tab/>
        <w:t xml:space="preserve">from a narrow bore transfer pipette </w:t>
      </w:r>
      <w:r w:rsidRPr="008C2E3A">
        <w:t xml:space="preserve">to the bottom half of the </w:t>
      </w:r>
      <w:r w:rsidRPr="009916E3">
        <w:rPr>
          <w:b/>
        </w:rPr>
        <w:t>PURPLE</w:t>
      </w:r>
      <w:r w:rsidRPr="008C2E3A">
        <w:t xml:space="preserve"> sample </w:t>
      </w:r>
      <w:r w:rsidR="000B575F">
        <w:tab/>
      </w:r>
      <w:r w:rsidRPr="008C2E3A">
        <w:t>pad.</w:t>
      </w:r>
    </w:p>
    <w:p w:rsidR="008C2E3A" w:rsidRDefault="008C2E3A" w:rsidP="009916E3">
      <w:pPr>
        <w:pStyle w:val="Heading2"/>
      </w:pPr>
      <w:r w:rsidRPr="008C2E3A">
        <w:t xml:space="preserve">There is a white pad immediately below the purple sample pad.  Hold the Reagent </w:t>
      </w:r>
      <w:r>
        <w:tab/>
      </w:r>
      <w:r w:rsidRPr="008C2E3A">
        <w:t xml:space="preserve">A bottle vertically and add two (2) free-falling drops of Reagent A to this white </w:t>
      </w:r>
      <w:r>
        <w:tab/>
      </w:r>
      <w:r w:rsidRPr="008C2E3A">
        <w:t xml:space="preserve">pad.  Allow the first drop to absorb into the pad before adding the second drop.  </w:t>
      </w:r>
      <w:r>
        <w:tab/>
      </w:r>
      <w:r w:rsidRPr="008C2E3A">
        <w:t>Do not add Reagent A directly to the purple pad.</w:t>
      </w:r>
    </w:p>
    <w:p w:rsidR="008C2E3A" w:rsidRPr="008C2E3A" w:rsidRDefault="008C2E3A" w:rsidP="009916E3">
      <w:pPr>
        <w:pStyle w:val="Heading2"/>
      </w:pPr>
      <w:r w:rsidRPr="008C2E3A">
        <w:t xml:space="preserve">Allow the blood sample to run up the full length of the test strip.  </w:t>
      </w:r>
      <w:r w:rsidRPr="008C2E3A">
        <w:rPr>
          <w:b/>
        </w:rPr>
        <w:t>Do not</w:t>
      </w:r>
      <w:r w:rsidRPr="008C2E3A">
        <w:t xml:space="preserve"> allow </w:t>
      </w:r>
      <w:r>
        <w:tab/>
      </w:r>
      <w:r w:rsidRPr="008C2E3A">
        <w:t xml:space="preserve">the blood to run into or under the absorbent pad at the top of the strip, as doing so </w:t>
      </w:r>
      <w:r>
        <w:tab/>
      </w:r>
      <w:r w:rsidRPr="008C2E3A">
        <w:t>will hinder optimal washing (clearance) of the test strip.</w:t>
      </w:r>
    </w:p>
    <w:p w:rsidR="008C2E3A" w:rsidRPr="008C2E3A" w:rsidRDefault="008C2E3A" w:rsidP="004B2442">
      <w:pPr>
        <w:pStyle w:val="Heading3"/>
        <w:numPr>
          <w:ilvl w:val="0"/>
          <w:numId w:val="13"/>
        </w:numPr>
      </w:pPr>
      <w:r w:rsidRPr="008C2E3A">
        <w:t>Note: If blood flow up the test strip appears to stall or is less than halfway up the strip after one (1) minute, add one (1) additional drop of Reagent A to the white pad at the bottom of the test strip (below the sample pad where the blood was added).</w:t>
      </w:r>
    </w:p>
    <w:p w:rsidR="008C2E3A" w:rsidRPr="008C2E3A" w:rsidRDefault="008C2E3A" w:rsidP="009916E3">
      <w:pPr>
        <w:pStyle w:val="Heading2"/>
      </w:pPr>
      <w:r w:rsidRPr="008C2E3A">
        <w:t xml:space="preserve">Just before the blood sample reaches the base of the white absorbent pad located </w:t>
      </w:r>
      <w:r>
        <w:tab/>
      </w:r>
      <w:r w:rsidRPr="008C2E3A">
        <w:t xml:space="preserve">at the top of the test strip, </w:t>
      </w:r>
      <w:r w:rsidRPr="008C2E3A">
        <w:rPr>
          <w:b/>
        </w:rPr>
        <w:t>SLOWLY</w:t>
      </w:r>
      <w:r w:rsidRPr="008C2E3A">
        <w:t xml:space="preserve"> add four (4) free-falling drops of Reagent </w:t>
      </w:r>
      <w:r>
        <w:tab/>
      </w:r>
      <w:r w:rsidRPr="008C2E3A">
        <w:t xml:space="preserve">A to the wash pad on the top left-hand side of the test device, </w:t>
      </w:r>
      <w:r w:rsidRPr="008C2E3A">
        <w:rPr>
          <w:b/>
        </w:rPr>
        <w:t xml:space="preserve">allowing each drop </w:t>
      </w:r>
      <w:r w:rsidRPr="008C2E3A">
        <w:rPr>
          <w:b/>
        </w:rPr>
        <w:tab/>
        <w:t>to absorb into the pad before adding the next</w:t>
      </w:r>
      <w:r w:rsidRPr="008C2E3A">
        <w:t xml:space="preserve">. Note that the third and fourth </w:t>
      </w:r>
      <w:r>
        <w:tab/>
      </w:r>
      <w:r w:rsidRPr="008C2E3A">
        <w:t>drops may not completely absorb into the pad.</w:t>
      </w:r>
    </w:p>
    <w:p w:rsidR="008C2E3A" w:rsidRPr="008C2E3A" w:rsidRDefault="008C2E3A" w:rsidP="009916E3">
      <w:pPr>
        <w:pStyle w:val="Heading2"/>
      </w:pPr>
      <w:r w:rsidRPr="008C2E3A">
        <w:t xml:space="preserve">When the sample just reaches the base of the white absorbent pad at the top of the </w:t>
      </w:r>
      <w:r>
        <w:tab/>
      </w:r>
      <w:r w:rsidRPr="008C2E3A">
        <w:t xml:space="preserve">test strip, remove the adhesive liner from the right edge of the device, and close </w:t>
      </w:r>
      <w:r>
        <w:tab/>
      </w:r>
      <w:r w:rsidRPr="008C2E3A">
        <w:t>the device. This allows</w:t>
      </w:r>
      <w:r>
        <w:t xml:space="preserve"> </w:t>
      </w:r>
      <w:r w:rsidRPr="008C2E3A">
        <w:t xml:space="preserve">the Reagent A to wash (clear) the blood sample off the test </w:t>
      </w:r>
      <w:r w:rsidR="00294D5C">
        <w:tab/>
      </w:r>
      <w:r w:rsidRPr="008C2E3A">
        <w:t xml:space="preserve">strip. To ensure good device closure and test flow, press very firmly along the </w:t>
      </w:r>
      <w:r w:rsidR="00294D5C">
        <w:tab/>
      </w:r>
      <w:r w:rsidRPr="008C2E3A">
        <w:t>entire edge to the right of the result window</w:t>
      </w:r>
    </w:p>
    <w:p w:rsidR="00294D5C" w:rsidRPr="00294D5C" w:rsidRDefault="00294D5C" w:rsidP="009916E3">
      <w:pPr>
        <w:pStyle w:val="Heading2"/>
      </w:pPr>
      <w:r w:rsidRPr="00294D5C">
        <w:t xml:space="preserve">Read the test result through the viewing window 15 minutes </w:t>
      </w:r>
      <w:r w:rsidRPr="00294D5C">
        <w:rPr>
          <w:u w:val="single"/>
        </w:rPr>
        <w:t xml:space="preserve">after closing the test </w:t>
      </w:r>
      <w:r w:rsidRPr="00294D5C">
        <w:tab/>
      </w:r>
      <w:r w:rsidRPr="00294D5C">
        <w:rPr>
          <w:u w:val="single"/>
        </w:rPr>
        <w:t>device.</w:t>
      </w:r>
      <w:r w:rsidRPr="00294D5C">
        <w:t xml:space="preserve">  Results read before or after 15 minutes may be inaccurate.</w:t>
      </w:r>
    </w:p>
    <w:p w:rsidR="008C2E3A" w:rsidRPr="008C2E3A" w:rsidRDefault="008C2E3A" w:rsidP="008C2E3A"/>
    <w:p w:rsidR="001574CB" w:rsidRPr="00F96B47" w:rsidRDefault="00294D5C" w:rsidP="001574CB">
      <w:pPr>
        <w:rPr>
          <w:b/>
          <w:sz w:val="28"/>
          <w:szCs w:val="28"/>
        </w:rPr>
      </w:pPr>
      <w:r>
        <w:rPr>
          <w:b/>
          <w:sz w:val="28"/>
          <w:szCs w:val="28"/>
        </w:rPr>
        <w:t>INTERPRETATION OF RESULTS</w:t>
      </w:r>
      <w:r w:rsidR="001574CB" w:rsidRPr="00F96B47">
        <w:rPr>
          <w:b/>
          <w:sz w:val="28"/>
          <w:szCs w:val="28"/>
        </w:rPr>
        <w:t xml:space="preserve"> </w:t>
      </w:r>
    </w:p>
    <w:p w:rsidR="00294D5C" w:rsidRPr="00294D5C" w:rsidRDefault="00294D5C" w:rsidP="002D3EE3">
      <w:pPr>
        <w:pStyle w:val="Heading1"/>
        <w:numPr>
          <w:ilvl w:val="0"/>
          <w:numId w:val="22"/>
        </w:numPr>
      </w:pPr>
      <w:r w:rsidRPr="00294D5C">
        <w:t>Valid Test Results</w:t>
      </w:r>
      <w:r>
        <w:t xml:space="preserve">: </w:t>
      </w:r>
      <w:r w:rsidRPr="00294D5C">
        <w:t xml:space="preserve">The Control line (C) will appear on all valid tests and, when it is </w:t>
      </w:r>
      <w:r>
        <w:tab/>
      </w:r>
      <w:r w:rsidRPr="00294D5C">
        <w:t xml:space="preserve">present, test results are interpreted as follows.  Note that the appearance of any Test Line, </w:t>
      </w:r>
      <w:r>
        <w:tab/>
      </w:r>
      <w:r w:rsidRPr="00294D5C">
        <w:t>even when very faint, indicates a positive result.</w:t>
      </w:r>
      <w:r w:rsidR="002D3EE3">
        <w:t xml:space="preserve"> </w:t>
      </w:r>
      <w:r w:rsidR="002D3EE3" w:rsidRPr="00294D5C">
        <w:t xml:space="preserve">The test is uninterpretable if the </w:t>
      </w:r>
      <w:r w:rsidR="002D3EE3">
        <w:tab/>
      </w:r>
      <w:r w:rsidR="002D3EE3" w:rsidRPr="00294D5C">
        <w:t xml:space="preserve">background color hinders reading of the test result at 15 minutes.  Invalid or </w:t>
      </w:r>
      <w:r w:rsidR="002D3EE3">
        <w:tab/>
      </w:r>
      <w:r w:rsidR="002D3EE3" w:rsidRPr="00294D5C">
        <w:t>uninterpretable tests can occur due to improper sample or Reagent A addition</w:t>
      </w:r>
      <w:r w:rsidR="002D3EE3">
        <w:t>.</w:t>
      </w:r>
      <w:r w:rsidR="002D3EE3" w:rsidRPr="00294D5C">
        <w:t xml:space="preserve"> </w:t>
      </w:r>
    </w:p>
    <w:p w:rsidR="00294D5C" w:rsidRPr="00294D5C" w:rsidRDefault="00294D5C" w:rsidP="002D3EE3">
      <w:pPr>
        <w:pStyle w:val="Heading1"/>
      </w:pPr>
      <w:r w:rsidRPr="00294D5C">
        <w:t xml:space="preserve">T1 POSITIVE:   Positive result for </w:t>
      </w:r>
      <w:r w:rsidRPr="00294D5C">
        <w:rPr>
          <w:i/>
        </w:rPr>
        <w:t>P. falciparum</w:t>
      </w:r>
      <w:r w:rsidRPr="00294D5C">
        <w:t xml:space="preserve"> (P.f).</w:t>
      </w:r>
    </w:p>
    <w:p w:rsidR="00294D5C" w:rsidRPr="002D3EE3" w:rsidRDefault="00294D5C" w:rsidP="002D3EE3">
      <w:pPr>
        <w:pStyle w:val="Heading1"/>
      </w:pPr>
      <w:r w:rsidRPr="00294D5C">
        <w:t xml:space="preserve">T2 POSITIVE:   Positive result for </w:t>
      </w:r>
      <w:r w:rsidRPr="00294D5C">
        <w:rPr>
          <w:i/>
        </w:rPr>
        <w:t>P. vivax</w:t>
      </w:r>
      <w:r w:rsidRPr="00294D5C">
        <w:t xml:space="preserve"> (P.v.) </w:t>
      </w:r>
      <w:r w:rsidRPr="00294D5C">
        <w:rPr>
          <w:u w:val="single"/>
        </w:rPr>
        <w:t>or</w:t>
      </w:r>
      <w:r w:rsidRPr="00294D5C">
        <w:t xml:space="preserve"> </w:t>
      </w:r>
      <w:r w:rsidRPr="00294D5C">
        <w:rPr>
          <w:i/>
        </w:rPr>
        <w:t>P. malariae</w:t>
      </w:r>
      <w:r w:rsidRPr="00294D5C">
        <w:t xml:space="preserve"> (P.m.) </w:t>
      </w:r>
      <w:r w:rsidRPr="00294D5C">
        <w:rPr>
          <w:u w:val="single"/>
        </w:rPr>
        <w:t>or</w:t>
      </w:r>
      <w:r w:rsidRPr="00294D5C">
        <w:t xml:space="preserve"> </w:t>
      </w:r>
      <w:r w:rsidRPr="00294D5C">
        <w:rPr>
          <w:i/>
        </w:rPr>
        <w:t>P. ovale</w:t>
      </w:r>
      <w:r w:rsidRPr="00294D5C">
        <w:t xml:space="preserve"> (P.o). </w:t>
      </w:r>
    </w:p>
    <w:p w:rsidR="00294D5C" w:rsidRPr="002D3EE3" w:rsidRDefault="00294D5C" w:rsidP="002D3EE3">
      <w:pPr>
        <w:pStyle w:val="Heading1"/>
      </w:pPr>
      <w:r w:rsidRPr="00294D5C">
        <w:t xml:space="preserve">T1 + T2 Positive:  Positive results for </w:t>
      </w:r>
      <w:r w:rsidRPr="00294D5C">
        <w:rPr>
          <w:i/>
        </w:rPr>
        <w:t>P. falciparum</w:t>
      </w:r>
      <w:r w:rsidRPr="00294D5C">
        <w:t xml:space="preserve"> (P.f.)</w:t>
      </w:r>
      <w:r w:rsidR="009E4211">
        <w:t xml:space="preserve">. </w:t>
      </w:r>
      <w:r w:rsidRPr="00294D5C">
        <w:t xml:space="preserve"> In some cases the appearance </w:t>
      </w:r>
      <w:r>
        <w:tab/>
      </w:r>
      <w:r w:rsidRPr="00294D5C">
        <w:t>of both the T1 and T2 Lines may indicate a mixed infection of P.f. with another species.</w:t>
      </w:r>
    </w:p>
    <w:p w:rsidR="00294D5C" w:rsidRPr="002D3EE3" w:rsidRDefault="00294D5C" w:rsidP="002D3EE3">
      <w:pPr>
        <w:pStyle w:val="Heading1"/>
      </w:pPr>
      <w:r w:rsidRPr="00294D5C">
        <w:t>No T1 or T2 Lines:  Negative result (no malaria antigens were detected).</w:t>
      </w:r>
    </w:p>
    <w:p w:rsidR="00294D5C" w:rsidRPr="002D3EE3" w:rsidRDefault="00294D5C" w:rsidP="002D3EE3">
      <w:pPr>
        <w:pStyle w:val="Heading1"/>
      </w:pPr>
      <w:r w:rsidRPr="00294D5C">
        <w:t xml:space="preserve">Invalid and/or Uninterpretable Test Results:  The test is invalid if the Control (C) Line </w:t>
      </w:r>
      <w:r>
        <w:tab/>
      </w:r>
      <w:r w:rsidRPr="00294D5C">
        <w:t>does not appear, whether a Test Line(s) is present or not.</w:t>
      </w:r>
    </w:p>
    <w:p w:rsidR="00294D5C" w:rsidRPr="00294D5C" w:rsidRDefault="00294D5C" w:rsidP="00294D5C"/>
    <w:p w:rsidR="00294D5C" w:rsidRDefault="00294D5C" w:rsidP="00294D5C">
      <w:pPr>
        <w:rPr>
          <w:b/>
          <w:sz w:val="28"/>
          <w:szCs w:val="28"/>
        </w:rPr>
      </w:pPr>
      <w:r>
        <w:rPr>
          <w:b/>
          <w:sz w:val="28"/>
          <w:szCs w:val="28"/>
        </w:rPr>
        <w:t>REPORTING RESULTS</w:t>
      </w:r>
    </w:p>
    <w:p w:rsidR="00BD60EE" w:rsidRPr="002D3EE3" w:rsidRDefault="00BD60EE" w:rsidP="002D3EE3">
      <w:pPr>
        <w:pStyle w:val="Heading1"/>
        <w:numPr>
          <w:ilvl w:val="0"/>
          <w:numId w:val="21"/>
        </w:numPr>
        <w:rPr>
          <w:rFonts w:ascii="Arial" w:hAnsi="Arial" w:cs="Arial"/>
          <w:sz w:val="20"/>
          <w:szCs w:val="20"/>
        </w:rPr>
      </w:pPr>
      <w:r w:rsidRPr="00BD60EE">
        <w:t xml:space="preserve">Those samples that test as negative should be </w:t>
      </w:r>
      <w:r>
        <w:t xml:space="preserve">reported as: </w:t>
      </w:r>
      <w:r w:rsidR="009E4211">
        <w:t>“</w:t>
      </w:r>
      <w:r w:rsidRPr="00BD60EE">
        <w:t xml:space="preserve">Presumptive negative for </w:t>
      </w:r>
      <w:r>
        <w:tab/>
      </w:r>
      <w:r w:rsidRPr="00BD60EE">
        <w:t xml:space="preserve">malaria antigens. Infection due to malaria cannot be ruled out.  Malaria antigen in the </w:t>
      </w:r>
      <w:r>
        <w:tab/>
      </w:r>
      <w:r w:rsidRPr="00BD60EE">
        <w:t xml:space="preserve">sample may be below </w:t>
      </w:r>
      <w:r>
        <w:tab/>
      </w:r>
      <w:r w:rsidRPr="00BD60EE">
        <w:t xml:space="preserve">the detection limit of the test. Negative results </w:t>
      </w:r>
      <w:r>
        <w:t>should</w:t>
      </w:r>
      <w:r w:rsidRPr="00BD60EE">
        <w:t xml:space="preserve"> be confirmed </w:t>
      </w:r>
      <w:r>
        <w:tab/>
        <w:t>by repeat testing if malarial infection is suspected</w:t>
      </w:r>
      <w:r w:rsidR="009E4211">
        <w:t>”</w:t>
      </w:r>
      <w:r>
        <w:t>.</w:t>
      </w:r>
    </w:p>
    <w:p w:rsidR="00294D5C" w:rsidRDefault="00CC753E" w:rsidP="002D3EE3">
      <w:pPr>
        <w:pStyle w:val="Heading1"/>
      </w:pPr>
      <w:r>
        <w:t xml:space="preserve">Those </w:t>
      </w:r>
      <w:r w:rsidR="009916E3">
        <w:t xml:space="preserve">samples that test as positive should be reported as follows depending on which test </w:t>
      </w:r>
      <w:r w:rsidR="009916E3">
        <w:tab/>
        <w:t>lines are positive:</w:t>
      </w:r>
    </w:p>
    <w:p w:rsidR="009916E3" w:rsidRPr="009916E3" w:rsidRDefault="009916E3" w:rsidP="004B2442">
      <w:pPr>
        <w:pStyle w:val="Heading2"/>
        <w:numPr>
          <w:ilvl w:val="0"/>
          <w:numId w:val="16"/>
        </w:numPr>
        <w:rPr>
          <w:rFonts w:cs="Times New Roman"/>
        </w:rPr>
      </w:pPr>
      <w:r w:rsidRPr="009916E3">
        <w:rPr>
          <w:rFonts w:cs="Times New Roman"/>
          <w:b/>
        </w:rPr>
        <w:t>T1 Positive</w:t>
      </w:r>
      <w:r w:rsidRPr="009916E3">
        <w:rPr>
          <w:rFonts w:cs="Times New Roman"/>
        </w:rPr>
        <w:t xml:space="preserve">: </w:t>
      </w:r>
      <w:r w:rsidR="002D3EE3">
        <w:rPr>
          <w:rFonts w:cs="Times New Roman"/>
        </w:rPr>
        <w:t xml:space="preserve">Result as Positive and in comments add </w:t>
      </w:r>
      <w:r w:rsidR="009E4211">
        <w:rPr>
          <w:rFonts w:cs="Times New Roman"/>
        </w:rPr>
        <w:t>“</w:t>
      </w:r>
      <w:r w:rsidRPr="009916E3">
        <w:rPr>
          <w:rFonts w:cs="Times New Roman"/>
        </w:rPr>
        <w:t xml:space="preserve">Positive for </w:t>
      </w:r>
      <w:r w:rsidRPr="009916E3">
        <w:rPr>
          <w:rFonts w:cs="Times New Roman"/>
          <w:i/>
        </w:rPr>
        <w:t>P. falciparum</w:t>
      </w:r>
      <w:r>
        <w:t xml:space="preserve"> </w:t>
      </w:r>
      <w:r w:rsidR="002D3EE3">
        <w:tab/>
      </w:r>
      <w:r>
        <w:t>protein anti</w:t>
      </w:r>
      <w:r w:rsidR="009E4211">
        <w:t xml:space="preserve">gens.  Sample will be reflexed </w:t>
      </w:r>
      <w:r>
        <w:t xml:space="preserve">to blood parasite screen where </w:t>
      </w:r>
      <w:r w:rsidR="002D3EE3">
        <w:tab/>
      </w:r>
      <w:r>
        <w:t xml:space="preserve">percent </w:t>
      </w:r>
      <w:r w:rsidR="002D3EE3">
        <w:tab/>
      </w:r>
      <w:r>
        <w:t>parasitemi</w:t>
      </w:r>
      <w:r w:rsidR="002D3EE3">
        <w:t xml:space="preserve">a and final speciation </w:t>
      </w:r>
      <w:r w:rsidR="009E4211">
        <w:t xml:space="preserve">will be </w:t>
      </w:r>
      <w:r>
        <w:t>determined</w:t>
      </w:r>
      <w:r w:rsidR="009E4211">
        <w:t>”</w:t>
      </w:r>
      <w:r>
        <w:t>.</w:t>
      </w:r>
    </w:p>
    <w:p w:rsidR="009916E3" w:rsidRPr="009916E3" w:rsidRDefault="009916E3" w:rsidP="004B2442">
      <w:pPr>
        <w:pStyle w:val="Heading2"/>
        <w:numPr>
          <w:ilvl w:val="0"/>
          <w:numId w:val="16"/>
        </w:numPr>
        <w:rPr>
          <w:rFonts w:cs="Times New Roman"/>
        </w:rPr>
      </w:pPr>
      <w:r w:rsidRPr="009916E3">
        <w:rPr>
          <w:b/>
        </w:rPr>
        <w:t>T2 Positive:</w:t>
      </w:r>
      <w:r w:rsidRPr="009916E3">
        <w:t xml:space="preserve"> </w:t>
      </w:r>
      <w:r w:rsidR="002D3EE3">
        <w:rPr>
          <w:rFonts w:cs="Times New Roman"/>
        </w:rPr>
        <w:t>Result as Positive and in comments add</w:t>
      </w:r>
      <w:r w:rsidR="002D3EE3" w:rsidRPr="009916E3">
        <w:rPr>
          <w:rFonts w:cs="Times New Roman"/>
        </w:rPr>
        <w:t xml:space="preserve"> </w:t>
      </w:r>
      <w:r w:rsidR="009E4211">
        <w:t>“</w:t>
      </w:r>
      <w:r w:rsidRPr="009916E3">
        <w:t xml:space="preserve">Positive for malaria protein </w:t>
      </w:r>
      <w:r w:rsidR="002D3EE3">
        <w:tab/>
      </w:r>
      <w:r w:rsidRPr="009916E3">
        <w:t xml:space="preserve">antigen, representing </w:t>
      </w:r>
      <w:r w:rsidRPr="009916E3">
        <w:rPr>
          <w:i/>
        </w:rPr>
        <w:t>P. vivax</w:t>
      </w:r>
      <w:r w:rsidRPr="009916E3">
        <w:t xml:space="preserve"> or </w:t>
      </w:r>
      <w:r w:rsidRPr="009916E3">
        <w:rPr>
          <w:i/>
        </w:rPr>
        <w:t>P.</w:t>
      </w:r>
      <w:r w:rsidRPr="009916E3">
        <w:t xml:space="preserve"> </w:t>
      </w:r>
      <w:r w:rsidRPr="009916E3">
        <w:rPr>
          <w:i/>
        </w:rPr>
        <w:t xml:space="preserve">malariae </w:t>
      </w:r>
      <w:r w:rsidRPr="009916E3">
        <w:t xml:space="preserve">or </w:t>
      </w:r>
      <w:r w:rsidRPr="009916E3">
        <w:rPr>
          <w:i/>
        </w:rPr>
        <w:t>P. ovale</w:t>
      </w:r>
      <w:r w:rsidRPr="009916E3">
        <w:t xml:space="preserve"> or a mix of these. </w:t>
      </w:r>
      <w:r>
        <w:t xml:space="preserve">Sample </w:t>
      </w:r>
      <w:r w:rsidR="002D3EE3">
        <w:tab/>
      </w:r>
      <w:r>
        <w:t xml:space="preserve">will be reflexed to blood parasite </w:t>
      </w:r>
      <w:r>
        <w:tab/>
        <w:t xml:space="preserve">screen where percent parasitemia and final </w:t>
      </w:r>
      <w:r w:rsidR="002D3EE3">
        <w:tab/>
      </w:r>
      <w:r>
        <w:t>speciation will be determined</w:t>
      </w:r>
      <w:r w:rsidR="009E4211">
        <w:t>”</w:t>
      </w:r>
      <w:r>
        <w:t>.</w:t>
      </w:r>
    </w:p>
    <w:p w:rsidR="009916E3" w:rsidRDefault="009916E3" w:rsidP="004B2442">
      <w:pPr>
        <w:pStyle w:val="Heading2"/>
        <w:numPr>
          <w:ilvl w:val="0"/>
          <w:numId w:val="16"/>
        </w:numPr>
        <w:rPr>
          <w:rFonts w:cs="Times New Roman"/>
        </w:rPr>
      </w:pPr>
      <w:r w:rsidRPr="009916E3">
        <w:rPr>
          <w:b/>
        </w:rPr>
        <w:t>T1 and T2 Positive:</w:t>
      </w:r>
      <w:r w:rsidRPr="009916E3">
        <w:t xml:space="preserve">  </w:t>
      </w:r>
      <w:r w:rsidR="002D3EE3">
        <w:rPr>
          <w:rFonts w:cs="Times New Roman"/>
        </w:rPr>
        <w:t xml:space="preserve">Result as Positive and in comments add </w:t>
      </w:r>
      <w:r w:rsidR="009E4211">
        <w:t>“</w:t>
      </w:r>
      <w:r w:rsidRPr="009916E3">
        <w:t xml:space="preserve">Positive for </w:t>
      </w:r>
      <w:r w:rsidRPr="009916E3">
        <w:rPr>
          <w:i/>
        </w:rPr>
        <w:t xml:space="preserve">P. </w:t>
      </w:r>
      <w:r w:rsidR="002D3EE3">
        <w:rPr>
          <w:i/>
        </w:rPr>
        <w:tab/>
      </w:r>
      <w:r w:rsidRPr="009916E3">
        <w:rPr>
          <w:i/>
        </w:rPr>
        <w:t xml:space="preserve">falciparum </w:t>
      </w:r>
      <w:r w:rsidRPr="009916E3">
        <w:t xml:space="preserve">protein antigen.  In </w:t>
      </w:r>
      <w:r>
        <w:t>rare</w:t>
      </w:r>
      <w:r w:rsidRPr="009916E3">
        <w:t xml:space="preserve"> cases this may represent a mix of </w:t>
      </w:r>
      <w:r w:rsidRPr="009916E3">
        <w:rPr>
          <w:i/>
        </w:rPr>
        <w:t xml:space="preserve">P. </w:t>
      </w:r>
      <w:r w:rsidR="002D3EE3">
        <w:rPr>
          <w:i/>
        </w:rPr>
        <w:tab/>
      </w:r>
      <w:r w:rsidRPr="009916E3">
        <w:rPr>
          <w:i/>
        </w:rPr>
        <w:t>falciparum</w:t>
      </w:r>
      <w:r w:rsidRPr="009916E3">
        <w:t xml:space="preserve"> antigen with </w:t>
      </w:r>
      <w:r w:rsidRPr="009916E3">
        <w:rPr>
          <w:i/>
        </w:rPr>
        <w:t>P. vivax,</w:t>
      </w:r>
      <w:r w:rsidRPr="009916E3">
        <w:t xml:space="preserve"> </w:t>
      </w:r>
      <w:r w:rsidRPr="009916E3">
        <w:rPr>
          <w:i/>
        </w:rPr>
        <w:t>P. malariae,</w:t>
      </w:r>
      <w:r w:rsidRPr="009916E3">
        <w:t xml:space="preserve"> or </w:t>
      </w:r>
      <w:r w:rsidRPr="009916E3">
        <w:rPr>
          <w:i/>
        </w:rPr>
        <w:t>P.</w:t>
      </w:r>
      <w:r w:rsidRPr="009916E3">
        <w:t xml:space="preserve"> </w:t>
      </w:r>
      <w:r>
        <w:tab/>
      </w:r>
      <w:r w:rsidRPr="009916E3">
        <w:rPr>
          <w:i/>
        </w:rPr>
        <w:t>ovale</w:t>
      </w:r>
      <w:r w:rsidRPr="009916E3">
        <w:t xml:space="preserve"> protein antigen.  </w:t>
      </w:r>
      <w:r w:rsidR="002D3EE3">
        <w:tab/>
      </w:r>
      <w:r>
        <w:t xml:space="preserve">Sample will be reflexed </w:t>
      </w:r>
      <w:r w:rsidR="002D3EE3">
        <w:t xml:space="preserve">to blood parasite screen where </w:t>
      </w:r>
      <w:r>
        <w:t xml:space="preserve">percent parasitemia </w:t>
      </w:r>
      <w:r w:rsidR="002D3EE3">
        <w:tab/>
      </w:r>
      <w:r>
        <w:t>and final speciation will be determined</w:t>
      </w:r>
      <w:r w:rsidR="009E4211">
        <w:t>”</w:t>
      </w:r>
      <w:r>
        <w:t>.</w:t>
      </w:r>
    </w:p>
    <w:p w:rsidR="009E4211" w:rsidRPr="009E4211" w:rsidRDefault="009E4211" w:rsidP="009E4211"/>
    <w:p w:rsidR="009916E3" w:rsidRDefault="009916E3" w:rsidP="009916E3">
      <w:pPr>
        <w:rPr>
          <w:b/>
          <w:sz w:val="28"/>
          <w:szCs w:val="28"/>
        </w:rPr>
      </w:pPr>
      <w:r>
        <w:rPr>
          <w:b/>
          <w:sz w:val="28"/>
          <w:szCs w:val="28"/>
        </w:rPr>
        <w:t>LIMITATIONS</w:t>
      </w:r>
    </w:p>
    <w:p w:rsidR="009916E3" w:rsidRPr="009916E3" w:rsidRDefault="009916E3" w:rsidP="002D3EE3">
      <w:pPr>
        <w:pStyle w:val="Heading1"/>
        <w:numPr>
          <w:ilvl w:val="0"/>
          <w:numId w:val="17"/>
        </w:numPr>
      </w:pPr>
      <w:r w:rsidRPr="009916E3">
        <w:t xml:space="preserve">A negative test result does not exclude infection with malaria, particularly at low levels of </w:t>
      </w:r>
      <w:r>
        <w:tab/>
      </w:r>
      <w:r w:rsidRPr="009916E3">
        <w:t>parasitemia.  Therefore, the results obtained with the BinaxNOW</w:t>
      </w:r>
      <w:r w:rsidRPr="002D3EE3">
        <w:rPr>
          <w:vertAlign w:val="superscript"/>
        </w:rPr>
        <w:t>®</w:t>
      </w:r>
      <w:r w:rsidRPr="009916E3">
        <w:t xml:space="preserve"> Malaria Test should be </w:t>
      </w:r>
      <w:r>
        <w:tab/>
      </w:r>
      <w:r w:rsidRPr="009916E3">
        <w:t xml:space="preserve">used in conjunction with other laboratory and clinical findings to make an accurate </w:t>
      </w:r>
      <w:r>
        <w:tab/>
      </w:r>
      <w:r w:rsidRPr="009916E3">
        <w:t xml:space="preserve">diagnosis. As is often done in serial microscopy testing, another sample can be collected </w:t>
      </w:r>
      <w:r>
        <w:tab/>
      </w:r>
      <w:r w:rsidRPr="009916E3">
        <w:t xml:space="preserve">and retested. </w:t>
      </w:r>
    </w:p>
    <w:p w:rsidR="009916E3" w:rsidRPr="009916E3" w:rsidRDefault="009916E3" w:rsidP="002D3EE3">
      <w:pPr>
        <w:pStyle w:val="Heading1"/>
      </w:pPr>
      <w:r w:rsidRPr="009916E3">
        <w:t xml:space="preserve">The BinaxNOW Malaria Test detects antigen from both viable and non-viable malaria </w:t>
      </w:r>
      <w:r>
        <w:tab/>
      </w:r>
      <w:r w:rsidRPr="009916E3">
        <w:t xml:space="preserve">organisms, including gametocytes and sequestered </w:t>
      </w:r>
      <w:r w:rsidRPr="009916E3">
        <w:rPr>
          <w:i/>
        </w:rPr>
        <w:t>P. falciparum</w:t>
      </w:r>
      <w:r w:rsidRPr="009916E3">
        <w:t xml:space="preserve"> parasites. Test </w:t>
      </w:r>
      <w:r>
        <w:tab/>
      </w:r>
      <w:r w:rsidRPr="009916E3">
        <w:t xml:space="preserve">performance depends on antigen load in the specimen and may not directly correlate with </w:t>
      </w:r>
      <w:r>
        <w:tab/>
      </w:r>
      <w:r w:rsidRPr="009916E3">
        <w:t>microscopy</w:t>
      </w:r>
      <w:r>
        <w:t xml:space="preserve"> performed on the same specimen, therefore parasitemia levels should be </w:t>
      </w:r>
      <w:r>
        <w:tab/>
        <w:t>determined off of a properly prepared thin smear microscopically.</w:t>
      </w:r>
      <w:r w:rsidR="002D3EE3">
        <w:t xml:space="preserve"> See Technical </w:t>
      </w:r>
      <w:r w:rsidR="002D3EE3">
        <w:tab/>
        <w:t xml:space="preserve">Procedure 1242 for making and reviewing positive rapid tests. </w:t>
      </w:r>
    </w:p>
    <w:p w:rsidR="009916E3" w:rsidRPr="009916E3" w:rsidRDefault="009916E3" w:rsidP="009916E3">
      <w:pPr>
        <w:rPr>
          <w:b/>
        </w:rPr>
      </w:pPr>
    </w:p>
    <w:p w:rsidR="00686223" w:rsidRDefault="000F793F" w:rsidP="00E440A0">
      <w:pPr>
        <w:rPr>
          <w:b/>
          <w:sz w:val="28"/>
          <w:szCs w:val="28"/>
        </w:rPr>
      </w:pPr>
      <w:r w:rsidRPr="00F96B47">
        <w:rPr>
          <w:b/>
          <w:sz w:val="28"/>
          <w:szCs w:val="28"/>
        </w:rPr>
        <w:t>INTERFERENCES</w:t>
      </w:r>
    </w:p>
    <w:p w:rsidR="002D3EE3" w:rsidRDefault="002D3EE3" w:rsidP="002D3EE3">
      <w:pPr>
        <w:pStyle w:val="Heading1"/>
      </w:pPr>
      <w:r>
        <w:t>See Procedure 1242 for interferences.</w:t>
      </w:r>
      <w:r w:rsidR="0008768C">
        <w:tab/>
      </w:r>
    </w:p>
    <w:p w:rsidR="007F7EFB" w:rsidRDefault="001574CB" w:rsidP="00E440A0">
      <w:pPr>
        <w:rPr>
          <w:b/>
          <w:sz w:val="28"/>
          <w:szCs w:val="28"/>
        </w:rPr>
      </w:pPr>
      <w:r w:rsidRPr="00F96B47">
        <w:rPr>
          <w:b/>
          <w:sz w:val="28"/>
          <w:szCs w:val="28"/>
        </w:rPr>
        <w:t>SENSITIVITY</w:t>
      </w:r>
      <w:r w:rsidR="00271441">
        <w:rPr>
          <w:b/>
          <w:sz w:val="28"/>
          <w:szCs w:val="28"/>
        </w:rPr>
        <w:t xml:space="preserve"> AND SPECIFICITY</w:t>
      </w:r>
    </w:p>
    <w:p w:rsidR="00AE047E" w:rsidRPr="002D3EE3" w:rsidRDefault="002D3EE3" w:rsidP="002D3EE3">
      <w:pPr>
        <w:pStyle w:val="Heading1"/>
        <w:numPr>
          <w:ilvl w:val="0"/>
          <w:numId w:val="19"/>
        </w:numPr>
      </w:pPr>
      <w:r>
        <w:t>See Procedure 1242 for sensitivity and specificity information.</w:t>
      </w:r>
      <w:r w:rsidR="009812B1">
        <w:tab/>
      </w:r>
    </w:p>
    <w:p w:rsidR="00991032" w:rsidRPr="002D3EE3" w:rsidRDefault="00991032" w:rsidP="00991032">
      <w:pPr>
        <w:rPr>
          <w:sz w:val="28"/>
          <w:szCs w:val="28"/>
        </w:rPr>
      </w:pPr>
      <w:r w:rsidRPr="00F96B47">
        <w:rPr>
          <w:b/>
          <w:sz w:val="28"/>
          <w:szCs w:val="28"/>
        </w:rPr>
        <w:t>REFERENCES</w:t>
      </w:r>
      <w:r w:rsidRPr="00F96B47">
        <w:rPr>
          <w:sz w:val="28"/>
          <w:szCs w:val="28"/>
        </w:rPr>
        <w:t>:</w:t>
      </w:r>
    </w:p>
    <w:p w:rsidR="004B2442" w:rsidRPr="004B2442" w:rsidRDefault="004B2442" w:rsidP="002D3EE3">
      <w:pPr>
        <w:pStyle w:val="Heading1"/>
        <w:numPr>
          <w:ilvl w:val="0"/>
          <w:numId w:val="20"/>
        </w:numPr>
      </w:pPr>
      <w:r w:rsidRPr="004B2442">
        <w:t>BinaxNOW</w:t>
      </w:r>
      <w:r w:rsidRPr="002D3EE3">
        <w:rPr>
          <w:vertAlign w:val="superscript"/>
        </w:rPr>
        <w:t>®</w:t>
      </w:r>
      <w:r w:rsidRPr="004B2442">
        <w:t xml:space="preserve"> Mala</w:t>
      </w:r>
      <w:r>
        <w:t>ria Package Insert, rev 5 2012/11</w:t>
      </w:r>
    </w:p>
    <w:p w:rsidR="00AE047E" w:rsidRDefault="00AE047E" w:rsidP="002D3EE3">
      <w:pPr>
        <w:pStyle w:val="Heading1"/>
      </w:pPr>
      <w:r w:rsidRPr="00AE047E">
        <w:t xml:space="preserve">Moody, Anthony.  Rapid Diagnostic Tests for Malaria Parasites. Clinical Microbiology </w:t>
      </w:r>
      <w:r>
        <w:tab/>
      </w:r>
      <w:r w:rsidRPr="00AE047E">
        <w:t>Reviews, Jan. 2002; 15: 66-78.</w:t>
      </w:r>
    </w:p>
    <w:p w:rsidR="004B2442" w:rsidRDefault="004B2442" w:rsidP="002D3EE3">
      <w:pPr>
        <w:pStyle w:val="Heading1"/>
      </w:pPr>
      <w:r>
        <w:t>RDT selection criteria, World Health Organization, Sept 2014 WHO/HTM/GMP/2014.8</w:t>
      </w:r>
    </w:p>
    <w:p w:rsidR="004B2442" w:rsidRDefault="004B2442" w:rsidP="002D3EE3">
      <w:pPr>
        <w:pStyle w:val="Heading1"/>
      </w:pPr>
      <w:r>
        <w:t xml:space="preserve">Detection of Parasite Antigens, </w:t>
      </w:r>
      <w:r>
        <w:tab/>
      </w:r>
      <w:hyperlink r:id="rId8" w:history="1">
        <w:r w:rsidRPr="00D506F4">
          <w:rPr>
            <w:rStyle w:val="Hyperlink"/>
          </w:rPr>
          <w:t>http://www.cdc.gov/dpdx/diagnosticProcedures/blood/antigendetection.html</w:t>
        </w:r>
      </w:hyperlink>
    </w:p>
    <w:p w:rsidR="004B2442" w:rsidRPr="004B2442" w:rsidRDefault="004B2442" w:rsidP="002D3EE3">
      <w:pPr>
        <w:pStyle w:val="Heading1"/>
      </w:pPr>
      <w:r>
        <w:t xml:space="preserve">Laboratory Diagnosis of Blood-borne Parasitic Diseases: Approved Guideline M15A , </w:t>
      </w:r>
      <w:r w:rsidR="000B575F">
        <w:tab/>
      </w:r>
      <w:r>
        <w:t>June 2000, Vol 20 No 12</w:t>
      </w:r>
    </w:p>
    <w:p w:rsidR="00686223" w:rsidRPr="00AE047E" w:rsidRDefault="00651E84">
      <w:r w:rsidRPr="00AE047E">
        <w:br w:type="page"/>
      </w:r>
    </w:p>
    <w:p w:rsidR="00851B31" w:rsidRDefault="00686223" w:rsidP="00D82DA2">
      <w:pPr>
        <w:pStyle w:val="SectionHeader"/>
        <w:jc w:val="center"/>
      </w:pPr>
      <w:r>
        <w:t>PROCEDURE HISTORY</w:t>
      </w:r>
      <w:r w:rsidR="00851B31">
        <w:t xml:space="preserve"> </w:t>
      </w:r>
    </w:p>
    <w:p w:rsidR="00686223" w:rsidRDefault="00686223"/>
    <w:tbl>
      <w:tblPr>
        <w:tblW w:w="0" w:type="auto"/>
        <w:jc w:val="center"/>
        <w:tblLayout w:type="fixed"/>
        <w:tblCellMar>
          <w:left w:w="120" w:type="dxa"/>
          <w:right w:w="120" w:type="dxa"/>
        </w:tblCellMar>
        <w:tblLook w:val="0000" w:firstRow="0" w:lastRow="0" w:firstColumn="0" w:lastColumn="0" w:noHBand="0" w:noVBand="0"/>
      </w:tblPr>
      <w:tblGrid>
        <w:gridCol w:w="1170"/>
        <w:gridCol w:w="1980"/>
        <w:gridCol w:w="2700"/>
        <w:gridCol w:w="1350"/>
        <w:gridCol w:w="2160"/>
      </w:tblGrid>
      <w:tr w:rsidR="00686223" w:rsidRPr="001574CB">
        <w:trPr>
          <w:jc w:val="center"/>
        </w:trPr>
        <w:tc>
          <w:tcPr>
            <w:tcW w:w="1170" w:type="dxa"/>
            <w:tcBorders>
              <w:top w:val="double" w:sz="7" w:space="0" w:color="000000"/>
              <w:left w:val="doub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Date</w:t>
            </w:r>
          </w:p>
        </w:tc>
        <w:tc>
          <w:tcPr>
            <w:tcW w:w="1980" w:type="dxa"/>
            <w:tcBorders>
              <w:top w:val="double" w:sz="7" w:space="0" w:color="000000"/>
              <w:left w:val="sing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Written/Issued by</w:t>
            </w:r>
          </w:p>
        </w:tc>
        <w:tc>
          <w:tcPr>
            <w:tcW w:w="2700" w:type="dxa"/>
            <w:tcBorders>
              <w:top w:val="double" w:sz="7" w:space="0" w:color="000000"/>
              <w:left w:val="sing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New/Revised/Annual Review/Discontinued</w:t>
            </w:r>
          </w:p>
        </w:tc>
        <w:tc>
          <w:tcPr>
            <w:tcW w:w="1350" w:type="dxa"/>
            <w:tcBorders>
              <w:top w:val="double" w:sz="7" w:space="0" w:color="000000"/>
              <w:left w:val="sing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Approved Date</w:t>
            </w:r>
          </w:p>
        </w:tc>
        <w:tc>
          <w:tcPr>
            <w:tcW w:w="2160" w:type="dxa"/>
            <w:tcBorders>
              <w:top w:val="double" w:sz="7" w:space="0" w:color="000000"/>
              <w:left w:val="single" w:sz="7" w:space="0" w:color="000000"/>
              <w:bottom w:val="double" w:sz="7" w:space="0" w:color="000000"/>
              <w:right w:val="doub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Approved by</w:t>
            </w:r>
          </w:p>
        </w:tc>
      </w:tr>
      <w:tr w:rsidR="00686223" w:rsidRPr="001574CB" w:rsidTr="00FC027B">
        <w:trPr>
          <w:trHeight w:hRule="exact" w:val="708"/>
          <w:jc w:val="center"/>
        </w:trPr>
        <w:tc>
          <w:tcPr>
            <w:tcW w:w="1170" w:type="dxa"/>
            <w:tcBorders>
              <w:top w:val="double" w:sz="7" w:space="0" w:color="000000"/>
              <w:left w:val="double" w:sz="7" w:space="0" w:color="000000"/>
              <w:bottom w:val="single" w:sz="7" w:space="0" w:color="000000"/>
              <w:right w:val="single" w:sz="7" w:space="0" w:color="000000"/>
            </w:tcBorders>
            <w:vAlign w:val="center"/>
          </w:tcPr>
          <w:p w:rsidR="00686223" w:rsidRPr="001574CB" w:rsidRDefault="001574CB" w:rsidP="00FC027B">
            <w:pPr>
              <w:spacing w:line="240" w:lineRule="exact"/>
              <w:jc w:val="center"/>
            </w:pPr>
            <w:r w:rsidRPr="001574CB">
              <w:t>12/14</w:t>
            </w:r>
          </w:p>
        </w:tc>
        <w:tc>
          <w:tcPr>
            <w:tcW w:w="1980" w:type="dxa"/>
            <w:tcBorders>
              <w:top w:val="doub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1574CB" w:rsidP="00FC027B">
            <w:pPr>
              <w:spacing w:after="58"/>
              <w:jc w:val="center"/>
            </w:pPr>
            <w:r>
              <w:t>L Freeman</w:t>
            </w:r>
          </w:p>
        </w:tc>
        <w:tc>
          <w:tcPr>
            <w:tcW w:w="2700" w:type="dxa"/>
            <w:tcBorders>
              <w:top w:val="doub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FC027B" w:rsidP="00FC027B">
            <w:pPr>
              <w:spacing w:after="58"/>
              <w:jc w:val="center"/>
            </w:pPr>
            <w:r>
              <w:t>New</w:t>
            </w:r>
          </w:p>
        </w:tc>
        <w:tc>
          <w:tcPr>
            <w:tcW w:w="1350" w:type="dxa"/>
            <w:tcBorders>
              <w:top w:val="doub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792F51" w:rsidP="00FC027B">
            <w:pPr>
              <w:spacing w:after="58"/>
              <w:jc w:val="center"/>
            </w:pPr>
            <w:r>
              <w:t>12/17/14</w:t>
            </w:r>
          </w:p>
        </w:tc>
        <w:tc>
          <w:tcPr>
            <w:tcW w:w="2160" w:type="dxa"/>
            <w:tcBorders>
              <w:top w:val="doub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792F51" w:rsidP="00FC027B">
            <w:pPr>
              <w:spacing w:after="58"/>
              <w:jc w:val="center"/>
            </w:pPr>
            <w:r>
              <w:t>Lydia Howell MD</w:t>
            </w:r>
            <w:bookmarkStart w:id="0" w:name="_GoBack"/>
            <w:bookmarkEnd w:id="0"/>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doub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bl>
    <w:p w:rsidR="00686223" w:rsidRDefault="00686223" w:rsidP="00E925E7"/>
    <w:sectPr w:rsidR="00686223" w:rsidSect="000B160A">
      <w:headerReference w:type="default" r:id="rId9"/>
      <w:footerReference w:type="default" r:id="rId10"/>
      <w:endnotePr>
        <w:numFmt w:val="decimal"/>
      </w:endnotePr>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0F" w:rsidRDefault="00C1540F">
      <w:r>
        <w:separator/>
      </w:r>
    </w:p>
  </w:endnote>
  <w:endnote w:type="continuationSeparator" w:id="0">
    <w:p w:rsidR="00C1540F" w:rsidRDefault="00C1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XBlk BT">
    <w:altName w:val="Arial Black"/>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DB" w:rsidRDefault="00C50F5C" w:rsidP="000B160A">
    <w:pPr>
      <w:pStyle w:val="BodyText"/>
    </w:pPr>
    <w:r>
      <w:t xml:space="preserve">Adopted </w:t>
    </w:r>
    <w:r w:rsidR="001574CB">
      <w:t xml:space="preserve">12/14                                   </w:t>
    </w:r>
    <w:r w:rsidR="00933CDB">
      <w:tab/>
    </w:r>
    <w:r w:rsidR="00933CDB">
      <w:tab/>
    </w:r>
    <w:r w:rsidR="00933CDB">
      <w:tab/>
    </w:r>
    <w:r w:rsidR="00933CDB">
      <w:tab/>
    </w:r>
    <w:r w:rsidR="00933CDB">
      <w:tab/>
    </w:r>
    <w:r w:rsidR="00933CDB">
      <w:tab/>
    </w:r>
    <w:r w:rsidR="00933CDB">
      <w:tab/>
      <w:t xml:space="preserve"> Page </w:t>
    </w:r>
    <w:r w:rsidR="00933CDB">
      <w:rPr>
        <w:rStyle w:val="PageNumber"/>
      </w:rPr>
      <w:fldChar w:fldCharType="begin"/>
    </w:r>
    <w:r w:rsidR="00933CDB">
      <w:rPr>
        <w:rStyle w:val="PageNumber"/>
      </w:rPr>
      <w:instrText xml:space="preserve"> PAGE </w:instrText>
    </w:r>
    <w:r w:rsidR="00933CDB">
      <w:rPr>
        <w:rStyle w:val="PageNumber"/>
      </w:rPr>
      <w:fldChar w:fldCharType="separate"/>
    </w:r>
    <w:r w:rsidR="00792F51">
      <w:rPr>
        <w:rStyle w:val="PageNumber"/>
        <w:noProof/>
      </w:rPr>
      <w:t>7</w:t>
    </w:r>
    <w:r w:rsidR="00933CDB">
      <w:rPr>
        <w:rStyle w:val="PageNumber"/>
      </w:rPr>
      <w:fldChar w:fldCharType="end"/>
    </w:r>
    <w:r w:rsidR="00933CDB">
      <w:rPr>
        <w:rStyle w:val="PageNumber"/>
      </w:rPr>
      <w:t xml:space="preserve"> of </w:t>
    </w:r>
    <w:r w:rsidR="00933CDB">
      <w:rPr>
        <w:rStyle w:val="PageNumber"/>
      </w:rPr>
      <w:fldChar w:fldCharType="begin"/>
    </w:r>
    <w:r w:rsidR="00933CDB">
      <w:rPr>
        <w:rStyle w:val="PageNumber"/>
      </w:rPr>
      <w:instrText xml:space="preserve"> NUMPAGES </w:instrText>
    </w:r>
    <w:r w:rsidR="00933CDB">
      <w:rPr>
        <w:rStyle w:val="PageNumber"/>
      </w:rPr>
      <w:fldChar w:fldCharType="separate"/>
    </w:r>
    <w:r w:rsidR="00792F51">
      <w:rPr>
        <w:rStyle w:val="PageNumber"/>
        <w:noProof/>
      </w:rPr>
      <w:t>7</w:t>
    </w:r>
    <w:r w:rsidR="00933CD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0F" w:rsidRDefault="00C1540F">
      <w:r>
        <w:separator/>
      </w:r>
    </w:p>
  </w:footnote>
  <w:footnote w:type="continuationSeparator" w:id="0">
    <w:p w:rsidR="00C1540F" w:rsidRDefault="00C15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DB" w:rsidRPr="00D955B7" w:rsidRDefault="00933CDB">
    <w:pPr>
      <w:tabs>
        <w:tab w:val="center" w:pos="4680"/>
      </w:tabs>
    </w:pPr>
    <w:r>
      <w:rPr>
        <w:sz w:val="20"/>
        <w:szCs w:val="20"/>
      </w:rPr>
      <w:tab/>
    </w:r>
    <w:smartTag w:uri="urn:schemas-microsoft-com:office:smarttags" w:element="PlaceType">
      <w:r w:rsidRPr="00D955B7">
        <w:t>University</w:t>
      </w:r>
    </w:smartTag>
    <w:r w:rsidRPr="00D955B7">
      <w:t xml:space="preserve"> of </w:t>
    </w:r>
    <w:smartTag w:uri="urn:schemas-microsoft-com:office:smarttags" w:element="PlaceName">
      <w:r w:rsidRPr="00D955B7">
        <w:t>California</w:t>
      </w:r>
    </w:smartTag>
    <w:r w:rsidRPr="00D955B7">
      <w:t xml:space="preserve">, </w:t>
    </w:r>
    <w:smartTag w:uri="urn:schemas-microsoft-com:office:smarttags" w:element="City">
      <w:smartTag w:uri="urn:schemas-microsoft-com:office:smarttags" w:element="place">
        <w:r w:rsidRPr="00D955B7">
          <w:t>Davis</w:t>
        </w:r>
      </w:smartTag>
    </w:smartTag>
    <w:r w:rsidRPr="00D955B7">
      <w:t xml:space="preserve"> Health System</w:t>
    </w:r>
  </w:p>
  <w:p w:rsidR="00933CDB" w:rsidRDefault="00933CDB" w:rsidP="00D955B7">
    <w:pPr>
      <w:tabs>
        <w:tab w:val="center" w:pos="4680"/>
      </w:tabs>
    </w:pPr>
    <w:r w:rsidRPr="00D955B7">
      <w:tab/>
      <w:t>Department of Pathology &amp; Laboratory Medicine</w:t>
    </w:r>
  </w:p>
  <w:p w:rsidR="00933CDB" w:rsidRDefault="00933CDB">
    <w:pPr>
      <w:rPr>
        <w:sz w:val="20"/>
        <w:szCs w:val="20"/>
      </w:rPr>
    </w:pPr>
  </w:p>
  <w:p w:rsidR="00BD60EE" w:rsidRDefault="000F793F" w:rsidP="008D4019">
    <w:pPr>
      <w:rPr>
        <w:b/>
      </w:rPr>
    </w:pPr>
    <w:r>
      <w:rPr>
        <w:b/>
      </w:rPr>
      <w:t xml:space="preserve">Malaria </w:t>
    </w:r>
    <w:r w:rsidR="00FC027B">
      <w:rPr>
        <w:b/>
      </w:rPr>
      <w:t>BinaxNOW</w:t>
    </w:r>
    <w:r w:rsidR="00FC027B" w:rsidRPr="000F793F">
      <w:rPr>
        <w:b/>
        <w:vertAlign w:val="superscript"/>
      </w:rPr>
      <w:t>®</w:t>
    </w:r>
    <w:r w:rsidR="00FC027B">
      <w:rPr>
        <w:b/>
        <w:vertAlign w:val="superscript"/>
      </w:rPr>
      <w:t xml:space="preserve"> </w:t>
    </w:r>
    <w:r>
      <w:rPr>
        <w:b/>
      </w:rPr>
      <w:t>Rapid Detection</w:t>
    </w:r>
  </w:p>
  <w:p w:rsidR="00933CDB" w:rsidRDefault="000F793F" w:rsidP="008D4019">
    <w:r>
      <w:rPr>
        <w:b/>
      </w:rPr>
      <w:t>Test</w:t>
    </w:r>
    <w:r w:rsidR="00120D8C">
      <w:rPr>
        <w:b/>
      </w:rPr>
      <w:t xml:space="preserve"> </w:t>
    </w:r>
    <w:r w:rsidR="002D3EE3">
      <w:rPr>
        <w:b/>
      </w:rPr>
      <w:t xml:space="preserve">for Ebola Testing  Protocol         </w:t>
    </w:r>
    <w:r w:rsidR="002D3EE3">
      <w:rPr>
        <w:b/>
      </w:rPr>
      <w:tab/>
    </w:r>
    <w:r w:rsidR="002D3EE3">
      <w:rPr>
        <w:b/>
      </w:rPr>
      <w:tab/>
    </w:r>
    <w:r w:rsidR="00933CDB" w:rsidRPr="008D4019">
      <w:rPr>
        <w:b/>
      </w:rPr>
      <w:tab/>
    </w:r>
    <w:r>
      <w:rPr>
        <w:b/>
      </w:rPr>
      <w:t xml:space="preserve">                </w:t>
    </w:r>
    <w:r>
      <w:t>Technical Procedure 124</w:t>
    </w:r>
    <w:r w:rsidR="002D3EE3">
      <w:t>4</w:t>
    </w:r>
    <w:r>
      <w:t>.t</w:t>
    </w:r>
  </w:p>
  <w:p w:rsidR="00933CDB" w:rsidRPr="00D136E4" w:rsidRDefault="00933CDB" w:rsidP="008D4019">
    <w:pP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FF7F7F"/>
    <w:multiLevelType w:val="hybridMultilevel"/>
    <w:tmpl w:val="2DCAFAB8"/>
    <w:lvl w:ilvl="0" w:tplc="0D6A1604">
      <w:start w:val="1"/>
      <w:numFmt w:val="lowerLetter"/>
      <w:pStyle w:val="Heading3"/>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9393B76"/>
    <w:multiLevelType w:val="hybridMultilevel"/>
    <w:tmpl w:val="F8E62614"/>
    <w:lvl w:ilvl="0" w:tplc="3A588C8C">
      <w:start w:val="1"/>
      <w:numFmt w:val="decimal"/>
      <w:pStyle w:val="Heading2"/>
      <w:lvlText w:val="%1."/>
      <w:lvlJc w:val="left"/>
      <w:pPr>
        <w:ind w:left="1080" w:hanging="360"/>
      </w:pPr>
      <w:rPr>
        <w:rFonts w:hint="default"/>
        <w:b w:val="0"/>
      </w:rPr>
    </w:lvl>
    <w:lvl w:ilvl="1" w:tplc="0F4656E2">
      <w:start w:val="1"/>
      <w:numFmt w:val="decimal"/>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nsid w:val="7CF62E58"/>
    <w:multiLevelType w:val="hybridMultilevel"/>
    <w:tmpl w:val="4DC00F4C"/>
    <w:lvl w:ilvl="0" w:tplc="4CCE0B38">
      <w:start w:val="1"/>
      <w:numFmt w:val="upperLetter"/>
      <w:pStyle w:val="Heading1"/>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3"/>
  </w:num>
  <w:num w:numId="4">
    <w:abstractNumId w:val="1"/>
  </w:num>
  <w:num w:numId="5">
    <w:abstractNumId w:val="3"/>
    <w:lvlOverride w:ilvl="0">
      <w:startOverride w:val="1"/>
    </w:lvlOverride>
  </w:num>
  <w:num w:numId="6">
    <w:abstractNumId w:val="2"/>
    <w:lvlOverride w:ilvl="0">
      <w:startOverride w:val="1"/>
    </w:lvlOverride>
  </w:num>
  <w:num w:numId="7">
    <w:abstractNumId w:val="2"/>
    <w:lvlOverride w:ilvl="0">
      <w:startOverride w:val="1"/>
    </w:lvlOverride>
  </w:num>
  <w:num w:numId="8">
    <w:abstractNumId w:val="3"/>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C60"/>
    <w:rsid w:val="000134CE"/>
    <w:rsid w:val="00060917"/>
    <w:rsid w:val="00062397"/>
    <w:rsid w:val="000862F8"/>
    <w:rsid w:val="0008768C"/>
    <w:rsid w:val="00093A43"/>
    <w:rsid w:val="000B160A"/>
    <w:rsid w:val="000B575F"/>
    <w:rsid w:val="000C3E8D"/>
    <w:rsid w:val="000E5A18"/>
    <w:rsid w:val="000F793F"/>
    <w:rsid w:val="00120D8C"/>
    <w:rsid w:val="001574CB"/>
    <w:rsid w:val="00163BFB"/>
    <w:rsid w:val="00174D2A"/>
    <w:rsid w:val="00176C74"/>
    <w:rsid w:val="00193DF0"/>
    <w:rsid w:val="002621DB"/>
    <w:rsid w:val="00271441"/>
    <w:rsid w:val="00294D5C"/>
    <w:rsid w:val="002A7AB1"/>
    <w:rsid w:val="002D3EE3"/>
    <w:rsid w:val="002E75B2"/>
    <w:rsid w:val="002F3886"/>
    <w:rsid w:val="002F6E3D"/>
    <w:rsid w:val="00300C60"/>
    <w:rsid w:val="00301A34"/>
    <w:rsid w:val="00325284"/>
    <w:rsid w:val="00365FDE"/>
    <w:rsid w:val="0039558A"/>
    <w:rsid w:val="003C1E8A"/>
    <w:rsid w:val="004300B3"/>
    <w:rsid w:val="0043046B"/>
    <w:rsid w:val="00457389"/>
    <w:rsid w:val="004B2442"/>
    <w:rsid w:val="004B7C4B"/>
    <w:rsid w:val="004D7229"/>
    <w:rsid w:val="004F16B0"/>
    <w:rsid w:val="005055DF"/>
    <w:rsid w:val="00516B27"/>
    <w:rsid w:val="005B3AA9"/>
    <w:rsid w:val="005E44D5"/>
    <w:rsid w:val="00651E84"/>
    <w:rsid w:val="00686223"/>
    <w:rsid w:val="006D5657"/>
    <w:rsid w:val="006E7CA9"/>
    <w:rsid w:val="00733D85"/>
    <w:rsid w:val="00781BC3"/>
    <w:rsid w:val="00792F51"/>
    <w:rsid w:val="0079403E"/>
    <w:rsid w:val="007B39B2"/>
    <w:rsid w:val="007C14FA"/>
    <w:rsid w:val="007C1D29"/>
    <w:rsid w:val="007D2F44"/>
    <w:rsid w:val="007F7EFB"/>
    <w:rsid w:val="00803573"/>
    <w:rsid w:val="00803F2A"/>
    <w:rsid w:val="0084755A"/>
    <w:rsid w:val="00851B31"/>
    <w:rsid w:val="00860A7D"/>
    <w:rsid w:val="00884E5E"/>
    <w:rsid w:val="00892C91"/>
    <w:rsid w:val="00896C5A"/>
    <w:rsid w:val="008C2E3A"/>
    <w:rsid w:val="008C69BF"/>
    <w:rsid w:val="008D4019"/>
    <w:rsid w:val="008F33DD"/>
    <w:rsid w:val="008F4BAF"/>
    <w:rsid w:val="00933CDB"/>
    <w:rsid w:val="00940C1D"/>
    <w:rsid w:val="009549AC"/>
    <w:rsid w:val="009812B1"/>
    <w:rsid w:val="00991032"/>
    <w:rsid w:val="009916E3"/>
    <w:rsid w:val="009B7467"/>
    <w:rsid w:val="009C03E8"/>
    <w:rsid w:val="009C3DD3"/>
    <w:rsid w:val="009C5A5A"/>
    <w:rsid w:val="009E4211"/>
    <w:rsid w:val="00A10E97"/>
    <w:rsid w:val="00A50289"/>
    <w:rsid w:val="00AA0D0A"/>
    <w:rsid w:val="00AE047E"/>
    <w:rsid w:val="00AE445B"/>
    <w:rsid w:val="00B02937"/>
    <w:rsid w:val="00B710B7"/>
    <w:rsid w:val="00B730C7"/>
    <w:rsid w:val="00BD60EE"/>
    <w:rsid w:val="00C06BA7"/>
    <w:rsid w:val="00C12466"/>
    <w:rsid w:val="00C1540F"/>
    <w:rsid w:val="00C30D41"/>
    <w:rsid w:val="00C43335"/>
    <w:rsid w:val="00C500CF"/>
    <w:rsid w:val="00C50F5C"/>
    <w:rsid w:val="00CA2B5F"/>
    <w:rsid w:val="00CA2E69"/>
    <w:rsid w:val="00CC753E"/>
    <w:rsid w:val="00D00B5B"/>
    <w:rsid w:val="00D118A6"/>
    <w:rsid w:val="00D136E4"/>
    <w:rsid w:val="00D24F1C"/>
    <w:rsid w:val="00D733E9"/>
    <w:rsid w:val="00D82DA2"/>
    <w:rsid w:val="00D905C9"/>
    <w:rsid w:val="00D906B6"/>
    <w:rsid w:val="00D955B7"/>
    <w:rsid w:val="00DB25C2"/>
    <w:rsid w:val="00DC4FD1"/>
    <w:rsid w:val="00DE4BD1"/>
    <w:rsid w:val="00E07E0E"/>
    <w:rsid w:val="00E25D16"/>
    <w:rsid w:val="00E440A0"/>
    <w:rsid w:val="00E925E7"/>
    <w:rsid w:val="00EE7CAE"/>
    <w:rsid w:val="00EF1FD6"/>
    <w:rsid w:val="00F17BE7"/>
    <w:rsid w:val="00F21D5C"/>
    <w:rsid w:val="00F41BF2"/>
    <w:rsid w:val="00F96B47"/>
    <w:rsid w:val="00FC027B"/>
    <w:rsid w:val="00FD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autoRedefine/>
    <w:qFormat/>
    <w:rsid w:val="002D3EE3"/>
    <w:pPr>
      <w:numPr>
        <w:numId w:val="3"/>
      </w:numPr>
      <w:spacing w:before="240" w:after="60"/>
      <w:outlineLvl w:val="0"/>
    </w:pPr>
    <w:rPr>
      <w:bCs/>
      <w:kern w:val="32"/>
    </w:rPr>
  </w:style>
  <w:style w:type="paragraph" w:styleId="Heading2">
    <w:name w:val="heading 2"/>
    <w:basedOn w:val="Normal"/>
    <w:next w:val="Normal"/>
    <w:autoRedefine/>
    <w:qFormat/>
    <w:rsid w:val="009916E3"/>
    <w:pPr>
      <w:numPr>
        <w:numId w:val="2"/>
      </w:numPr>
      <w:spacing w:before="240" w:after="60"/>
      <w:outlineLvl w:val="1"/>
    </w:pPr>
    <w:rPr>
      <w:rFonts w:cs="Arial"/>
      <w:bCs/>
      <w:iCs/>
      <w:szCs w:val="28"/>
    </w:rPr>
  </w:style>
  <w:style w:type="paragraph" w:styleId="Heading3">
    <w:name w:val="heading 3"/>
    <w:basedOn w:val="Normal"/>
    <w:next w:val="Normal"/>
    <w:autoRedefine/>
    <w:qFormat/>
    <w:rsid w:val="008C2E3A"/>
    <w:pPr>
      <w:keepNext/>
      <w:numPr>
        <w:numId w:val="4"/>
      </w:numPr>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SectionHeader">
    <w:name w:val="Section Header"/>
    <w:basedOn w:val="Normal"/>
    <w:pPr>
      <w:jc w:val="both"/>
    </w:pPr>
    <w:rPr>
      <w:bCs/>
      <w:sz w:val="28"/>
    </w:rPr>
  </w:style>
  <w:style w:type="paragraph" w:styleId="BodyText">
    <w:name w:val="Body Text"/>
    <w:basedOn w:val="Normal"/>
    <w:pPr>
      <w:spacing w:after="120"/>
    </w:pPr>
  </w:style>
  <w:style w:type="paragraph" w:styleId="ListParagraph">
    <w:name w:val="List Paragraph"/>
    <w:basedOn w:val="Normal"/>
    <w:uiPriority w:val="99"/>
    <w:qFormat/>
    <w:rsid w:val="000F793F"/>
    <w:pPr>
      <w:widowControl/>
      <w:autoSpaceDE/>
      <w:autoSpaceDN/>
      <w:adjustRightInd/>
      <w:ind w:left="720"/>
      <w:contextualSpacing/>
    </w:pPr>
    <w:rPr>
      <w:rFonts w:ascii="Century Gothic" w:hAnsi="Century Gothic"/>
      <w:sz w:val="22"/>
      <w:szCs w:val="22"/>
    </w:rPr>
  </w:style>
  <w:style w:type="paragraph" w:customStyle="1" w:styleId="Headline">
    <w:name w:val="Headline"/>
    <w:rsid w:val="00FC027B"/>
    <w:pPr>
      <w:spacing w:after="72" w:line="200" w:lineRule="atLeast"/>
    </w:pPr>
    <w:rPr>
      <w:rFonts w:ascii="Futura XBlk BT" w:hAnsi="Futura XBlk BT"/>
      <w:color w:val="000000"/>
    </w:rPr>
  </w:style>
  <w:style w:type="paragraph" w:styleId="BodyTextIndent3">
    <w:name w:val="Body Text Indent 3"/>
    <w:basedOn w:val="Normal"/>
    <w:link w:val="BodyTextIndent3Char"/>
    <w:rsid w:val="00781BC3"/>
    <w:pPr>
      <w:widowControl/>
      <w:autoSpaceDE/>
      <w:autoSpaceDN/>
      <w:adjustRightInd/>
      <w:spacing w:after="120"/>
      <w:ind w:left="360"/>
    </w:pPr>
    <w:rPr>
      <w:rFonts w:ascii="Century Gothic" w:hAnsi="Century Gothic"/>
      <w:sz w:val="16"/>
      <w:szCs w:val="16"/>
    </w:rPr>
  </w:style>
  <w:style w:type="character" w:customStyle="1" w:styleId="BodyTextIndent3Char">
    <w:name w:val="Body Text Indent 3 Char"/>
    <w:basedOn w:val="DefaultParagraphFont"/>
    <w:link w:val="BodyTextIndent3"/>
    <w:rsid w:val="00781BC3"/>
    <w:rPr>
      <w:rFonts w:ascii="Century Gothic" w:hAnsi="Century Gothic"/>
      <w:sz w:val="16"/>
      <w:szCs w:val="16"/>
    </w:rPr>
  </w:style>
  <w:style w:type="paragraph" w:styleId="BodyTextIndent2">
    <w:name w:val="Body Text Indent 2"/>
    <w:basedOn w:val="Normal"/>
    <w:link w:val="BodyTextIndent2Char"/>
    <w:rsid w:val="008C2E3A"/>
    <w:pPr>
      <w:widowControl/>
      <w:autoSpaceDE/>
      <w:autoSpaceDN/>
      <w:adjustRightInd/>
      <w:spacing w:after="120" w:line="480" w:lineRule="auto"/>
      <w:ind w:left="360"/>
    </w:pPr>
    <w:rPr>
      <w:rFonts w:ascii="Century Gothic" w:hAnsi="Century Gothic"/>
      <w:sz w:val="22"/>
      <w:szCs w:val="22"/>
    </w:rPr>
  </w:style>
  <w:style w:type="character" w:customStyle="1" w:styleId="BodyTextIndent2Char">
    <w:name w:val="Body Text Indent 2 Char"/>
    <w:basedOn w:val="DefaultParagraphFont"/>
    <w:link w:val="BodyTextIndent2"/>
    <w:rsid w:val="008C2E3A"/>
    <w:rPr>
      <w:rFonts w:ascii="Century Gothic" w:hAnsi="Century Gothic"/>
      <w:sz w:val="22"/>
      <w:szCs w:val="22"/>
    </w:rPr>
  </w:style>
  <w:style w:type="table" w:styleId="TableGrid">
    <w:name w:val="Table Grid"/>
    <w:basedOn w:val="TableNormal"/>
    <w:rsid w:val="00A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E047E"/>
    <w:pPr>
      <w:spacing w:after="120"/>
      <w:ind w:left="360"/>
    </w:pPr>
  </w:style>
  <w:style w:type="character" w:customStyle="1" w:styleId="BodyTextIndentChar">
    <w:name w:val="Body Text Indent Char"/>
    <w:basedOn w:val="DefaultParagraphFont"/>
    <w:link w:val="BodyTextIndent"/>
    <w:rsid w:val="00AE047E"/>
    <w:rPr>
      <w:sz w:val="24"/>
      <w:szCs w:val="24"/>
    </w:rPr>
  </w:style>
  <w:style w:type="character" w:styleId="Hyperlink">
    <w:name w:val="Hyperlink"/>
    <w:basedOn w:val="DefaultParagraphFont"/>
    <w:rsid w:val="004B24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dpdx/diagnosticProcedures/blood/antigendetect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PURPOSE</vt:lpstr>
    </vt:vector>
  </TitlesOfParts>
  <Company>UCDHS</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User</dc:creator>
  <cp:lastModifiedBy>ntwadmin</cp:lastModifiedBy>
  <cp:revision>7</cp:revision>
  <cp:lastPrinted>2014-12-13T00:41:00Z</cp:lastPrinted>
  <dcterms:created xsi:type="dcterms:W3CDTF">2014-12-02T23:48:00Z</dcterms:created>
  <dcterms:modified xsi:type="dcterms:W3CDTF">2015-01-06T22:43:00Z</dcterms:modified>
</cp:coreProperties>
</file>