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A01" w:rsidRDefault="001E7A01" w:rsidP="00E44F54">
      <w:pPr>
        <w:pStyle w:val="SectionHeader"/>
        <w:framePr w:wrap="auto" w:vAnchor="margin" w:yAlign="inline"/>
      </w:pPr>
      <w:r w:rsidRPr="0092687C">
        <w:t>Principle</w:t>
      </w:r>
    </w:p>
    <w:p w:rsidR="00E44F54" w:rsidRDefault="00E44F54" w:rsidP="00E44F54">
      <w:pPr>
        <w:pStyle w:val="style1"/>
        <w:tabs>
          <w:tab w:val="clear" w:pos="2880"/>
        </w:tabs>
        <w:rPr>
          <w:rFonts w:ascii="Times New Roman" w:hAnsi="Times New Roman"/>
        </w:rPr>
      </w:pPr>
      <w:r w:rsidRPr="00E44F54">
        <w:rPr>
          <w:rFonts w:ascii="Times New Roman" w:hAnsi="Times New Roman"/>
        </w:rPr>
        <w:t xml:space="preserve">The </w:t>
      </w:r>
      <w:proofErr w:type="spellStart"/>
      <w:r w:rsidRPr="00E44F54">
        <w:rPr>
          <w:rFonts w:ascii="Times New Roman" w:hAnsi="Times New Roman"/>
        </w:rPr>
        <w:t>Sysmex</w:t>
      </w:r>
      <w:proofErr w:type="spellEnd"/>
      <w:r w:rsidRPr="00E44F54">
        <w:rPr>
          <w:rFonts w:ascii="Times New Roman" w:hAnsi="Times New Roman"/>
        </w:rPr>
        <w:t xml:space="preserve"> pocH-100</w:t>
      </w:r>
      <w:r w:rsidRPr="00E44F54">
        <w:rPr>
          <w:rFonts w:ascii="Times New Roman" w:hAnsi="Times New Roman"/>
          <w:i/>
          <w:iCs/>
        </w:rPr>
        <w:t>i</w:t>
      </w:r>
      <w:r w:rsidRPr="00E44F54">
        <w:rPr>
          <w:rFonts w:ascii="Times New Roman" w:hAnsi="Times New Roman"/>
        </w:rPr>
        <w:t xml:space="preserve"> is a quantitative automated hematology analyzer for </w:t>
      </w:r>
      <w:r w:rsidRPr="00E44F54">
        <w:rPr>
          <w:rFonts w:ascii="Times New Roman" w:hAnsi="Times New Roman"/>
          <w:i/>
        </w:rPr>
        <w:t>in vitro</w:t>
      </w:r>
      <w:r w:rsidRPr="00E44F54">
        <w:rPr>
          <w:rFonts w:ascii="Times New Roman" w:hAnsi="Times New Roman"/>
        </w:rPr>
        <w:t xml:space="preserve"> diagnostic use. It is used to determine 17 hematological parameters which include a complete blood count </w:t>
      </w:r>
      <w:r w:rsidR="005D020F">
        <w:rPr>
          <w:rFonts w:ascii="Times New Roman" w:hAnsi="Times New Roman"/>
        </w:rPr>
        <w:t xml:space="preserve">with differential </w:t>
      </w:r>
      <w:r w:rsidRPr="00E44F54">
        <w:rPr>
          <w:rFonts w:ascii="Times New Roman" w:hAnsi="Times New Roman"/>
        </w:rPr>
        <w:t>(CBC</w:t>
      </w:r>
      <w:r w:rsidR="005D020F">
        <w:rPr>
          <w:rFonts w:ascii="Times New Roman" w:hAnsi="Times New Roman"/>
        </w:rPr>
        <w:t xml:space="preserve"> with diff</w:t>
      </w:r>
      <w:r w:rsidRPr="00E44F54">
        <w:rPr>
          <w:rFonts w:ascii="Times New Roman" w:hAnsi="Times New Roman"/>
        </w:rPr>
        <w:t xml:space="preserve">). The </w:t>
      </w:r>
      <w:proofErr w:type="spellStart"/>
      <w:r w:rsidRPr="00E44F54">
        <w:rPr>
          <w:rFonts w:ascii="Times New Roman" w:hAnsi="Times New Roman"/>
        </w:rPr>
        <w:t>Sysmex</w:t>
      </w:r>
      <w:proofErr w:type="spellEnd"/>
      <w:r w:rsidRPr="00E44F54">
        <w:rPr>
          <w:rFonts w:ascii="Times New Roman" w:hAnsi="Times New Roman"/>
        </w:rPr>
        <w:t xml:space="preserve"> pocH-100</w:t>
      </w:r>
      <w:r w:rsidRPr="00E44F54">
        <w:rPr>
          <w:rFonts w:ascii="Times New Roman" w:hAnsi="Times New Roman"/>
          <w:i/>
        </w:rPr>
        <w:t xml:space="preserve">i </w:t>
      </w:r>
      <w:r w:rsidRPr="00E44F54">
        <w:rPr>
          <w:rFonts w:ascii="Times New Roman" w:hAnsi="Times New Roman"/>
        </w:rPr>
        <w:t>measures WBC, RBC, HGB, HCT, MCV, MCH, MCHC, PLT, RDW-SD and RDW-CV, as well as absolute (#) and percent (%) of neutrophils, lymphocytes and mixed cell populations.</w:t>
      </w:r>
      <w:r>
        <w:rPr>
          <w:rFonts w:ascii="Times New Roman" w:hAnsi="Times New Roman"/>
        </w:rPr>
        <w:t xml:space="preserve"> </w:t>
      </w:r>
    </w:p>
    <w:p w:rsidR="00B626A2" w:rsidRPr="00E44F54" w:rsidRDefault="00B626A2" w:rsidP="00E44F54">
      <w:pPr>
        <w:pStyle w:val="style1"/>
        <w:tabs>
          <w:tab w:val="clear" w:pos="2880"/>
        </w:tabs>
        <w:rPr>
          <w:rFonts w:ascii="Times New Roman" w:hAnsi="Times New Roman"/>
        </w:rPr>
      </w:pPr>
    </w:p>
    <w:p w:rsidR="00E44F54" w:rsidRPr="00E44F54" w:rsidRDefault="00E44F54" w:rsidP="00E44F54">
      <w:r w:rsidRPr="00E44F54">
        <w:t>The pocH-100</w:t>
      </w:r>
      <w:r w:rsidRPr="00E44F54">
        <w:rPr>
          <w:i/>
          <w:iCs/>
        </w:rPr>
        <w:t>i</w:t>
      </w:r>
      <w:r w:rsidRPr="00E44F54">
        <w:t xml:space="preserve"> counts and sizes red blood cells (RBC) and platelets (PLT) using electronic resistance detection and </w:t>
      </w:r>
      <w:proofErr w:type="spellStart"/>
      <w:r w:rsidRPr="00E44F54">
        <w:t>hydrodynamically</w:t>
      </w:r>
      <w:proofErr w:type="spellEnd"/>
      <w:r w:rsidRPr="00E44F54">
        <w:t xml:space="preserve"> focused technology. Hematocrit (HCT) is measured as the ratio of the total RBC volume to whole blood using cumulative pulse height detection. Hemoglobin (HGB) is a non-cyanide-based </w:t>
      </w:r>
      <w:r w:rsidR="00B626A2">
        <w:t xml:space="preserve">absorbance </w:t>
      </w:r>
      <w:r w:rsidRPr="00E44F54">
        <w:t xml:space="preserve">method read </w:t>
      </w:r>
      <w:proofErr w:type="spellStart"/>
      <w:r w:rsidRPr="00E44F54">
        <w:t>photometrically</w:t>
      </w:r>
      <w:proofErr w:type="spellEnd"/>
      <w:r w:rsidRPr="00E44F54">
        <w:t xml:space="preserve"> at 555nm.</w:t>
      </w:r>
    </w:p>
    <w:p w:rsidR="00E44F54" w:rsidRPr="00E44F54" w:rsidRDefault="00E44F54" w:rsidP="00E44F54"/>
    <w:p w:rsidR="00E44F54" w:rsidRPr="00E44F54" w:rsidRDefault="00E44F54" w:rsidP="00E44F54">
      <w:pPr>
        <w:pStyle w:val="style1"/>
        <w:tabs>
          <w:tab w:val="clear" w:pos="2880"/>
        </w:tabs>
        <w:rPr>
          <w:rFonts w:ascii="Times New Roman" w:hAnsi="Times New Roman"/>
        </w:rPr>
      </w:pPr>
      <w:r w:rsidRPr="00E44F54">
        <w:rPr>
          <w:rFonts w:ascii="Times New Roman" w:hAnsi="Times New Roman"/>
        </w:rPr>
        <w:t>White blood cells (WBC) are analyzed by direct current (DC Method) and discriminated into a 3-part differential using Particle Distribution Analysis (PDA). The resulting WBC histogram is discriminated into lymphocyte, neutrophil and mixed cell populations. The mixed cell population contains monocytes, basophils and eosinophils.</w:t>
      </w:r>
    </w:p>
    <w:p w:rsidR="00E44F54" w:rsidRPr="0092687C" w:rsidRDefault="00E44F54" w:rsidP="00E44F54">
      <w:pPr>
        <w:pStyle w:val="SectionHeader"/>
        <w:framePr w:wrap="auto" w:vAnchor="margin" w:yAlign="inline"/>
      </w:pPr>
    </w:p>
    <w:p w:rsidR="0003744F" w:rsidRDefault="0003744F" w:rsidP="00E44F54">
      <w:pPr>
        <w:pStyle w:val="SectionHeader"/>
        <w:framePr w:wrap="auto" w:vAnchor="margin" w:yAlign="inline"/>
      </w:pPr>
      <w:r>
        <w:t>Specimen</w:t>
      </w:r>
    </w:p>
    <w:p w:rsidR="00827392" w:rsidRPr="006B1D64" w:rsidRDefault="00B626A2" w:rsidP="006B1D64">
      <w:pPr>
        <w:pStyle w:val="Heading1"/>
        <w:numPr>
          <w:ilvl w:val="0"/>
          <w:numId w:val="0"/>
        </w:numPr>
        <w:rPr>
          <w:iCs/>
        </w:rPr>
      </w:pPr>
      <w:r w:rsidRPr="00A72F80">
        <w:rPr>
          <w:rStyle w:val="Emphasis"/>
          <w:i w:val="0"/>
        </w:rPr>
        <w:t xml:space="preserve">Freshly drawn whole blood collected in dipotassium or </w:t>
      </w:r>
      <w:proofErr w:type="spellStart"/>
      <w:r w:rsidRPr="00A72F80">
        <w:rPr>
          <w:rStyle w:val="Emphasis"/>
          <w:i w:val="0"/>
        </w:rPr>
        <w:t>tripotassium</w:t>
      </w:r>
      <w:proofErr w:type="spellEnd"/>
      <w:r w:rsidRPr="00A72F80">
        <w:rPr>
          <w:rStyle w:val="Emphasis"/>
          <w:i w:val="0"/>
        </w:rPr>
        <w:t xml:space="preserve"> EDTA anticoagulant is the specimen of choice.</w:t>
      </w:r>
      <w:r w:rsidR="00D14F8C">
        <w:rPr>
          <w:rStyle w:val="Emphasis"/>
          <w:i w:val="0"/>
        </w:rPr>
        <w:t xml:space="preserve"> </w:t>
      </w:r>
      <w:r w:rsidRPr="00A72F80">
        <w:rPr>
          <w:rStyle w:val="Emphasis"/>
          <w:i w:val="0"/>
        </w:rPr>
        <w:t xml:space="preserve">Tubes must </w:t>
      </w:r>
      <w:r w:rsidR="00D14F8C">
        <w:rPr>
          <w:rStyle w:val="Emphasis"/>
          <w:i w:val="0"/>
        </w:rPr>
        <w:t xml:space="preserve">contain at least 2 </w:t>
      </w:r>
      <w:proofErr w:type="spellStart"/>
      <w:r w:rsidR="00D14F8C">
        <w:rPr>
          <w:rStyle w:val="Emphasis"/>
          <w:i w:val="0"/>
        </w:rPr>
        <w:t>mls</w:t>
      </w:r>
      <w:proofErr w:type="spellEnd"/>
      <w:r w:rsidRPr="00A72F80">
        <w:rPr>
          <w:rStyle w:val="Emphasis"/>
          <w:i w:val="0"/>
        </w:rPr>
        <w:t xml:space="preserve"> </w:t>
      </w:r>
      <w:r w:rsidR="00D14F8C">
        <w:rPr>
          <w:rStyle w:val="Emphasis"/>
          <w:i w:val="0"/>
        </w:rPr>
        <w:t xml:space="preserve">of whole blood </w:t>
      </w:r>
      <w:r w:rsidRPr="00A72F80">
        <w:rPr>
          <w:rStyle w:val="Emphasis"/>
          <w:i w:val="0"/>
        </w:rPr>
        <w:t>and must not contain clots</w:t>
      </w:r>
      <w:r w:rsidR="00C10A7B">
        <w:rPr>
          <w:rStyle w:val="Emphasis"/>
          <w:i w:val="0"/>
        </w:rPr>
        <w:t xml:space="preserve"> or fibrin strands</w:t>
      </w:r>
      <w:r w:rsidRPr="00A72F80">
        <w:rPr>
          <w:rStyle w:val="Emphasis"/>
          <w:i w:val="0"/>
        </w:rPr>
        <w:t xml:space="preserve">. </w:t>
      </w:r>
      <w:proofErr w:type="spellStart"/>
      <w:r w:rsidR="00D14F8C">
        <w:t>Microtainer</w:t>
      </w:r>
      <w:proofErr w:type="spellEnd"/>
      <w:r w:rsidR="00D14F8C">
        <w:t xml:space="preserve"> samples cannot be used</w:t>
      </w:r>
      <w:r w:rsidR="005D020F">
        <w:t xml:space="preserve"> as we do not</w:t>
      </w:r>
      <w:r w:rsidR="00B457B7">
        <w:t xml:space="preserve"> have a suitable adapter</w:t>
      </w:r>
      <w:r w:rsidR="00D14F8C">
        <w:t xml:space="preserve">. </w:t>
      </w:r>
      <w:r w:rsidRPr="00A72F80">
        <w:rPr>
          <w:rStyle w:val="Emphasis"/>
          <w:i w:val="0"/>
        </w:rPr>
        <w:t>Perform whole blood analysis as soon as possible for maximum accuracy</w:t>
      </w:r>
      <w:r>
        <w:rPr>
          <w:rStyle w:val="Emphasis"/>
          <w:i w:val="0"/>
        </w:rPr>
        <w:t>.  Samples must be run within 4 hours of collection.</w:t>
      </w:r>
      <w:r w:rsidR="00E52C33">
        <w:tab/>
      </w:r>
    </w:p>
    <w:p w:rsidR="00827392" w:rsidRDefault="00827392" w:rsidP="00E44F54">
      <w:pPr>
        <w:pStyle w:val="SectionHeader"/>
        <w:framePr w:wrap="auto" w:vAnchor="margin" w:yAlign="inline"/>
      </w:pPr>
      <w:r>
        <w:t>Equipment and Materials</w:t>
      </w:r>
    </w:p>
    <w:p w:rsidR="00B626A2" w:rsidRPr="00F3030A" w:rsidRDefault="00B626A2" w:rsidP="00C10A7B">
      <w:pPr>
        <w:numPr>
          <w:ilvl w:val="0"/>
          <w:numId w:val="8"/>
        </w:numPr>
      </w:pPr>
      <w:proofErr w:type="spellStart"/>
      <w:r w:rsidRPr="00F3030A">
        <w:t>Sysmex</w:t>
      </w:r>
      <w:proofErr w:type="spellEnd"/>
      <w:r w:rsidRPr="00F3030A">
        <w:t xml:space="preserve"> Reagents</w:t>
      </w:r>
    </w:p>
    <w:p w:rsidR="00F10DBA" w:rsidRDefault="00B626A2" w:rsidP="00DD3355">
      <w:pPr>
        <w:numPr>
          <w:ilvl w:val="0"/>
          <w:numId w:val="52"/>
        </w:numPr>
        <w:tabs>
          <w:tab w:val="right" w:pos="5760"/>
        </w:tabs>
        <w:spacing w:after="60"/>
      </w:pPr>
      <w:proofErr w:type="spellStart"/>
      <w:proofErr w:type="gramStart"/>
      <w:r w:rsidRPr="00F3030A">
        <w:t>pocH</w:t>
      </w:r>
      <w:proofErr w:type="spellEnd"/>
      <w:r w:rsidRPr="00F3030A">
        <w:t>-pack</w:t>
      </w:r>
      <w:proofErr w:type="gramEnd"/>
      <w:r w:rsidRPr="00F3030A">
        <w:t xml:space="preserve"> D </w:t>
      </w:r>
      <w:r w:rsidR="005D020F" w:rsidRPr="00F3030A">
        <w:t>(</w:t>
      </w:r>
      <w:proofErr w:type="spellStart"/>
      <w:r w:rsidR="005D020F" w:rsidRPr="00F3030A">
        <w:t>Sysmex</w:t>
      </w:r>
      <w:proofErr w:type="spellEnd"/>
      <w:r w:rsidR="005D020F" w:rsidRPr="00F3030A">
        <w:t xml:space="preserve"> catalog # 024-0971-4) </w:t>
      </w:r>
      <w:r w:rsidRPr="00F3030A">
        <w:t xml:space="preserve">is a ready-to-use diluent for Direct </w:t>
      </w:r>
      <w:r w:rsidR="00B457B7">
        <w:tab/>
      </w:r>
      <w:r w:rsidRPr="00F3030A">
        <w:t>Current (DC) detection and absorbance analysis.</w:t>
      </w:r>
      <w:r w:rsidR="00DD3355">
        <w:t xml:space="preserve"> </w:t>
      </w:r>
      <w:r w:rsidRPr="00F3030A">
        <w:t>Storage and Stability:</w:t>
      </w:r>
      <w:r w:rsidR="006B1D64" w:rsidRPr="00F3030A">
        <w:t xml:space="preserve"> </w:t>
      </w:r>
      <w:r w:rsidRPr="00F3030A">
        <w:t xml:space="preserve">The expiration date is shown on the outer packaging. </w:t>
      </w:r>
      <w:r w:rsidR="00DD3355" w:rsidRPr="00F3030A">
        <w:t xml:space="preserve">It is stored at room temperature </w:t>
      </w:r>
      <w:r w:rsidR="00DD3355">
        <w:t xml:space="preserve">and contains </w:t>
      </w:r>
      <w:r w:rsidR="00DD3355" w:rsidRPr="00F10DBA">
        <w:t>Sodium Chloride</w:t>
      </w:r>
      <w:r w:rsidR="00DD3355" w:rsidRPr="00F10DBA">
        <w:tab/>
      </w:r>
      <w:r w:rsidR="00DD3355">
        <w:t xml:space="preserve"> </w:t>
      </w:r>
      <w:r w:rsidR="00DD3355" w:rsidRPr="00F10DBA">
        <w:t>6.38 g/L</w:t>
      </w:r>
      <w:r w:rsidR="00DD3355">
        <w:t xml:space="preserve">, </w:t>
      </w:r>
      <w:r w:rsidR="00DD3355" w:rsidRPr="00F10DBA">
        <w:t>Boric Acid</w:t>
      </w:r>
      <w:r w:rsidR="00DD3355">
        <w:t xml:space="preserve"> </w:t>
      </w:r>
      <w:r w:rsidR="00DD3355" w:rsidRPr="00F10DBA">
        <w:t>1.0g/L</w:t>
      </w:r>
      <w:r w:rsidR="00DD3355">
        <w:t xml:space="preserve">, Sodium </w:t>
      </w:r>
      <w:proofErr w:type="spellStart"/>
      <w:r w:rsidR="00DD3355">
        <w:t>Tetraborate</w:t>
      </w:r>
      <w:proofErr w:type="spellEnd"/>
      <w:r w:rsidR="00DD3355">
        <w:t xml:space="preserve"> </w:t>
      </w:r>
      <w:r w:rsidR="00DD3355" w:rsidRPr="00F10DBA">
        <w:t>0.2 g/L</w:t>
      </w:r>
      <w:r w:rsidR="00DD3355">
        <w:t xml:space="preserve">, and </w:t>
      </w:r>
      <w:r w:rsidR="00DD3355" w:rsidRPr="00F10DBA">
        <w:t>EDTA-2K</w:t>
      </w:r>
      <w:r w:rsidR="00DD3355">
        <w:t xml:space="preserve"> </w:t>
      </w:r>
      <w:r w:rsidR="00DD3355" w:rsidRPr="00F10DBA">
        <w:t>0.2 g/L</w:t>
      </w:r>
      <w:r w:rsidR="00DD3355">
        <w:t>.</w:t>
      </w:r>
      <w:r w:rsidR="00DD3355">
        <w:t xml:space="preserve"> </w:t>
      </w:r>
      <w:r w:rsidRPr="00F3030A">
        <w:t xml:space="preserve">Once </w:t>
      </w:r>
      <w:r w:rsidR="00DD3355">
        <w:tab/>
      </w:r>
      <w:r w:rsidRPr="00F3030A">
        <w:t>opened, product stability is 60 days. If signs of instability, such as cloudiness or color change are displayed, the reagent should be replaced.</w:t>
      </w:r>
    </w:p>
    <w:p w:rsidR="00E731C3" w:rsidRPr="00F3030A" w:rsidRDefault="00E731C3" w:rsidP="00F10DBA">
      <w:pPr>
        <w:numPr>
          <w:ilvl w:val="0"/>
          <w:numId w:val="52"/>
        </w:numPr>
        <w:tabs>
          <w:tab w:val="right" w:pos="5760"/>
        </w:tabs>
        <w:spacing w:after="60"/>
      </w:pPr>
      <w:proofErr w:type="spellStart"/>
      <w:r w:rsidRPr="00F3030A">
        <w:t>pocH</w:t>
      </w:r>
      <w:proofErr w:type="spellEnd"/>
      <w:r w:rsidRPr="00F3030A">
        <w:t>-pack L</w:t>
      </w:r>
      <w:r w:rsidR="005D020F" w:rsidRPr="00F3030A">
        <w:t xml:space="preserve"> (</w:t>
      </w:r>
      <w:proofErr w:type="spellStart"/>
      <w:r w:rsidR="005D020F" w:rsidRPr="00F3030A">
        <w:t>Sysmex</w:t>
      </w:r>
      <w:proofErr w:type="spellEnd"/>
      <w:r w:rsidR="005D020F" w:rsidRPr="00F3030A">
        <w:t xml:space="preserve"> catalog # 024-0991-9) Lysing </w:t>
      </w:r>
      <w:r w:rsidRPr="00F3030A">
        <w:t xml:space="preserve"> reagent lyses RBCs for </w:t>
      </w:r>
      <w:r w:rsidR="00F10DBA">
        <w:t xml:space="preserve">accurate </w:t>
      </w:r>
      <w:r w:rsidRPr="00F3030A">
        <w:t>WBC count, hemoglobin determination, and allows WBC count and volume distribution analysis by the DC detection method. Reagent is stored at 2</w:t>
      </w:r>
      <w:r w:rsidRPr="00F3030A">
        <w:sym w:font="Symbol" w:char="F0B0"/>
      </w:r>
      <w:r w:rsidRPr="00F3030A">
        <w:t xml:space="preserve"> to 35</w:t>
      </w:r>
      <w:r w:rsidRPr="00F3030A">
        <w:sym w:font="Symbol" w:char="F0B0"/>
      </w:r>
      <w:r w:rsidRPr="00F3030A">
        <w:t xml:space="preserve"> C</w:t>
      </w:r>
      <w:r w:rsidR="005D020F" w:rsidRPr="00F3030A">
        <w:t>.</w:t>
      </w:r>
      <w:r w:rsidRPr="00F3030A">
        <w:t xml:space="preserve"> </w:t>
      </w:r>
      <w:r w:rsidR="005D020F" w:rsidRPr="00F3030A">
        <w:t xml:space="preserve">It </w:t>
      </w:r>
      <w:r w:rsidR="005D020F" w:rsidRPr="00F3030A">
        <w:lastRenderedPageBreak/>
        <w:t xml:space="preserve">contains </w:t>
      </w:r>
      <w:r w:rsidR="00367E9E" w:rsidRPr="00F3030A">
        <w:t xml:space="preserve">Sodium Chloride </w:t>
      </w:r>
      <w:r w:rsidRPr="00F3030A">
        <w:t>0.6 g/L</w:t>
      </w:r>
      <w:r w:rsidR="005D020F" w:rsidRPr="00F3030A">
        <w:t xml:space="preserve">, and </w:t>
      </w:r>
      <w:r w:rsidRPr="00F3030A">
        <w:t>Org</w:t>
      </w:r>
      <w:r w:rsidR="00367E9E" w:rsidRPr="00F3030A">
        <w:t xml:space="preserve">anic </w:t>
      </w:r>
      <w:proofErr w:type="spellStart"/>
      <w:r w:rsidR="00367E9E" w:rsidRPr="00F3030A">
        <w:t>quarternary</w:t>
      </w:r>
      <w:proofErr w:type="spellEnd"/>
      <w:r w:rsidR="00367E9E" w:rsidRPr="00F3030A">
        <w:t xml:space="preserve"> ammonium salt </w:t>
      </w:r>
      <w:r w:rsidRPr="00F3030A">
        <w:t>8.5 g/L</w:t>
      </w:r>
      <w:r w:rsidR="005D020F" w:rsidRPr="00F3030A">
        <w:t>.</w:t>
      </w:r>
      <w:r w:rsidRPr="00F3030A">
        <w:t xml:space="preserve"> </w:t>
      </w:r>
    </w:p>
    <w:p w:rsidR="00E731C3" w:rsidRPr="00F3030A" w:rsidRDefault="00E731C3" w:rsidP="00170591">
      <w:pPr>
        <w:numPr>
          <w:ilvl w:val="0"/>
          <w:numId w:val="10"/>
        </w:numPr>
      </w:pPr>
      <w:r w:rsidRPr="00F3030A">
        <w:t>Storage and Stability:</w:t>
      </w:r>
      <w:r w:rsidR="00367E9E" w:rsidRPr="00F3030A">
        <w:t xml:space="preserve"> </w:t>
      </w:r>
      <w:r w:rsidRPr="00F3030A">
        <w:t xml:space="preserve">Use </w:t>
      </w:r>
      <w:proofErr w:type="spellStart"/>
      <w:r w:rsidRPr="00F3030A">
        <w:t>pocH</w:t>
      </w:r>
      <w:proofErr w:type="spellEnd"/>
      <w:r w:rsidRPr="00F3030A">
        <w:t>-pack L at 15</w:t>
      </w:r>
      <w:r w:rsidRPr="00F3030A">
        <w:sym w:font="Symbol" w:char="F0B0"/>
      </w:r>
      <w:r w:rsidRPr="00F3030A">
        <w:t xml:space="preserve"> to 30</w:t>
      </w:r>
      <w:r w:rsidRPr="00F3030A">
        <w:sym w:font="Symbol" w:char="F0B0"/>
      </w:r>
      <w:r w:rsidRPr="00F3030A">
        <w:t xml:space="preserve"> C. The expiration date is shown on outer packaging. Once opened, product stability expires after 90 days.  </w:t>
      </w:r>
      <w:proofErr w:type="spellStart"/>
      <w:proofErr w:type="gramStart"/>
      <w:r w:rsidRPr="00F3030A">
        <w:t>pocH</w:t>
      </w:r>
      <w:proofErr w:type="spellEnd"/>
      <w:r w:rsidRPr="00F3030A">
        <w:t>-pack</w:t>
      </w:r>
      <w:proofErr w:type="gramEnd"/>
      <w:r w:rsidRPr="00F3030A">
        <w:t xml:space="preserve"> L reagent displaying any signs of contamination or instability, as indicated by cloudiness or color change, should be replaced. Do not use </w:t>
      </w:r>
      <w:proofErr w:type="spellStart"/>
      <w:r w:rsidRPr="00F3030A">
        <w:t>pocH</w:t>
      </w:r>
      <w:proofErr w:type="spellEnd"/>
      <w:r w:rsidRPr="00F3030A">
        <w:t>-pack L once frozen.</w:t>
      </w:r>
    </w:p>
    <w:p w:rsidR="00BB4279" w:rsidRPr="00F3030A" w:rsidRDefault="00F10DBA" w:rsidP="00170591">
      <w:pPr>
        <w:numPr>
          <w:ilvl w:val="0"/>
          <w:numId w:val="10"/>
        </w:numPr>
      </w:pPr>
      <w:proofErr w:type="spellStart"/>
      <w:r>
        <w:t>WARNING</w:t>
      </w:r>
      <w:proofErr w:type="gramStart"/>
      <w:r>
        <w:t>:</w:t>
      </w:r>
      <w:r w:rsidR="00E731C3" w:rsidRPr="00F3030A">
        <w:t>Avoid</w:t>
      </w:r>
      <w:proofErr w:type="spellEnd"/>
      <w:proofErr w:type="gramEnd"/>
      <w:r w:rsidR="00E731C3" w:rsidRPr="00F3030A">
        <w:t xml:space="preserve"> contact with skin and eyes. In case of contact with skin and eyes, flush with plenty of water immediately.  Consult with a physician in case of ingestion and/or eye contact.</w:t>
      </w:r>
    </w:p>
    <w:p w:rsidR="00BB4279" w:rsidRPr="00F3030A" w:rsidRDefault="00BB4279" w:rsidP="006A02F3">
      <w:pPr>
        <w:pStyle w:val="Heading2"/>
      </w:pPr>
      <w:proofErr w:type="spellStart"/>
      <w:r w:rsidRPr="00F3030A">
        <w:t>Sysmex</w:t>
      </w:r>
      <w:proofErr w:type="spellEnd"/>
      <w:r w:rsidRPr="00F3030A">
        <w:t xml:space="preserve"> </w:t>
      </w:r>
      <w:proofErr w:type="spellStart"/>
      <w:r w:rsidRPr="00F3030A">
        <w:t>pocHi</w:t>
      </w:r>
      <w:proofErr w:type="spellEnd"/>
      <w:r w:rsidRPr="00F3030A">
        <w:t xml:space="preserve"> thermal paper (</w:t>
      </w:r>
      <w:proofErr w:type="spellStart"/>
      <w:r w:rsidRPr="00F3030A">
        <w:t>Sysmex</w:t>
      </w:r>
      <w:proofErr w:type="spellEnd"/>
      <w:r w:rsidRPr="00F3030A">
        <w:t xml:space="preserve"> catalog # C01-5050)</w:t>
      </w:r>
    </w:p>
    <w:p w:rsidR="00367E9E" w:rsidRPr="00F3030A" w:rsidRDefault="006E6ED0" w:rsidP="00C04DCA">
      <w:pPr>
        <w:numPr>
          <w:ilvl w:val="0"/>
          <w:numId w:val="8"/>
        </w:numPr>
      </w:pPr>
      <w:r w:rsidRPr="00F3030A">
        <w:t xml:space="preserve">A 5% solution of Clorox® bleach is recommended for use in cleaning of the pocH-100i whenever CELLCLEAN is indicated as the cleaning agent.  Scented or </w:t>
      </w:r>
      <w:proofErr w:type="spellStart"/>
      <w:r w:rsidRPr="00F3030A">
        <w:t>splashless</w:t>
      </w:r>
      <w:proofErr w:type="spellEnd"/>
      <w:r w:rsidRPr="00F3030A">
        <w:t xml:space="preserve"> varieties of Clorox bleach must not be used at any</w:t>
      </w:r>
      <w:r w:rsidR="00BB4279" w:rsidRPr="00F3030A">
        <w:t xml:space="preserve"> </w:t>
      </w:r>
      <w:r w:rsidRPr="00F3030A">
        <w:t xml:space="preserve">time. </w:t>
      </w:r>
    </w:p>
    <w:p w:rsidR="00940E8F" w:rsidRPr="00F3030A" w:rsidRDefault="006E6ED0" w:rsidP="00170591">
      <w:pPr>
        <w:numPr>
          <w:ilvl w:val="0"/>
          <w:numId w:val="12"/>
        </w:numPr>
      </w:pPr>
      <w:r w:rsidRPr="00F3030A">
        <w:t>Clorox Ingredients</w:t>
      </w:r>
      <w:r w:rsidR="00367E9E" w:rsidRPr="00F3030A">
        <w:t xml:space="preserve">: </w:t>
      </w:r>
      <w:r w:rsidRPr="00F3030A">
        <w:t>Sodium Hypochlorite</w:t>
      </w:r>
      <w:r w:rsidRPr="00F3030A">
        <w:tab/>
      </w:r>
    </w:p>
    <w:p w:rsidR="00940E8F" w:rsidRPr="00F3030A" w:rsidRDefault="006E6ED0" w:rsidP="00170591">
      <w:pPr>
        <w:numPr>
          <w:ilvl w:val="0"/>
          <w:numId w:val="13"/>
        </w:numPr>
      </w:pPr>
      <w:r w:rsidRPr="00F3030A">
        <w:t>Clorox Storage</w:t>
      </w:r>
      <w:r w:rsidR="00367E9E" w:rsidRPr="00F3030A">
        <w:t xml:space="preserve">: </w:t>
      </w:r>
      <w:r w:rsidRPr="00F3030A">
        <w:t>Stable under normal use and storage conditions</w:t>
      </w:r>
      <w:r w:rsidR="00F67068" w:rsidRPr="00F3030A">
        <w:t>.</w:t>
      </w:r>
    </w:p>
    <w:p w:rsidR="006E6ED0" w:rsidRPr="00F3030A" w:rsidRDefault="00F67068" w:rsidP="00170591">
      <w:pPr>
        <w:numPr>
          <w:ilvl w:val="0"/>
          <w:numId w:val="13"/>
        </w:numPr>
      </w:pPr>
      <w:r w:rsidRPr="00F3030A">
        <w:t>5% Clorox should be made fresh prior to each use as follows:</w:t>
      </w:r>
    </w:p>
    <w:p w:rsidR="00F3030A" w:rsidRPr="00F3030A" w:rsidRDefault="00F67068" w:rsidP="00170591">
      <w:pPr>
        <w:numPr>
          <w:ilvl w:val="0"/>
          <w:numId w:val="14"/>
        </w:numPr>
      </w:pPr>
      <w:r w:rsidRPr="00F3030A">
        <w:t xml:space="preserve">4.17mls of 6% hypochlorite solution and 0.83 </w:t>
      </w:r>
      <w:proofErr w:type="spellStart"/>
      <w:r w:rsidRPr="00F3030A">
        <w:t>mls</w:t>
      </w:r>
      <w:proofErr w:type="spellEnd"/>
      <w:r w:rsidRPr="00F3030A">
        <w:t xml:space="preserve"> of </w:t>
      </w:r>
      <w:proofErr w:type="spellStart"/>
      <w:r w:rsidRPr="00F3030A">
        <w:t>dionized</w:t>
      </w:r>
      <w:proofErr w:type="spellEnd"/>
      <w:r w:rsidRPr="00F3030A">
        <w:t xml:space="preserve"> water are mixed together in a 5 ml clear capped tube.</w:t>
      </w:r>
    </w:p>
    <w:p w:rsidR="00F67068" w:rsidRPr="00F3030A" w:rsidRDefault="00F67068" w:rsidP="00170591">
      <w:pPr>
        <w:numPr>
          <w:ilvl w:val="0"/>
          <w:numId w:val="14"/>
        </w:numPr>
      </w:pPr>
      <w:r w:rsidRPr="00F3030A">
        <w:t xml:space="preserve">3 </w:t>
      </w:r>
      <w:proofErr w:type="spellStart"/>
      <w:r w:rsidRPr="00F3030A">
        <w:t>mls</w:t>
      </w:r>
      <w:proofErr w:type="spellEnd"/>
      <w:r w:rsidRPr="00F3030A">
        <w:t xml:space="preserve"> of 8.25% hypochlorite solution and 2 </w:t>
      </w:r>
      <w:proofErr w:type="spellStart"/>
      <w:r w:rsidRPr="00F3030A">
        <w:t>mls</w:t>
      </w:r>
      <w:proofErr w:type="spellEnd"/>
      <w:r w:rsidRPr="00F3030A">
        <w:t xml:space="preserve"> of deionized water are mixed together in a 5 ml clear capped tube.</w:t>
      </w:r>
    </w:p>
    <w:p w:rsidR="006E6ED0" w:rsidRPr="00F3030A" w:rsidRDefault="00335CE7" w:rsidP="00C452B0">
      <w:pPr>
        <w:numPr>
          <w:ilvl w:val="0"/>
          <w:numId w:val="8"/>
        </w:numPr>
      </w:pPr>
      <w:r w:rsidRPr="00F3030A">
        <w:t>Reagent Replacement</w:t>
      </w:r>
    </w:p>
    <w:p w:rsidR="006E6ED0" w:rsidRPr="00F3030A" w:rsidRDefault="006E6ED0" w:rsidP="00170591">
      <w:pPr>
        <w:numPr>
          <w:ilvl w:val="0"/>
          <w:numId w:val="15"/>
        </w:numPr>
      </w:pPr>
      <w:r w:rsidRPr="00F3030A">
        <w:t xml:space="preserve">When the reagent level is low, an error message is displayed on the pocH-100i </w:t>
      </w:r>
      <w:r w:rsidR="00B457B7">
        <w:tab/>
      </w:r>
      <w:r w:rsidRPr="00F3030A">
        <w:t xml:space="preserve">LCD and the instrument operation stops. For </w:t>
      </w:r>
      <w:proofErr w:type="spellStart"/>
      <w:r w:rsidRPr="00F3030A">
        <w:t>pocH</w:t>
      </w:r>
      <w:proofErr w:type="spellEnd"/>
      <w:r w:rsidRPr="00F3030A">
        <w:t xml:space="preserve">-pack D, the message will read: ‘Replace </w:t>
      </w:r>
      <w:proofErr w:type="spellStart"/>
      <w:r w:rsidRPr="00F3030A">
        <w:t>pocH</w:t>
      </w:r>
      <w:proofErr w:type="spellEnd"/>
      <w:r w:rsidRPr="00F3030A">
        <w:t xml:space="preserve">-pack D’. For </w:t>
      </w:r>
      <w:proofErr w:type="spellStart"/>
      <w:r w:rsidRPr="00F3030A">
        <w:t>pocH</w:t>
      </w:r>
      <w:proofErr w:type="spellEnd"/>
      <w:r w:rsidRPr="00F3030A">
        <w:t xml:space="preserve">-pack L, the message will read: ‘Replace </w:t>
      </w:r>
      <w:proofErr w:type="spellStart"/>
      <w:r w:rsidRPr="00F3030A">
        <w:t>pocH</w:t>
      </w:r>
      <w:proofErr w:type="spellEnd"/>
      <w:r w:rsidRPr="00F3030A">
        <w:t>-pack L’.</w:t>
      </w:r>
    </w:p>
    <w:p w:rsidR="006E6ED0" w:rsidRPr="00F3030A" w:rsidRDefault="006E6ED0" w:rsidP="00170591">
      <w:pPr>
        <w:numPr>
          <w:ilvl w:val="0"/>
          <w:numId w:val="15"/>
        </w:numPr>
      </w:pPr>
      <w:r w:rsidRPr="00F3030A">
        <w:t xml:space="preserve">Open the new reagent container.  Document the lot number in use </w:t>
      </w:r>
      <w:r w:rsidR="00DD1290" w:rsidRPr="00F3030A">
        <w:t>on the reagent log located in the QC book.</w:t>
      </w:r>
    </w:p>
    <w:p w:rsidR="006E6ED0" w:rsidRPr="00F3030A" w:rsidRDefault="006E6ED0" w:rsidP="00170591">
      <w:pPr>
        <w:numPr>
          <w:ilvl w:val="0"/>
          <w:numId w:val="15"/>
        </w:numPr>
      </w:pPr>
      <w:r w:rsidRPr="00F3030A">
        <w:t>Using care to no</w:t>
      </w:r>
      <w:r w:rsidR="00340D75" w:rsidRPr="00F3030A">
        <w:t xml:space="preserve">t contaminate the reagent </w:t>
      </w:r>
      <w:proofErr w:type="gramStart"/>
      <w:r w:rsidR="00340D75" w:rsidRPr="00F3030A">
        <w:t>line,</w:t>
      </w:r>
      <w:proofErr w:type="gramEnd"/>
      <w:r w:rsidR="00340D75" w:rsidRPr="00F3030A">
        <w:t xml:space="preserve"> </w:t>
      </w:r>
      <w:r w:rsidRPr="00F3030A">
        <w:t>remove the cap from the empty container. Pull the container spout kit straight out to remove it.</w:t>
      </w:r>
    </w:p>
    <w:p w:rsidR="006E6ED0" w:rsidRPr="00F3030A" w:rsidRDefault="006E6ED0" w:rsidP="00170591">
      <w:pPr>
        <w:numPr>
          <w:ilvl w:val="0"/>
          <w:numId w:val="15"/>
        </w:numPr>
      </w:pPr>
      <w:r w:rsidRPr="00F3030A">
        <w:t xml:space="preserve">Insert the container spout kit immediately into the newly opened container and </w:t>
      </w:r>
      <w:r w:rsidR="00BE1334">
        <w:t xml:space="preserve">tighten </w:t>
      </w:r>
      <w:r w:rsidRPr="00F3030A">
        <w:t>the cap.</w:t>
      </w:r>
    </w:p>
    <w:p w:rsidR="006E6ED0" w:rsidRPr="00F3030A" w:rsidRDefault="006E6ED0" w:rsidP="00170591">
      <w:pPr>
        <w:numPr>
          <w:ilvl w:val="0"/>
          <w:numId w:val="15"/>
        </w:numPr>
      </w:pPr>
      <w:r w:rsidRPr="00F3030A">
        <w:t xml:space="preserve">Record the </w:t>
      </w:r>
      <w:r w:rsidR="00DD1290" w:rsidRPr="00F3030A">
        <w:t>open container expiration date</w:t>
      </w:r>
      <w:r w:rsidRPr="00F3030A">
        <w:t xml:space="preserve"> on the new reagent container.</w:t>
      </w:r>
    </w:p>
    <w:p w:rsidR="00DD1290" w:rsidRPr="00F3030A" w:rsidRDefault="006E6ED0" w:rsidP="00170591">
      <w:pPr>
        <w:numPr>
          <w:ilvl w:val="0"/>
          <w:numId w:val="15"/>
        </w:numPr>
      </w:pPr>
      <w:r w:rsidRPr="00F3030A">
        <w:t xml:space="preserve">To enter the reagent replenish function, press </w:t>
      </w:r>
      <w:r w:rsidRPr="00287A8A">
        <w:rPr>
          <w:b/>
        </w:rPr>
        <w:t>[EXECUTE]</w:t>
      </w:r>
      <w:r w:rsidRPr="00F3030A">
        <w:t xml:space="preserve"> followed by</w:t>
      </w:r>
      <w:r w:rsidR="00C452B0">
        <w:t>:</w:t>
      </w:r>
      <w:r w:rsidRPr="00F3030A">
        <w:t xml:space="preserve"> </w:t>
      </w:r>
    </w:p>
    <w:p w:rsidR="006E6ED0" w:rsidRPr="00F3030A" w:rsidRDefault="006E6ED0" w:rsidP="00170591">
      <w:pPr>
        <w:numPr>
          <w:ilvl w:val="0"/>
          <w:numId w:val="15"/>
        </w:numPr>
      </w:pPr>
      <w:r w:rsidRPr="00F3030A">
        <w:t xml:space="preserve">Scan the barcode label or enter the barcode affixed to the new reagent, by pressing </w:t>
      </w:r>
      <w:r w:rsidRPr="00287A8A">
        <w:rPr>
          <w:b/>
        </w:rPr>
        <w:t>[MANUAL].</w:t>
      </w:r>
      <w:r w:rsidRPr="00F3030A">
        <w:t xml:space="preserve"> The numerical key pad appears and the barcode can be entered using the key pad.  Press </w:t>
      </w:r>
      <w:r w:rsidRPr="00287A8A">
        <w:rPr>
          <w:b/>
        </w:rPr>
        <w:t>[OK].</w:t>
      </w:r>
      <w:r w:rsidRPr="00F3030A">
        <w:t xml:space="preserve"> In case an error is made entering the lot number of reagent, a ‘Barcode error’ message is displayed.</w:t>
      </w:r>
    </w:p>
    <w:p w:rsidR="006E6ED0" w:rsidRPr="00F3030A" w:rsidRDefault="006E6ED0" w:rsidP="00170591">
      <w:pPr>
        <w:numPr>
          <w:ilvl w:val="0"/>
          <w:numId w:val="15"/>
        </w:numPr>
      </w:pPr>
      <w:r w:rsidRPr="00F3030A">
        <w:t xml:space="preserve">Press </w:t>
      </w:r>
      <w:r w:rsidRPr="00287A8A">
        <w:rPr>
          <w:b/>
        </w:rPr>
        <w:t>[EXECUTE]</w:t>
      </w:r>
      <w:r w:rsidRPr="00F3030A">
        <w:t xml:space="preserve"> to replace reagent.</w:t>
      </w:r>
      <w:r w:rsidR="00917D34" w:rsidRPr="00F3030A">
        <w:t xml:space="preserve"> Main screen will display on completion.</w:t>
      </w:r>
    </w:p>
    <w:p w:rsidR="00E44F54" w:rsidRDefault="006E6ED0" w:rsidP="00170591">
      <w:pPr>
        <w:numPr>
          <w:ilvl w:val="0"/>
          <w:numId w:val="15"/>
        </w:numPr>
      </w:pPr>
      <w:r w:rsidRPr="00F3030A">
        <w:t xml:space="preserve">If reagent replacement program is entered erroneously, press </w:t>
      </w:r>
      <w:r w:rsidRPr="00287A8A">
        <w:rPr>
          <w:b/>
        </w:rPr>
        <w:t xml:space="preserve">[CANCEL] </w:t>
      </w:r>
      <w:r w:rsidRPr="00F3030A">
        <w:t xml:space="preserve">to exit </w:t>
      </w:r>
      <w:r w:rsidR="00B457B7">
        <w:tab/>
      </w:r>
      <w:r w:rsidRPr="00F3030A">
        <w:t>program.</w:t>
      </w:r>
    </w:p>
    <w:p w:rsidR="00C452B0" w:rsidRPr="00F3030A" w:rsidRDefault="00C452B0" w:rsidP="00C452B0">
      <w:pPr>
        <w:ind w:left="1170"/>
      </w:pPr>
    </w:p>
    <w:p w:rsidR="00B626A2" w:rsidRPr="00C452B0" w:rsidRDefault="00C452B0" w:rsidP="00F3030A">
      <w:pPr>
        <w:rPr>
          <w:b/>
          <w:sz w:val="28"/>
          <w:szCs w:val="28"/>
        </w:rPr>
      </w:pPr>
      <w:r>
        <w:rPr>
          <w:b/>
          <w:sz w:val="28"/>
          <w:szCs w:val="28"/>
        </w:rPr>
        <w:t>Quality Control</w:t>
      </w:r>
    </w:p>
    <w:p w:rsidR="004D14F1" w:rsidRPr="00F3030A" w:rsidRDefault="004D14F1" w:rsidP="00F3030A"/>
    <w:p w:rsidR="006E6ED0" w:rsidRPr="00F3030A" w:rsidRDefault="006E6ED0" w:rsidP="00170591">
      <w:pPr>
        <w:numPr>
          <w:ilvl w:val="0"/>
          <w:numId w:val="16"/>
        </w:numPr>
      </w:pPr>
      <w:r w:rsidRPr="00F3030A">
        <w:t xml:space="preserve">EIGHTCHECK-3WP X-TRA™ is a tri-level whole blood commercial control for use with the </w:t>
      </w:r>
      <w:proofErr w:type="spellStart"/>
      <w:r w:rsidRPr="00F3030A">
        <w:t>Sysmex</w:t>
      </w:r>
      <w:proofErr w:type="spellEnd"/>
      <w:r w:rsidRPr="00F3030A">
        <w:t xml:space="preserve"> pocH-100i hematology analyzer.</w:t>
      </w:r>
    </w:p>
    <w:p w:rsidR="006E6ED0" w:rsidRPr="00F3030A" w:rsidRDefault="006E6ED0" w:rsidP="00170591">
      <w:pPr>
        <w:numPr>
          <w:ilvl w:val="0"/>
          <w:numId w:val="17"/>
        </w:numPr>
      </w:pPr>
      <w:r w:rsidRPr="00F3030A">
        <w:t>EIGHTCHECK-3WP X-TRA Ingredients (formulation)</w:t>
      </w:r>
      <w:r w:rsidR="004D14F1" w:rsidRPr="00F3030A">
        <w:t xml:space="preserve">: </w:t>
      </w:r>
      <w:r w:rsidRPr="00F3030A">
        <w:t xml:space="preserve">EIGHTCHECK-3WP X-TRA consists of stabilized human erythrocytes, human and simulated leukocytes and a platelet component in </w:t>
      </w:r>
      <w:proofErr w:type="gramStart"/>
      <w:r w:rsidRPr="00F3030A">
        <w:t>a plasma</w:t>
      </w:r>
      <w:proofErr w:type="gramEnd"/>
      <w:r w:rsidRPr="00F3030A">
        <w:t>-like fluid. Each vial contains 2.0</w:t>
      </w:r>
      <w:r w:rsidR="00DD3355">
        <w:t xml:space="preserve"> mL of </w:t>
      </w:r>
      <w:r w:rsidRPr="00F3030A">
        <w:t>control material.</w:t>
      </w:r>
    </w:p>
    <w:p w:rsidR="006E6ED0" w:rsidRPr="00F3030A" w:rsidRDefault="006E6ED0" w:rsidP="00170591">
      <w:pPr>
        <w:numPr>
          <w:ilvl w:val="0"/>
          <w:numId w:val="18"/>
        </w:numPr>
      </w:pPr>
      <w:r w:rsidRPr="00F3030A">
        <w:t>EIGHTCHECK-3WP X-TRA Storage:</w:t>
      </w:r>
      <w:r w:rsidR="004D14F1" w:rsidRPr="00F3030A">
        <w:t xml:space="preserve"> </w:t>
      </w:r>
      <w:r w:rsidRPr="00F3030A">
        <w:t>After opening, vials should be stored in the upright position at 2</w:t>
      </w:r>
      <w:r w:rsidRPr="00C452B0">
        <w:rPr>
          <w:vertAlign w:val="superscript"/>
        </w:rPr>
        <w:t>o</w:t>
      </w:r>
      <w:r w:rsidRPr="00F3030A">
        <w:t xml:space="preserve"> to 8</w:t>
      </w:r>
      <w:r w:rsidRPr="00C452B0">
        <w:rPr>
          <w:vertAlign w:val="superscript"/>
        </w:rPr>
        <w:t>o</w:t>
      </w:r>
      <w:r w:rsidRPr="00F3030A">
        <w:t xml:space="preserve"> C.</w:t>
      </w:r>
    </w:p>
    <w:p w:rsidR="006E6ED0" w:rsidRPr="00F3030A" w:rsidRDefault="006E6ED0" w:rsidP="00170591">
      <w:pPr>
        <w:numPr>
          <w:ilvl w:val="0"/>
          <w:numId w:val="18"/>
        </w:numPr>
      </w:pPr>
      <w:r w:rsidRPr="00F3030A">
        <w:t>DO NOT freeze or expose to excessive heat.</w:t>
      </w:r>
    </w:p>
    <w:p w:rsidR="006E6ED0" w:rsidRPr="00F3030A" w:rsidRDefault="006E6ED0" w:rsidP="00170591">
      <w:pPr>
        <w:numPr>
          <w:ilvl w:val="0"/>
          <w:numId w:val="17"/>
        </w:numPr>
      </w:pPr>
      <w:r w:rsidRPr="00F3030A">
        <w:t>EIGHTCHECK-3WP X-TRA Stability:</w:t>
      </w:r>
      <w:r w:rsidR="004D14F1" w:rsidRPr="00F3030A">
        <w:t xml:space="preserve"> </w:t>
      </w:r>
      <w:r w:rsidRPr="00F3030A">
        <w:t xml:space="preserve">Unopened and properly stored, </w:t>
      </w:r>
      <w:r w:rsidR="00C452B0">
        <w:tab/>
      </w:r>
      <w:r w:rsidRPr="00F3030A">
        <w:t>EIGHTCHECK-3WP X-TRA is stable until the expiration date stated on the vial.</w:t>
      </w:r>
    </w:p>
    <w:p w:rsidR="006E6ED0" w:rsidRPr="00F3030A" w:rsidRDefault="006E6ED0" w:rsidP="00170591">
      <w:pPr>
        <w:numPr>
          <w:ilvl w:val="0"/>
          <w:numId w:val="19"/>
        </w:numPr>
      </w:pPr>
      <w:r w:rsidRPr="00F3030A">
        <w:t xml:space="preserve">Open vial stability is 14 days when promptly refrigerated after each </w:t>
      </w:r>
      <w:r w:rsidR="00B457B7">
        <w:tab/>
      </w:r>
      <w:r w:rsidRPr="00F3030A">
        <w:t>use.</w:t>
      </w:r>
      <w:r w:rsidR="00287A8A">
        <w:t xml:space="preserve"> If controls are run weekly, three control runs should be usable from each vial.  </w:t>
      </w:r>
    </w:p>
    <w:p w:rsidR="006E6ED0" w:rsidRPr="00F3030A" w:rsidRDefault="006E6ED0" w:rsidP="00170591">
      <w:pPr>
        <w:numPr>
          <w:ilvl w:val="0"/>
          <w:numId w:val="19"/>
        </w:numPr>
      </w:pPr>
      <w:r w:rsidRPr="00F3030A">
        <w:t xml:space="preserve">Record the </w:t>
      </w:r>
      <w:r w:rsidR="00DD3355">
        <w:t xml:space="preserve">expiration </w:t>
      </w:r>
      <w:r w:rsidRPr="00F3030A">
        <w:t>date on each vial upon opening.</w:t>
      </w:r>
    </w:p>
    <w:p w:rsidR="00517530" w:rsidRPr="00F3030A" w:rsidRDefault="00517530" w:rsidP="00170591">
      <w:pPr>
        <w:numPr>
          <w:ilvl w:val="0"/>
          <w:numId w:val="16"/>
        </w:numPr>
      </w:pPr>
      <w:r w:rsidRPr="00F3030A">
        <w:t xml:space="preserve">Setup of Quality Control files for new lot number </w:t>
      </w:r>
    </w:p>
    <w:p w:rsidR="008871AC" w:rsidRPr="00F3030A" w:rsidRDefault="008871AC" w:rsidP="00170591">
      <w:pPr>
        <w:numPr>
          <w:ilvl w:val="0"/>
          <w:numId w:val="20"/>
        </w:numPr>
      </w:pPr>
      <w:r w:rsidRPr="00F3030A">
        <w:t xml:space="preserve">Each new lot of control will have at least one parallel point run to verify </w:t>
      </w:r>
      <w:r w:rsidR="00B457B7">
        <w:tab/>
      </w:r>
      <w:r w:rsidRPr="00F3030A">
        <w:t xml:space="preserve">acceptability of new lot prior to expiration of existing lot as we are using </w:t>
      </w:r>
      <w:r w:rsidR="00B457B7">
        <w:tab/>
      </w:r>
      <w:r w:rsidRPr="00F3030A">
        <w:t>manufacturer’s determined means and ranges.</w:t>
      </w:r>
    </w:p>
    <w:p w:rsidR="00842169" w:rsidRPr="00F3030A" w:rsidRDefault="00842169" w:rsidP="00170591">
      <w:pPr>
        <w:numPr>
          <w:ilvl w:val="0"/>
          <w:numId w:val="20"/>
        </w:numPr>
      </w:pPr>
      <w:r w:rsidRPr="00F3030A">
        <w:t>Select the corresponding file.</w:t>
      </w:r>
    </w:p>
    <w:p w:rsidR="00842169" w:rsidRPr="00F3030A" w:rsidRDefault="00842169" w:rsidP="00170591">
      <w:pPr>
        <w:numPr>
          <w:ilvl w:val="0"/>
          <w:numId w:val="20"/>
        </w:numPr>
      </w:pPr>
      <w:r w:rsidRPr="00F3030A">
        <w:t>Clear previous data from file.</w:t>
      </w:r>
    </w:p>
    <w:p w:rsidR="00842169" w:rsidRPr="00F3030A" w:rsidRDefault="00842169" w:rsidP="00170591">
      <w:pPr>
        <w:numPr>
          <w:ilvl w:val="0"/>
          <w:numId w:val="20"/>
        </w:numPr>
      </w:pPr>
      <w:r w:rsidRPr="00F3030A">
        <w:t xml:space="preserve">Press </w:t>
      </w:r>
      <w:r w:rsidRPr="00287A8A">
        <w:rPr>
          <w:b/>
        </w:rPr>
        <w:t xml:space="preserve">[Menu] </w:t>
      </w:r>
      <w:r w:rsidRPr="00F3030A">
        <w:t xml:space="preserve">or </w:t>
      </w:r>
      <w:r w:rsidRPr="00287A8A">
        <w:rPr>
          <w:b/>
        </w:rPr>
        <w:t>[Top].</w:t>
      </w:r>
    </w:p>
    <w:p w:rsidR="00842169" w:rsidRPr="00F3030A" w:rsidRDefault="00842169" w:rsidP="00170591">
      <w:pPr>
        <w:numPr>
          <w:ilvl w:val="0"/>
          <w:numId w:val="20"/>
        </w:numPr>
      </w:pPr>
      <w:r w:rsidRPr="00F3030A">
        <w:t xml:space="preserve">Press </w:t>
      </w:r>
      <w:r w:rsidRPr="00247C5F">
        <w:rPr>
          <w:b/>
        </w:rPr>
        <w:t>[QC Charts].</w:t>
      </w:r>
    </w:p>
    <w:p w:rsidR="00842169" w:rsidRPr="00F3030A" w:rsidRDefault="00842169" w:rsidP="00170591">
      <w:pPr>
        <w:numPr>
          <w:ilvl w:val="0"/>
          <w:numId w:val="20"/>
        </w:numPr>
      </w:pPr>
      <w:r w:rsidRPr="00F3030A">
        <w:t xml:space="preserve">Press </w:t>
      </w:r>
      <w:r w:rsidRPr="00247C5F">
        <w:rPr>
          <w:b/>
        </w:rPr>
        <w:t>[Delete].</w:t>
      </w:r>
      <w:r w:rsidRPr="00F3030A">
        <w:tab/>
      </w:r>
      <w:r w:rsidRPr="00F3030A">
        <w:tab/>
      </w:r>
    </w:p>
    <w:p w:rsidR="00F06FCD" w:rsidRPr="00F3030A" w:rsidRDefault="00F06FCD" w:rsidP="00170591">
      <w:pPr>
        <w:numPr>
          <w:ilvl w:val="0"/>
          <w:numId w:val="20"/>
        </w:numPr>
      </w:pPr>
      <w:r w:rsidRPr="00F3030A">
        <w:t xml:space="preserve">Press </w:t>
      </w:r>
      <w:r w:rsidRPr="00247C5F">
        <w:rPr>
          <w:b/>
        </w:rPr>
        <w:t>[Set</w:t>
      </w:r>
      <w:r w:rsidR="00842169" w:rsidRPr="00247C5F">
        <w:rPr>
          <w:b/>
        </w:rPr>
        <w:t>up</w:t>
      </w:r>
      <w:r w:rsidRPr="00247C5F">
        <w:rPr>
          <w:b/>
        </w:rPr>
        <w:t>].</w:t>
      </w:r>
    </w:p>
    <w:p w:rsidR="00517530" w:rsidRPr="00F3030A" w:rsidRDefault="00F06FCD" w:rsidP="00170591">
      <w:pPr>
        <w:numPr>
          <w:ilvl w:val="0"/>
          <w:numId w:val="20"/>
        </w:numPr>
      </w:pPr>
      <w:r w:rsidRPr="00F3030A">
        <w:t xml:space="preserve">Scan lot </w:t>
      </w:r>
      <w:r w:rsidR="00842169" w:rsidRPr="00F3030A">
        <w:t xml:space="preserve">and expiration date </w:t>
      </w:r>
      <w:r w:rsidRPr="00F3030A">
        <w:t>from the assay sheet using barcode reader</w:t>
      </w:r>
      <w:r w:rsidR="00F3030A">
        <w:t xml:space="preserve"> or </w:t>
      </w:r>
      <w:r w:rsidR="00842169" w:rsidRPr="00F3030A">
        <w:t xml:space="preserve">enter </w:t>
      </w:r>
      <w:r w:rsidR="00247C5F">
        <w:tab/>
      </w:r>
      <w:r w:rsidR="00842169" w:rsidRPr="00F3030A">
        <w:t>manually using keypad</w:t>
      </w:r>
      <w:r w:rsidRPr="00F3030A">
        <w:t>.</w:t>
      </w:r>
    </w:p>
    <w:p w:rsidR="00842169" w:rsidRPr="00F3030A" w:rsidRDefault="00B30B72" w:rsidP="00170591">
      <w:pPr>
        <w:numPr>
          <w:ilvl w:val="0"/>
          <w:numId w:val="20"/>
        </w:numPr>
      </w:pPr>
      <w:r w:rsidRPr="00F3030A">
        <w:t>Enter TARGET and LIMIT values for e</w:t>
      </w:r>
      <w:r w:rsidR="00F3030A">
        <w:t xml:space="preserve">ach parameter by barcode or by </w:t>
      </w:r>
      <w:r w:rsidRPr="00F3030A">
        <w:t xml:space="preserve">hand </w:t>
      </w:r>
      <w:r w:rsidR="00247C5F">
        <w:tab/>
      </w:r>
      <w:r w:rsidRPr="00F3030A">
        <w:t>switching between the six QC screens as needed.</w:t>
      </w:r>
    </w:p>
    <w:p w:rsidR="00B30B72" w:rsidRPr="00F3030A" w:rsidRDefault="00B30B72" w:rsidP="00170591">
      <w:pPr>
        <w:numPr>
          <w:ilvl w:val="0"/>
          <w:numId w:val="20"/>
        </w:numPr>
      </w:pPr>
      <w:r w:rsidRPr="00F3030A">
        <w:t xml:space="preserve">Press </w:t>
      </w:r>
      <w:r w:rsidRPr="00247C5F">
        <w:rPr>
          <w:b/>
        </w:rPr>
        <w:t>[SAVE].</w:t>
      </w:r>
      <w:r w:rsidRPr="00F3030A">
        <w:t xml:space="preserve"> </w:t>
      </w:r>
    </w:p>
    <w:p w:rsidR="00517530" w:rsidRPr="00247C5F" w:rsidRDefault="00B30B72" w:rsidP="00170591">
      <w:pPr>
        <w:numPr>
          <w:ilvl w:val="0"/>
          <w:numId w:val="20"/>
        </w:numPr>
      </w:pPr>
      <w:r w:rsidRPr="00F3030A">
        <w:t xml:space="preserve">At Quit QC Setting? Press </w:t>
      </w:r>
      <w:r w:rsidRPr="00247C5F">
        <w:rPr>
          <w:b/>
        </w:rPr>
        <w:t>[OK].</w:t>
      </w:r>
    </w:p>
    <w:p w:rsidR="00247C5F" w:rsidRPr="00F3030A" w:rsidRDefault="00247C5F" w:rsidP="00247C5F">
      <w:pPr>
        <w:ind w:left="1080"/>
      </w:pPr>
    </w:p>
    <w:p w:rsidR="00565309" w:rsidRPr="00F3030A" w:rsidRDefault="00565309" w:rsidP="00170591">
      <w:pPr>
        <w:numPr>
          <w:ilvl w:val="0"/>
          <w:numId w:val="16"/>
        </w:numPr>
      </w:pPr>
      <w:r w:rsidRPr="00F3030A">
        <w:t xml:space="preserve">Frequency of Control Use </w:t>
      </w:r>
    </w:p>
    <w:p w:rsidR="00565309" w:rsidRPr="00F3030A" w:rsidRDefault="00565309" w:rsidP="00170591">
      <w:pPr>
        <w:numPr>
          <w:ilvl w:val="0"/>
          <w:numId w:val="21"/>
        </w:numPr>
      </w:pPr>
      <w:r w:rsidRPr="00F3030A">
        <w:t xml:space="preserve">Three levels of controls shall be run every Monday </w:t>
      </w:r>
      <w:r w:rsidR="00D23254" w:rsidRPr="00F3030A">
        <w:t>regardless of analyzer use while analyzer is stored in Hematology Dept.</w:t>
      </w:r>
    </w:p>
    <w:p w:rsidR="00340D75" w:rsidRPr="00F3030A" w:rsidRDefault="00D23254" w:rsidP="00170591">
      <w:pPr>
        <w:numPr>
          <w:ilvl w:val="0"/>
          <w:numId w:val="21"/>
        </w:numPr>
      </w:pPr>
      <w:r w:rsidRPr="00F3030A">
        <w:t xml:space="preserve">Three levels of control shall be run each day of patient use prior to patient samples </w:t>
      </w:r>
      <w:r w:rsidR="00247C5F">
        <w:tab/>
      </w:r>
      <w:r w:rsidRPr="00F3030A">
        <w:t>while stored in Hood in Biocontainment Lab.</w:t>
      </w:r>
    </w:p>
    <w:p w:rsidR="008871AC" w:rsidRPr="00F3030A" w:rsidRDefault="00340D75" w:rsidP="00170591">
      <w:pPr>
        <w:numPr>
          <w:ilvl w:val="0"/>
          <w:numId w:val="21"/>
        </w:numPr>
      </w:pPr>
      <w:r w:rsidRPr="00F3030A">
        <w:t xml:space="preserve">Test results are considered "in control" when the controls exhibit the expected </w:t>
      </w:r>
      <w:r w:rsidR="00247C5F">
        <w:tab/>
      </w:r>
      <w:r w:rsidRPr="00F3030A">
        <w:t>results. If controls do not give expected results, patient testing must not be initiated until the problem is identified and solved.</w:t>
      </w:r>
    </w:p>
    <w:p w:rsidR="00517530" w:rsidRPr="00F3030A" w:rsidRDefault="00517530" w:rsidP="00170591">
      <w:pPr>
        <w:numPr>
          <w:ilvl w:val="0"/>
          <w:numId w:val="16"/>
        </w:numPr>
      </w:pPr>
      <w:r w:rsidRPr="00F3030A">
        <w:t>Instructions for Use</w:t>
      </w:r>
    </w:p>
    <w:p w:rsidR="00517530" w:rsidRPr="00F3030A" w:rsidRDefault="00517530" w:rsidP="00170591">
      <w:pPr>
        <w:numPr>
          <w:ilvl w:val="0"/>
          <w:numId w:val="22"/>
        </w:numPr>
      </w:pPr>
      <w:r w:rsidRPr="00F3030A">
        <w:t xml:space="preserve">Remove EIGHTCHECK-3WP X-TRA vials from refrigerator and allow them to </w:t>
      </w:r>
      <w:r w:rsidR="00247C5F">
        <w:tab/>
      </w:r>
      <w:r w:rsidRPr="00F3030A">
        <w:t>come to room temperature (18</w:t>
      </w:r>
      <w:r w:rsidRPr="00DD3355">
        <w:rPr>
          <w:vertAlign w:val="superscript"/>
        </w:rPr>
        <w:t>o</w:t>
      </w:r>
      <w:r w:rsidRPr="00F3030A">
        <w:t xml:space="preserve"> to 25</w:t>
      </w:r>
      <w:r w:rsidRPr="00DD3355">
        <w:rPr>
          <w:vertAlign w:val="superscript"/>
        </w:rPr>
        <w:t xml:space="preserve">o </w:t>
      </w:r>
      <w:r w:rsidRPr="00F3030A">
        <w:t>C) for approximately 15 minutes.</w:t>
      </w:r>
    </w:p>
    <w:p w:rsidR="00517530" w:rsidRPr="00F3030A" w:rsidRDefault="00517530" w:rsidP="00170591">
      <w:pPr>
        <w:numPr>
          <w:ilvl w:val="0"/>
          <w:numId w:val="22"/>
        </w:numPr>
      </w:pPr>
      <w:r w:rsidRPr="00F3030A">
        <w:t xml:space="preserve">Mix vials by gentle end-to-end inversion until the cell button in the bottom of the </w:t>
      </w:r>
      <w:r w:rsidR="00247C5F">
        <w:tab/>
      </w:r>
      <w:r w:rsidRPr="00F3030A">
        <w:t>vial is completely suspended. Do not use a mechanical rocker.</w:t>
      </w:r>
    </w:p>
    <w:p w:rsidR="00D23254" w:rsidRPr="00F3030A" w:rsidRDefault="00517530" w:rsidP="00170591">
      <w:pPr>
        <w:numPr>
          <w:ilvl w:val="0"/>
          <w:numId w:val="22"/>
        </w:numPr>
      </w:pPr>
      <w:r w:rsidRPr="00F3030A">
        <w:t>Return vials to the refrigerator promptly after use.</w:t>
      </w:r>
    </w:p>
    <w:p w:rsidR="00517530" w:rsidRPr="00F3030A" w:rsidRDefault="00517530" w:rsidP="00170591">
      <w:pPr>
        <w:numPr>
          <w:ilvl w:val="0"/>
          <w:numId w:val="22"/>
        </w:numPr>
      </w:pPr>
      <w:r w:rsidRPr="00F3030A">
        <w:t xml:space="preserve">Use the appropriate </w:t>
      </w:r>
      <w:r w:rsidR="008871AC" w:rsidRPr="00F3030A">
        <w:t xml:space="preserve">green </w:t>
      </w:r>
      <w:r w:rsidRPr="00F3030A">
        <w:t xml:space="preserve">adapter to analyze the control blood sample in the same </w:t>
      </w:r>
      <w:r w:rsidR="00247C5F">
        <w:tab/>
      </w:r>
      <w:r w:rsidRPr="00F3030A">
        <w:t>manner as patient whole blood</w:t>
      </w:r>
      <w:r w:rsidR="008871AC" w:rsidRPr="00F3030A">
        <w:t>.</w:t>
      </w:r>
    </w:p>
    <w:p w:rsidR="00517530" w:rsidRPr="00F3030A" w:rsidRDefault="00517530" w:rsidP="00170591">
      <w:pPr>
        <w:numPr>
          <w:ilvl w:val="0"/>
          <w:numId w:val="22"/>
        </w:numPr>
      </w:pPr>
      <w:r w:rsidRPr="00F3030A">
        <w:t xml:space="preserve">Wait until analyzer displays the ‘Ready’ message and press </w:t>
      </w:r>
      <w:r w:rsidRPr="00247C5F">
        <w:rPr>
          <w:b/>
        </w:rPr>
        <w:t>[QC]</w:t>
      </w:r>
      <w:r w:rsidRPr="00F3030A">
        <w:t xml:space="preserve"> on Main screen.</w:t>
      </w:r>
    </w:p>
    <w:p w:rsidR="00517530" w:rsidRPr="00F3030A" w:rsidRDefault="00517530" w:rsidP="00170591">
      <w:pPr>
        <w:numPr>
          <w:ilvl w:val="0"/>
          <w:numId w:val="22"/>
        </w:numPr>
      </w:pPr>
      <w:r w:rsidRPr="00F3030A">
        <w:t xml:space="preserve">Press the correct lot number for QC sample to be analyzed. The analyzing start </w:t>
      </w:r>
      <w:r w:rsidR="00247C5F">
        <w:tab/>
      </w:r>
      <w:r w:rsidRPr="00F3030A">
        <w:t>screen will be displayed.</w:t>
      </w:r>
    </w:p>
    <w:p w:rsidR="00517530" w:rsidRPr="00F3030A" w:rsidRDefault="00517530" w:rsidP="00170591">
      <w:pPr>
        <w:numPr>
          <w:ilvl w:val="0"/>
          <w:numId w:val="22"/>
        </w:numPr>
      </w:pPr>
      <w:r w:rsidRPr="00F3030A">
        <w:t>Press the top of the sample position to open it automatically. Do not force it to open or the analyzer may be damaged. Set the control blood in the sample position.</w:t>
      </w:r>
      <w:r w:rsidR="00340D75" w:rsidRPr="00F3030A">
        <w:t xml:space="preserve"> Close the sample holder.</w:t>
      </w:r>
    </w:p>
    <w:p w:rsidR="00247C5F" w:rsidRDefault="00517530" w:rsidP="00170591">
      <w:pPr>
        <w:numPr>
          <w:ilvl w:val="0"/>
          <w:numId w:val="22"/>
        </w:numPr>
      </w:pPr>
      <w:r w:rsidRPr="00F3030A">
        <w:t xml:space="preserve">Press </w:t>
      </w:r>
      <w:r w:rsidRPr="00247C5F">
        <w:rPr>
          <w:b/>
        </w:rPr>
        <w:t>[RUN].</w:t>
      </w:r>
      <w:r w:rsidRPr="00F3030A">
        <w:t xml:space="preserve"> The analysis starts. </w:t>
      </w:r>
    </w:p>
    <w:p w:rsidR="00247C5F" w:rsidRDefault="00517530" w:rsidP="00170591">
      <w:pPr>
        <w:numPr>
          <w:ilvl w:val="1"/>
          <w:numId w:val="22"/>
        </w:numPr>
      </w:pPr>
      <w:r w:rsidRPr="00F3030A">
        <w:t xml:space="preserve">The status display reads ‘Aspirating’. </w:t>
      </w:r>
    </w:p>
    <w:p w:rsidR="00247C5F" w:rsidRDefault="00517530" w:rsidP="00170591">
      <w:pPr>
        <w:numPr>
          <w:ilvl w:val="1"/>
          <w:numId w:val="22"/>
        </w:numPr>
      </w:pPr>
      <w:r w:rsidRPr="00F3030A">
        <w:t xml:space="preserve">When </w:t>
      </w:r>
      <w:r w:rsidR="00247C5F">
        <w:tab/>
      </w:r>
      <w:r w:rsidRPr="00F3030A">
        <w:t xml:space="preserve">sample aspiration is completed, status display ‘Aspirating’ </w:t>
      </w:r>
      <w:r w:rsidR="00247C5F">
        <w:tab/>
      </w:r>
      <w:r w:rsidRPr="00F3030A">
        <w:t xml:space="preserve">changes to ‘Running’. </w:t>
      </w:r>
      <w:r w:rsidR="00247C5F">
        <w:tab/>
      </w:r>
    </w:p>
    <w:p w:rsidR="00247C5F" w:rsidRDefault="00517530" w:rsidP="00170591">
      <w:pPr>
        <w:numPr>
          <w:ilvl w:val="1"/>
          <w:numId w:val="22"/>
        </w:numPr>
      </w:pPr>
      <w:r w:rsidRPr="00F3030A">
        <w:t xml:space="preserve">When ‘Running’ is displayed, the sample position door can be opened and </w:t>
      </w:r>
      <w:r w:rsidR="00247C5F">
        <w:tab/>
      </w:r>
      <w:r w:rsidRPr="00F3030A">
        <w:t xml:space="preserve">the control blood can be removed safely. </w:t>
      </w:r>
    </w:p>
    <w:p w:rsidR="00517530" w:rsidRPr="00F3030A" w:rsidRDefault="00517530" w:rsidP="00170591">
      <w:pPr>
        <w:numPr>
          <w:ilvl w:val="1"/>
          <w:numId w:val="22"/>
        </w:numPr>
      </w:pPr>
      <w:r w:rsidRPr="00F3030A">
        <w:t xml:space="preserve">Do not open the sample position while ‘Aspirating’ is displayed. If the </w:t>
      </w:r>
      <w:r w:rsidR="00247C5F">
        <w:tab/>
      </w:r>
      <w:r w:rsidRPr="00F3030A">
        <w:t>sample position is opened while displaying ‘Aspirating’ an incorrect analysis result will be displayed.</w:t>
      </w:r>
      <w:r w:rsidR="002653B4">
        <w:t xml:space="preserve"> </w:t>
      </w:r>
      <w:r w:rsidRPr="00F3030A">
        <w:t>The analyzing screen will appear.</w:t>
      </w:r>
    </w:p>
    <w:p w:rsidR="00517530" w:rsidRPr="00F3030A" w:rsidRDefault="00517530" w:rsidP="00170591">
      <w:pPr>
        <w:numPr>
          <w:ilvl w:val="1"/>
          <w:numId w:val="22"/>
        </w:numPr>
      </w:pPr>
      <w:r w:rsidRPr="00F3030A">
        <w:t xml:space="preserve">After completion of a single analysis, these analysis results will be </w:t>
      </w:r>
      <w:r w:rsidR="002653B4">
        <w:tab/>
      </w:r>
      <w:r w:rsidRPr="00F3030A">
        <w:t xml:space="preserve">displayed on the LCD screen. Use </w:t>
      </w:r>
      <w:r w:rsidRPr="002653B4">
        <w:rPr>
          <w:b/>
        </w:rPr>
        <w:t>[↓]</w:t>
      </w:r>
      <w:r w:rsidRPr="00F3030A">
        <w:t xml:space="preserve"> or </w:t>
      </w:r>
      <w:r w:rsidRPr="002653B4">
        <w:rPr>
          <w:b/>
        </w:rPr>
        <w:t>[↑]</w:t>
      </w:r>
      <w:r w:rsidRPr="00F3030A">
        <w:t xml:space="preserve"> to scroll the screen page. The analysis values are compared to the target range.</w:t>
      </w:r>
    </w:p>
    <w:p w:rsidR="00517530" w:rsidRPr="00F3030A" w:rsidRDefault="00517530" w:rsidP="00170591">
      <w:pPr>
        <w:numPr>
          <w:ilvl w:val="1"/>
          <w:numId w:val="22"/>
        </w:numPr>
      </w:pPr>
      <w:r w:rsidRPr="00F3030A">
        <w:t xml:space="preserve">Press </w:t>
      </w:r>
      <w:r w:rsidRPr="002653B4">
        <w:rPr>
          <w:b/>
        </w:rPr>
        <w:t>[QUIT]</w:t>
      </w:r>
      <w:r w:rsidRPr="00F3030A">
        <w:t xml:space="preserve"> </w:t>
      </w:r>
      <w:proofErr w:type="gramStart"/>
      <w:r w:rsidRPr="00F3030A">
        <w:t>to accept the analysis results and output</w:t>
      </w:r>
      <w:proofErr w:type="gramEnd"/>
      <w:r w:rsidRPr="00F3030A">
        <w:t xml:space="preserve"> the results to the built-in thermal printer. If the results of the analysis are not to be accepted, press </w:t>
      </w:r>
      <w:r w:rsidRPr="002653B4">
        <w:rPr>
          <w:b/>
        </w:rPr>
        <w:t>[BACK]</w:t>
      </w:r>
      <w:r w:rsidRPr="00F3030A">
        <w:t xml:space="preserve"> to perform a new analysis. When performing re-analysis, remove the </w:t>
      </w:r>
      <w:r w:rsidR="00D23254" w:rsidRPr="00F3030A">
        <w:t xml:space="preserve">control blood from the adapter </w:t>
      </w:r>
      <w:r w:rsidRPr="00F3030A">
        <w:t xml:space="preserve">and mix well. </w:t>
      </w:r>
      <w:r w:rsidR="00DD3355">
        <w:t>P</w:t>
      </w:r>
      <w:r w:rsidRPr="00F3030A">
        <w:t xml:space="preserve">lace into the adapter in the sample position and press </w:t>
      </w:r>
      <w:r w:rsidRPr="002653B4">
        <w:rPr>
          <w:b/>
        </w:rPr>
        <w:t>[RUN].</w:t>
      </w:r>
      <w:r w:rsidRPr="00F3030A">
        <w:t xml:space="preserve"> The analysis is saved to stored data, i.e. file No. 3 is saved as QC03</w:t>
      </w:r>
      <w:r w:rsidR="00D23254" w:rsidRPr="00F3030A">
        <w:t>.</w:t>
      </w:r>
    </w:p>
    <w:p w:rsidR="00D23254" w:rsidRPr="00F3030A" w:rsidRDefault="00D23254" w:rsidP="00170591">
      <w:pPr>
        <w:numPr>
          <w:ilvl w:val="0"/>
          <w:numId w:val="22"/>
        </w:numPr>
      </w:pPr>
      <w:r w:rsidRPr="00F3030A">
        <w:t>Transfer results of tape to of</w:t>
      </w:r>
      <w:r w:rsidR="00BE1334">
        <w:t xml:space="preserve">fline QC files on shared drive. </w:t>
      </w:r>
      <w:r w:rsidRPr="00F3030A">
        <w:t>S/APS/</w:t>
      </w:r>
      <w:proofErr w:type="spellStart"/>
      <w:r w:rsidRPr="00F3030A">
        <w:t>Clinlab</w:t>
      </w:r>
      <w:proofErr w:type="spellEnd"/>
      <w:r w:rsidRPr="00F3030A">
        <w:t>/</w:t>
      </w:r>
      <w:proofErr w:type="spellStart"/>
      <w:r w:rsidRPr="00F3030A">
        <w:t>Hemo</w:t>
      </w:r>
      <w:proofErr w:type="spellEnd"/>
      <w:r w:rsidRPr="00F3030A">
        <w:t>/Instruments and Test Validations/</w:t>
      </w:r>
      <w:proofErr w:type="spellStart"/>
      <w:r w:rsidRPr="00F3030A">
        <w:t>Sysmex</w:t>
      </w:r>
      <w:proofErr w:type="spellEnd"/>
      <w:r w:rsidRPr="00F3030A">
        <w:t xml:space="preserve"> </w:t>
      </w:r>
      <w:proofErr w:type="spellStart"/>
      <w:r w:rsidRPr="00F3030A">
        <w:t>pocHi</w:t>
      </w:r>
      <w:proofErr w:type="spellEnd"/>
      <w:r w:rsidRPr="00F3030A">
        <w:t>/QC</w:t>
      </w:r>
    </w:p>
    <w:p w:rsidR="00C81A67" w:rsidRPr="002653B4" w:rsidRDefault="00C81A67" w:rsidP="00F3030A">
      <w:pPr>
        <w:rPr>
          <w:b/>
          <w:sz w:val="28"/>
          <w:szCs w:val="28"/>
        </w:rPr>
      </w:pPr>
      <w:r w:rsidRPr="002653B4">
        <w:rPr>
          <w:b/>
          <w:sz w:val="28"/>
          <w:szCs w:val="28"/>
        </w:rPr>
        <w:t>Calibrator and Calibration</w:t>
      </w:r>
    </w:p>
    <w:p w:rsidR="006E6ED0" w:rsidRPr="00F3030A" w:rsidRDefault="006E6ED0" w:rsidP="00170591">
      <w:pPr>
        <w:numPr>
          <w:ilvl w:val="0"/>
          <w:numId w:val="23"/>
        </w:numPr>
      </w:pPr>
      <w:r w:rsidRPr="00F3030A">
        <w:t>SCS-1000™ Calibrator</w:t>
      </w:r>
    </w:p>
    <w:p w:rsidR="006E6ED0" w:rsidRPr="00F3030A" w:rsidRDefault="006E6ED0" w:rsidP="00170591">
      <w:pPr>
        <w:numPr>
          <w:ilvl w:val="0"/>
          <w:numId w:val="24"/>
        </w:numPr>
      </w:pPr>
      <w:r w:rsidRPr="00F3030A">
        <w:t xml:space="preserve">SCS-1000 is a secondary whole blood calibrator for use with the </w:t>
      </w:r>
      <w:proofErr w:type="spellStart"/>
      <w:r w:rsidRPr="00F3030A">
        <w:t>Sysmex</w:t>
      </w:r>
      <w:proofErr w:type="spellEnd"/>
      <w:r w:rsidRPr="00F3030A">
        <w:t xml:space="preserve"> pocH-100i hematology analyzer. Assay values for primary parameters are traceable to reference methods.</w:t>
      </w:r>
      <w:r w:rsidR="00340D75" w:rsidRPr="00F3030A">
        <w:t xml:space="preserve"> </w:t>
      </w:r>
      <w:r w:rsidRPr="00F3030A">
        <w:t>SCS-1000 consists of human red and white blood cells with a platelet component suspended in fluid medium. Each vial contains 2.0 mL of calibrator material.</w:t>
      </w:r>
    </w:p>
    <w:p w:rsidR="006E6ED0" w:rsidRPr="00F3030A" w:rsidRDefault="006E6ED0" w:rsidP="00170591">
      <w:pPr>
        <w:numPr>
          <w:ilvl w:val="0"/>
          <w:numId w:val="24"/>
        </w:numPr>
      </w:pPr>
      <w:r w:rsidRPr="00F3030A">
        <w:t>Store vials as packaged, at 2</w:t>
      </w:r>
      <w:r w:rsidRPr="00DD3355">
        <w:rPr>
          <w:vertAlign w:val="superscript"/>
        </w:rPr>
        <w:t>o</w:t>
      </w:r>
      <w:r w:rsidRPr="00F3030A">
        <w:t xml:space="preserve"> to 8</w:t>
      </w:r>
      <w:r w:rsidRPr="00DD3355">
        <w:rPr>
          <w:vertAlign w:val="superscript"/>
        </w:rPr>
        <w:t>o</w:t>
      </w:r>
      <w:r w:rsidRPr="00F3030A">
        <w:t xml:space="preserve"> C.  DO NOT freeze or expose to excessive heat.</w:t>
      </w:r>
    </w:p>
    <w:p w:rsidR="006E6ED0" w:rsidRPr="00F3030A" w:rsidRDefault="006E6ED0" w:rsidP="00170591">
      <w:pPr>
        <w:numPr>
          <w:ilvl w:val="0"/>
          <w:numId w:val="24"/>
        </w:numPr>
      </w:pPr>
      <w:r w:rsidRPr="00F3030A">
        <w:t>Unopened and properly stored, SCS-1000 is stable until the expiration date stated on the vial.</w:t>
      </w:r>
    </w:p>
    <w:p w:rsidR="006E6ED0" w:rsidRPr="00F3030A" w:rsidRDefault="006E6ED0" w:rsidP="00170591">
      <w:pPr>
        <w:numPr>
          <w:ilvl w:val="0"/>
          <w:numId w:val="24"/>
        </w:numPr>
      </w:pPr>
      <w:r w:rsidRPr="00F3030A">
        <w:t>Open vial stability is 4 hours.</w:t>
      </w:r>
    </w:p>
    <w:p w:rsidR="0083030C" w:rsidRPr="00F3030A" w:rsidRDefault="006E6ED0" w:rsidP="00170591">
      <w:pPr>
        <w:numPr>
          <w:ilvl w:val="0"/>
          <w:numId w:val="24"/>
        </w:numPr>
      </w:pPr>
      <w:r w:rsidRPr="00F3030A">
        <w:t>Storage outside of 2</w:t>
      </w:r>
      <w:r w:rsidRPr="00E44969">
        <w:rPr>
          <w:vertAlign w:val="superscript"/>
        </w:rPr>
        <w:t>o</w:t>
      </w:r>
      <w:r w:rsidRPr="00F3030A">
        <w:t xml:space="preserve"> to 8</w:t>
      </w:r>
      <w:r w:rsidRPr="00E44969">
        <w:rPr>
          <w:vertAlign w:val="superscript"/>
        </w:rPr>
        <w:t>o</w:t>
      </w:r>
      <w:r w:rsidRPr="00F3030A">
        <w:t xml:space="preserve"> C can damage SCS-1000 causing deterioration that risks inaccurate calibration. </w:t>
      </w:r>
    </w:p>
    <w:p w:rsidR="006E6ED0" w:rsidRPr="00F3030A" w:rsidRDefault="006E6ED0" w:rsidP="00170591">
      <w:pPr>
        <w:numPr>
          <w:ilvl w:val="0"/>
          <w:numId w:val="24"/>
        </w:numPr>
      </w:pPr>
      <w:r w:rsidRPr="00F3030A">
        <w:t>Use of the product at environmen</w:t>
      </w:r>
      <w:r w:rsidR="00E44969">
        <w:t>tal temperatures that exceed 30</w:t>
      </w:r>
      <w:r w:rsidRPr="00E44969">
        <w:rPr>
          <w:vertAlign w:val="superscript"/>
        </w:rPr>
        <w:t>o</w:t>
      </w:r>
      <w:r w:rsidR="00E44969">
        <w:t>C (86</w:t>
      </w:r>
      <w:r w:rsidR="00E44969" w:rsidRPr="00E44969">
        <w:rPr>
          <w:vertAlign w:val="superscript"/>
        </w:rPr>
        <w:t>o</w:t>
      </w:r>
      <w:r w:rsidRPr="00F3030A">
        <w:t xml:space="preserve">F) can reduce calibration accuracy. </w:t>
      </w:r>
    </w:p>
    <w:p w:rsidR="00517530" w:rsidRPr="00F3030A" w:rsidRDefault="00517530" w:rsidP="00170591">
      <w:pPr>
        <w:numPr>
          <w:ilvl w:val="0"/>
          <w:numId w:val="23"/>
        </w:numPr>
      </w:pPr>
      <w:r w:rsidRPr="00F3030A">
        <w:t xml:space="preserve">Calibration compensates for any bias inherent to the pneumatic, hydraulic, and electrical system that may affect the accuracy of results. </w:t>
      </w:r>
    </w:p>
    <w:p w:rsidR="00517530" w:rsidRPr="00F3030A" w:rsidRDefault="00517530" w:rsidP="00170591">
      <w:pPr>
        <w:numPr>
          <w:ilvl w:val="0"/>
          <w:numId w:val="23"/>
        </w:numPr>
      </w:pPr>
      <w:r w:rsidRPr="00F3030A">
        <w:t>Calibration verification is also required if one or more of the following occur:</w:t>
      </w:r>
    </w:p>
    <w:p w:rsidR="00517530" w:rsidRPr="00F3030A" w:rsidRDefault="00517530" w:rsidP="00170591">
      <w:pPr>
        <w:numPr>
          <w:ilvl w:val="0"/>
          <w:numId w:val="25"/>
        </w:numPr>
      </w:pPr>
      <w:r w:rsidRPr="00F3030A">
        <w:t>Critical parts, such as manometers, apertures or detector circuit boards are replaced.</w:t>
      </w:r>
    </w:p>
    <w:p w:rsidR="00517530" w:rsidRPr="00F3030A" w:rsidRDefault="00517530" w:rsidP="00170591">
      <w:pPr>
        <w:numPr>
          <w:ilvl w:val="0"/>
          <w:numId w:val="25"/>
        </w:numPr>
      </w:pPr>
      <w:r w:rsidRPr="00F3030A">
        <w:t xml:space="preserve">Controls show an unusual trend or are outside of acceptable limits and cannot be corrected by maintenance or troubleshooting. </w:t>
      </w:r>
    </w:p>
    <w:p w:rsidR="00517530" w:rsidRPr="00F3030A" w:rsidRDefault="00517530" w:rsidP="00170591">
      <w:pPr>
        <w:numPr>
          <w:ilvl w:val="0"/>
          <w:numId w:val="25"/>
        </w:numPr>
      </w:pPr>
      <w:r w:rsidRPr="00F3030A">
        <w:t>When advised by pocH-100i Technical Assistance Center (1-866-8SYSMEX).</w:t>
      </w:r>
    </w:p>
    <w:p w:rsidR="00517530" w:rsidRPr="00F3030A" w:rsidRDefault="00517530" w:rsidP="00170591">
      <w:pPr>
        <w:numPr>
          <w:ilvl w:val="0"/>
          <w:numId w:val="23"/>
        </w:numPr>
      </w:pPr>
      <w:r w:rsidRPr="00F3030A">
        <w:t xml:space="preserve">Calibration verification may be accomplished by review and documentation of at least two (2) levels of commercial control each day patient specimens are run, proficiency testing results and patient control testing results. </w:t>
      </w:r>
    </w:p>
    <w:p w:rsidR="00517530" w:rsidRPr="00F3030A" w:rsidRDefault="00517530" w:rsidP="00170591">
      <w:pPr>
        <w:numPr>
          <w:ilvl w:val="0"/>
          <w:numId w:val="23"/>
        </w:numPr>
      </w:pPr>
      <w:r w:rsidRPr="00F3030A">
        <w:t xml:space="preserve">The operator may calibrate HGB and HCT with normal fresh whole blood, or use </w:t>
      </w:r>
      <w:r w:rsidR="00AB0B85" w:rsidRPr="00F3030A">
        <w:tab/>
      </w:r>
      <w:r w:rsidRPr="00F3030A">
        <w:t>SCS-1000 calibrator to calibrate WBC, RBC, HGB, HCT, and PLT. Before calibration, ensure that the maintenance procedures and precision run have been performed.</w:t>
      </w:r>
    </w:p>
    <w:p w:rsidR="0083030C" w:rsidRPr="00F3030A" w:rsidRDefault="0083030C" w:rsidP="00170591">
      <w:pPr>
        <w:numPr>
          <w:ilvl w:val="0"/>
          <w:numId w:val="26"/>
        </w:numPr>
      </w:pPr>
      <w:r w:rsidRPr="00F3030A">
        <w:t>Establish the reference values on 5 fresh and norm</w:t>
      </w:r>
      <w:r w:rsidR="00E44969">
        <w:t xml:space="preserve">al samples. Calculate the mean </w:t>
      </w:r>
      <w:r w:rsidRPr="00F3030A">
        <w:t xml:space="preserve">values for the calibrated parameters (WBC, RBC, HGB, HCT, </w:t>
      </w:r>
      <w:proofErr w:type="gramStart"/>
      <w:r w:rsidRPr="00F3030A">
        <w:t>PLT</w:t>
      </w:r>
      <w:proofErr w:type="gramEnd"/>
      <w:r w:rsidRPr="00F3030A">
        <w:t>).</w:t>
      </w:r>
    </w:p>
    <w:p w:rsidR="00951FE8" w:rsidRPr="00F3030A" w:rsidRDefault="00951FE8" w:rsidP="00170591">
      <w:pPr>
        <w:numPr>
          <w:ilvl w:val="0"/>
          <w:numId w:val="26"/>
        </w:numPr>
      </w:pPr>
      <w:r w:rsidRPr="00F3030A">
        <w:t xml:space="preserve">Analyze the samples in Whole Blood mode and </w:t>
      </w:r>
      <w:r w:rsidR="00F3030A">
        <w:t xml:space="preserve">determine mean values for each </w:t>
      </w:r>
      <w:r w:rsidRPr="00F3030A">
        <w:t xml:space="preserve">of the calibrated parameters on the </w:t>
      </w:r>
      <w:proofErr w:type="spellStart"/>
      <w:r w:rsidRPr="00F3030A">
        <w:t>pocHi</w:t>
      </w:r>
      <w:proofErr w:type="spellEnd"/>
      <w:r w:rsidRPr="00F3030A">
        <w:t>.</w:t>
      </w:r>
    </w:p>
    <w:p w:rsidR="00951FE8" w:rsidRPr="00F3030A" w:rsidRDefault="00951FE8" w:rsidP="00170591">
      <w:pPr>
        <w:numPr>
          <w:ilvl w:val="0"/>
          <w:numId w:val="26"/>
        </w:numPr>
      </w:pPr>
      <w:r w:rsidRPr="00F3030A">
        <w:t>Calculate the new calibration value for each parameter using the formula:</w:t>
      </w:r>
    </w:p>
    <w:p w:rsidR="00951FE8" w:rsidRPr="00F3030A" w:rsidRDefault="00951FE8" w:rsidP="00170591">
      <w:pPr>
        <w:numPr>
          <w:ilvl w:val="0"/>
          <w:numId w:val="27"/>
        </w:numPr>
      </w:pPr>
      <w:r w:rsidRPr="00F3030A">
        <w:t xml:space="preserve">New </w:t>
      </w:r>
      <w:proofErr w:type="spellStart"/>
      <w:r w:rsidRPr="00F3030A">
        <w:t>cal</w:t>
      </w:r>
      <w:proofErr w:type="spellEnd"/>
      <w:r w:rsidRPr="00F3030A">
        <w:t xml:space="preserve"> value = old </w:t>
      </w:r>
      <w:proofErr w:type="spellStart"/>
      <w:r w:rsidRPr="00F3030A">
        <w:t>cal</w:t>
      </w:r>
      <w:proofErr w:type="spellEnd"/>
      <w:r w:rsidRPr="00F3030A">
        <w:t xml:space="preserve"> value x (mean of reference/mean of </w:t>
      </w:r>
      <w:proofErr w:type="spellStart"/>
      <w:r w:rsidRPr="00F3030A">
        <w:t>pochi</w:t>
      </w:r>
      <w:proofErr w:type="spellEnd"/>
      <w:r w:rsidRPr="00F3030A">
        <w:t>)</w:t>
      </w:r>
    </w:p>
    <w:p w:rsidR="00F82658" w:rsidRPr="00F3030A" w:rsidRDefault="0083030C" w:rsidP="00170591">
      <w:pPr>
        <w:numPr>
          <w:ilvl w:val="0"/>
          <w:numId w:val="26"/>
        </w:numPr>
      </w:pPr>
      <w:r w:rsidRPr="00F3030A">
        <w:t xml:space="preserve">Press </w:t>
      </w:r>
      <w:r w:rsidRPr="00E44969">
        <w:rPr>
          <w:b/>
        </w:rPr>
        <w:t>[Menu].</w:t>
      </w:r>
      <w:r w:rsidRPr="00F3030A">
        <w:t xml:space="preserve"> Then press </w:t>
      </w:r>
      <w:r w:rsidRPr="00E44969">
        <w:rPr>
          <w:b/>
        </w:rPr>
        <w:t>[</w:t>
      </w:r>
      <w:proofErr w:type="spellStart"/>
      <w:r w:rsidRPr="00E44969">
        <w:rPr>
          <w:b/>
        </w:rPr>
        <w:t>Calib</w:t>
      </w:r>
      <w:proofErr w:type="spellEnd"/>
      <w:r w:rsidRPr="00E44969">
        <w:rPr>
          <w:b/>
        </w:rPr>
        <w:t xml:space="preserve">]. </w:t>
      </w:r>
      <w:r w:rsidRPr="00F3030A">
        <w:t xml:space="preserve">Finally press </w:t>
      </w:r>
      <w:r w:rsidRPr="00E44969">
        <w:rPr>
          <w:b/>
        </w:rPr>
        <w:t>[</w:t>
      </w:r>
      <w:proofErr w:type="gramStart"/>
      <w:r w:rsidRPr="00E44969">
        <w:rPr>
          <w:b/>
        </w:rPr>
        <w:t>Manual(</w:t>
      </w:r>
      <w:proofErr w:type="gramEnd"/>
      <w:r w:rsidRPr="00E44969">
        <w:rPr>
          <w:b/>
        </w:rPr>
        <w:t>WB)].</w:t>
      </w:r>
      <w:r w:rsidRPr="00F3030A">
        <w:t xml:space="preserve"> </w:t>
      </w:r>
    </w:p>
    <w:p w:rsidR="00951FE8" w:rsidRPr="00F3030A" w:rsidRDefault="00951FE8" w:rsidP="00170591">
      <w:pPr>
        <w:numPr>
          <w:ilvl w:val="0"/>
          <w:numId w:val="26"/>
        </w:numPr>
      </w:pPr>
      <w:r w:rsidRPr="00F3030A">
        <w:t xml:space="preserve">Enter the new calibration values and press </w:t>
      </w:r>
      <w:r w:rsidRPr="00E44969">
        <w:rPr>
          <w:b/>
        </w:rPr>
        <w:t>[</w:t>
      </w:r>
      <w:proofErr w:type="gramStart"/>
      <w:r w:rsidRPr="00E44969">
        <w:rPr>
          <w:b/>
        </w:rPr>
        <w:t>Ent</w:t>
      </w:r>
      <w:proofErr w:type="gramEnd"/>
      <w:r w:rsidRPr="00E44969">
        <w:rPr>
          <w:b/>
        </w:rPr>
        <w:t>]</w:t>
      </w:r>
      <w:r w:rsidRPr="00F3030A">
        <w:t xml:space="preserve"> and confirm with </w:t>
      </w:r>
      <w:r w:rsidRPr="00E44969">
        <w:rPr>
          <w:b/>
        </w:rPr>
        <w:t>[Quit].</w:t>
      </w:r>
    </w:p>
    <w:p w:rsidR="007114E7" w:rsidRPr="00E44969" w:rsidRDefault="00B626A2" w:rsidP="00F3030A">
      <w:pPr>
        <w:rPr>
          <w:b/>
          <w:sz w:val="28"/>
          <w:szCs w:val="28"/>
        </w:rPr>
      </w:pPr>
      <w:r w:rsidRPr="00E44969">
        <w:rPr>
          <w:b/>
          <w:sz w:val="28"/>
          <w:szCs w:val="28"/>
        </w:rPr>
        <w:t>Maintenance</w:t>
      </w:r>
    </w:p>
    <w:p w:rsidR="007114E7" w:rsidRPr="00F3030A" w:rsidRDefault="00E44969" w:rsidP="00170591">
      <w:pPr>
        <w:numPr>
          <w:ilvl w:val="0"/>
          <w:numId w:val="28"/>
        </w:numPr>
      </w:pPr>
      <w:r>
        <w:t>Routine Maintenance</w:t>
      </w:r>
    </w:p>
    <w:p w:rsidR="007114E7" w:rsidRPr="00F3030A" w:rsidRDefault="007114E7" w:rsidP="00170591">
      <w:pPr>
        <w:numPr>
          <w:ilvl w:val="0"/>
          <w:numId w:val="29"/>
        </w:numPr>
      </w:pPr>
      <w:r w:rsidRPr="00F3030A">
        <w:t>During start-up of the pocH-100i, any maintenance that is due based on cycle count is displayed on the LCD.</w:t>
      </w:r>
    </w:p>
    <w:p w:rsidR="007114E7" w:rsidRPr="00F3030A" w:rsidRDefault="007114E7" w:rsidP="00170591">
      <w:pPr>
        <w:numPr>
          <w:ilvl w:val="0"/>
          <w:numId w:val="29"/>
        </w:numPr>
      </w:pPr>
      <w:r w:rsidRPr="00F3030A">
        <w:t xml:space="preserve">Perform the maintenance when prompted on the LCD, and the cycle counter is reset, OR press </w:t>
      </w:r>
      <w:r w:rsidRPr="00E44969">
        <w:rPr>
          <w:b/>
        </w:rPr>
        <w:t>[3]</w:t>
      </w:r>
      <w:r w:rsidRPr="00F3030A">
        <w:t xml:space="preserve"> to Cancel and bypass performing the maintenance temporarily. </w:t>
      </w:r>
      <w:r w:rsidR="00E44969">
        <w:t>When bypassed t</w:t>
      </w:r>
      <w:r w:rsidRPr="00F3030A">
        <w:t>he counter does not reset and the maintenance reminder continues to reappear on Start-up.</w:t>
      </w:r>
    </w:p>
    <w:p w:rsidR="00951FE8" w:rsidRPr="00F3030A" w:rsidRDefault="00AB0B85" w:rsidP="00170591">
      <w:pPr>
        <w:numPr>
          <w:ilvl w:val="0"/>
          <w:numId w:val="29"/>
        </w:numPr>
      </w:pPr>
      <w:r w:rsidRPr="00F3030A">
        <w:t xml:space="preserve">Biweekly: </w:t>
      </w:r>
    </w:p>
    <w:p w:rsidR="00E44969" w:rsidRDefault="007114E7" w:rsidP="00170591">
      <w:pPr>
        <w:numPr>
          <w:ilvl w:val="0"/>
          <w:numId w:val="30"/>
        </w:numPr>
      </w:pPr>
      <w:r w:rsidRPr="00F3030A">
        <w:t>Clean Transducer</w:t>
      </w:r>
      <w:r w:rsidR="00AB0B85" w:rsidRPr="00F3030A">
        <w:t xml:space="preserve">. </w:t>
      </w:r>
      <w:r w:rsidRPr="00F3030A">
        <w:t xml:space="preserve">If either the counter value exceeds 150 or if 2 weeks have passed since the last maintenance, a message will appear to prompt the operator to perform periodic maintenance (transducer cleaning) when the main power is </w:t>
      </w:r>
      <w:r w:rsidR="00951FE8" w:rsidRPr="00F3030A">
        <w:t xml:space="preserve">switched on. </w:t>
      </w:r>
    </w:p>
    <w:p w:rsidR="007114E7" w:rsidRPr="00F3030A" w:rsidRDefault="007114E7" w:rsidP="00170591">
      <w:pPr>
        <w:numPr>
          <w:ilvl w:val="1"/>
          <w:numId w:val="30"/>
        </w:numPr>
      </w:pPr>
      <w:r w:rsidRPr="00F3030A">
        <w:t>Perform the transducer cleaning according to the following procedure:</w:t>
      </w:r>
    </w:p>
    <w:p w:rsidR="00AB0B85" w:rsidRPr="00F3030A" w:rsidRDefault="007114E7" w:rsidP="00170591">
      <w:pPr>
        <w:numPr>
          <w:ilvl w:val="1"/>
          <w:numId w:val="30"/>
        </w:numPr>
      </w:pPr>
      <w:r w:rsidRPr="00F3030A">
        <w:t xml:space="preserve">Prepare an empty sample tube </w:t>
      </w:r>
      <w:r w:rsidR="00AB0B85" w:rsidRPr="00F3030A">
        <w:t xml:space="preserve">of 5% </w:t>
      </w:r>
      <w:r w:rsidR="00DD3355">
        <w:t>Clorox</w:t>
      </w:r>
      <w:r w:rsidR="00AB0B85" w:rsidRPr="00F3030A">
        <w:t xml:space="preserve"> sodium hypochlorite (bleach) as outlined above. </w:t>
      </w:r>
    </w:p>
    <w:p w:rsidR="007114E7" w:rsidRPr="00F3030A" w:rsidRDefault="007114E7" w:rsidP="00170591">
      <w:pPr>
        <w:numPr>
          <w:ilvl w:val="1"/>
          <w:numId w:val="30"/>
        </w:numPr>
      </w:pPr>
      <w:r w:rsidRPr="00F3030A">
        <w:t>Press the top of the sample position to open it.</w:t>
      </w:r>
    </w:p>
    <w:p w:rsidR="007114E7" w:rsidRPr="00F3030A" w:rsidRDefault="007114E7" w:rsidP="00170591">
      <w:pPr>
        <w:numPr>
          <w:ilvl w:val="1"/>
          <w:numId w:val="30"/>
        </w:numPr>
      </w:pPr>
      <w:r w:rsidRPr="00F3030A">
        <w:t>Set the sample adapter (</w:t>
      </w:r>
      <w:r w:rsidR="00DD3355">
        <w:t>tan</w:t>
      </w:r>
      <w:r w:rsidRPr="00F3030A">
        <w:t xml:space="preserve"> color) in the sample position</w:t>
      </w:r>
      <w:r w:rsidR="00AB0B85" w:rsidRPr="00F3030A">
        <w:t>.</w:t>
      </w:r>
    </w:p>
    <w:p w:rsidR="007114E7" w:rsidRPr="00F3030A" w:rsidRDefault="007114E7" w:rsidP="00170591">
      <w:pPr>
        <w:numPr>
          <w:ilvl w:val="1"/>
          <w:numId w:val="30"/>
        </w:numPr>
      </w:pPr>
      <w:r w:rsidRPr="00F3030A">
        <w:t>Place the prepared tube of bleach solution in adapter and close the door.</w:t>
      </w:r>
    </w:p>
    <w:p w:rsidR="007114E7" w:rsidRPr="00F3030A" w:rsidRDefault="007114E7" w:rsidP="00170591">
      <w:pPr>
        <w:numPr>
          <w:ilvl w:val="1"/>
          <w:numId w:val="30"/>
        </w:numPr>
      </w:pPr>
      <w:r w:rsidRPr="00F3030A">
        <w:t xml:space="preserve">Press </w:t>
      </w:r>
      <w:r w:rsidRPr="00E44969">
        <w:rPr>
          <w:b/>
        </w:rPr>
        <w:t>[EXECUTE].</w:t>
      </w:r>
      <w:r w:rsidRPr="00F3030A">
        <w:t xml:space="preserve"> The cleaning procedure of the transducer will be executed and the cleaning transducer screen will appear. An auto rinse will be performed following the cleaning procedure.</w:t>
      </w:r>
    </w:p>
    <w:p w:rsidR="00B457B7" w:rsidRDefault="007114E7" w:rsidP="00B457B7">
      <w:pPr>
        <w:numPr>
          <w:ilvl w:val="1"/>
          <w:numId w:val="30"/>
        </w:numPr>
      </w:pPr>
      <w:r w:rsidRPr="00F3030A">
        <w:t>After the cleaning procedure is completed, the Main screen will appear.</w:t>
      </w:r>
    </w:p>
    <w:p w:rsidR="007114E7" w:rsidRPr="00F3030A" w:rsidRDefault="007114E7" w:rsidP="00B457B7">
      <w:pPr>
        <w:numPr>
          <w:ilvl w:val="1"/>
          <w:numId w:val="30"/>
        </w:numPr>
        <w:ind w:left="2880"/>
      </w:pPr>
      <w:r w:rsidRPr="00F3030A">
        <w:t>Remove the bleach solution from the analysis position.</w:t>
      </w:r>
    </w:p>
    <w:p w:rsidR="00AB0B85" w:rsidRPr="00F3030A" w:rsidRDefault="00AB0B85" w:rsidP="00170591">
      <w:pPr>
        <w:numPr>
          <w:ilvl w:val="0"/>
          <w:numId w:val="30"/>
        </w:numPr>
      </w:pPr>
      <w:r w:rsidRPr="00F3030A">
        <w:t xml:space="preserve">Even when the above mentioned message is not displayed, the transducer cleaning procedure can be executed by pressing </w:t>
      </w:r>
      <w:r w:rsidRPr="00561DB9">
        <w:rPr>
          <w:b/>
        </w:rPr>
        <w:t>[MAINT.]</w:t>
      </w:r>
      <w:r w:rsidRPr="00F3030A">
        <w:t xml:space="preserve"> on the Menu screen, then pressing </w:t>
      </w:r>
      <w:r w:rsidRPr="00561DB9">
        <w:rPr>
          <w:b/>
        </w:rPr>
        <w:t>[CLEAN TRANSDUCER]</w:t>
      </w:r>
      <w:r w:rsidRPr="00F3030A">
        <w:t xml:space="preserve"> on the maintenance screen.</w:t>
      </w:r>
    </w:p>
    <w:p w:rsidR="00561DB9" w:rsidRDefault="007114E7" w:rsidP="00170591">
      <w:pPr>
        <w:numPr>
          <w:ilvl w:val="0"/>
          <w:numId w:val="31"/>
        </w:numPr>
      </w:pPr>
      <w:r w:rsidRPr="00F3030A">
        <w:t xml:space="preserve">Quarterly or </w:t>
      </w:r>
      <w:proofErr w:type="gramStart"/>
      <w:r w:rsidRPr="00F3030A">
        <w:t>every 1500 Cycles Maintenance</w:t>
      </w:r>
      <w:proofErr w:type="gramEnd"/>
      <w:r w:rsidR="00391495" w:rsidRPr="00F3030A">
        <w:t xml:space="preserve">: </w:t>
      </w:r>
      <w:r w:rsidRPr="00F3030A">
        <w:t>Clean Waste Chamber</w:t>
      </w:r>
      <w:r w:rsidR="00951FE8" w:rsidRPr="00F3030A">
        <w:t xml:space="preserve">.  </w:t>
      </w:r>
      <w:r w:rsidRPr="00F3030A">
        <w:t>If either the counter value exceeds 1500, or if 3 months have passed since the last maintenance, a message will appear prompting the operator to perform periodic maintenance (Waste Chamber Cleaning), when the main switch is turned on.</w:t>
      </w:r>
      <w:r w:rsidR="00951FE8" w:rsidRPr="00F3030A">
        <w:t xml:space="preserve"> </w:t>
      </w:r>
    </w:p>
    <w:p w:rsidR="007114E7" w:rsidRPr="00F3030A" w:rsidRDefault="007114E7" w:rsidP="00170591">
      <w:pPr>
        <w:numPr>
          <w:ilvl w:val="0"/>
          <w:numId w:val="31"/>
        </w:numPr>
      </w:pPr>
      <w:r w:rsidRPr="00F3030A">
        <w:t>When the message is displayed, perform the procedure as follows:</w:t>
      </w:r>
    </w:p>
    <w:p w:rsidR="007114E7" w:rsidRPr="00F3030A" w:rsidRDefault="007114E7" w:rsidP="00170591">
      <w:pPr>
        <w:numPr>
          <w:ilvl w:val="0"/>
          <w:numId w:val="32"/>
        </w:numPr>
      </w:pPr>
      <w:r w:rsidRPr="00F3030A">
        <w:t xml:space="preserve">Prepare </w:t>
      </w:r>
      <w:r w:rsidR="00391495" w:rsidRPr="00F3030A">
        <w:t xml:space="preserve">5% bleach as above in </w:t>
      </w:r>
      <w:r w:rsidRPr="00F3030A">
        <w:t xml:space="preserve">an empty 13mm diameter sample tube. </w:t>
      </w:r>
    </w:p>
    <w:p w:rsidR="007114E7" w:rsidRPr="00F3030A" w:rsidRDefault="007114E7" w:rsidP="00170591">
      <w:pPr>
        <w:numPr>
          <w:ilvl w:val="0"/>
          <w:numId w:val="32"/>
        </w:numPr>
      </w:pPr>
      <w:r w:rsidRPr="00F3030A">
        <w:t>Press the top of the sample position to open it. Do not use force, because the analyzer may be damaged.</w:t>
      </w:r>
    </w:p>
    <w:p w:rsidR="007114E7" w:rsidRPr="00F3030A" w:rsidRDefault="007114E7" w:rsidP="00170591">
      <w:pPr>
        <w:numPr>
          <w:ilvl w:val="0"/>
          <w:numId w:val="32"/>
        </w:numPr>
      </w:pPr>
      <w:r w:rsidRPr="00F3030A">
        <w:t>Set the sample adapter (cream color) in the sample position.</w:t>
      </w:r>
    </w:p>
    <w:p w:rsidR="007114E7" w:rsidRPr="00F3030A" w:rsidRDefault="007114E7" w:rsidP="00170591">
      <w:pPr>
        <w:numPr>
          <w:ilvl w:val="0"/>
          <w:numId w:val="32"/>
        </w:numPr>
      </w:pPr>
      <w:r w:rsidRPr="00F3030A">
        <w:t>Place the prepared tube with the bleach solution in adapter and close the sample position.</w:t>
      </w:r>
    </w:p>
    <w:p w:rsidR="007114E7" w:rsidRPr="00F3030A" w:rsidRDefault="007114E7" w:rsidP="00170591">
      <w:pPr>
        <w:numPr>
          <w:ilvl w:val="0"/>
          <w:numId w:val="32"/>
        </w:numPr>
      </w:pPr>
      <w:r w:rsidRPr="00F3030A">
        <w:t xml:space="preserve">Press </w:t>
      </w:r>
      <w:r w:rsidRPr="00561DB9">
        <w:rPr>
          <w:b/>
        </w:rPr>
        <w:t>[EXECUTE].</w:t>
      </w:r>
      <w:r w:rsidRPr="00F3030A">
        <w:t xml:space="preserve"> Cleaning the waste chamber will be executed and the cleaning waste chamber screen will appear. An auto rinse procedure will be performed after the completion of the cleaning procedure.</w:t>
      </w:r>
    </w:p>
    <w:p w:rsidR="007114E7" w:rsidRPr="00F3030A" w:rsidRDefault="007114E7" w:rsidP="00170591">
      <w:pPr>
        <w:numPr>
          <w:ilvl w:val="0"/>
          <w:numId w:val="32"/>
        </w:numPr>
      </w:pPr>
      <w:r w:rsidRPr="00F3030A">
        <w:t>After completion of the waste chamber cleaning procedure, the Main screen will appear.</w:t>
      </w:r>
    </w:p>
    <w:p w:rsidR="007114E7" w:rsidRPr="00F3030A" w:rsidRDefault="007114E7" w:rsidP="00170591">
      <w:pPr>
        <w:numPr>
          <w:ilvl w:val="0"/>
          <w:numId w:val="32"/>
        </w:numPr>
      </w:pPr>
      <w:r w:rsidRPr="00F3030A">
        <w:t>Remove the sample tube with the bleach solution from the sample position.</w:t>
      </w:r>
    </w:p>
    <w:p w:rsidR="00391495" w:rsidRPr="00F3030A" w:rsidRDefault="00391495" w:rsidP="00170591">
      <w:pPr>
        <w:numPr>
          <w:ilvl w:val="0"/>
          <w:numId w:val="32"/>
        </w:numPr>
      </w:pPr>
      <w:r w:rsidRPr="00F3030A">
        <w:t xml:space="preserve">Even when the message ‘Scheduled maintenance’ does not appear, waste chamber cleaning can be executed by pressing </w:t>
      </w:r>
      <w:r w:rsidRPr="00940DDE">
        <w:rPr>
          <w:b/>
        </w:rPr>
        <w:t>[MAINT.]</w:t>
      </w:r>
      <w:r w:rsidRPr="00F3030A">
        <w:t xml:space="preserve"> on the Menu screen then pressing </w:t>
      </w:r>
      <w:r w:rsidRPr="00940DDE">
        <w:rPr>
          <w:b/>
        </w:rPr>
        <w:t>[CLEAN W. CHAMBER]</w:t>
      </w:r>
      <w:r w:rsidRPr="00F3030A">
        <w:t xml:space="preserve"> on the maintenance screen.</w:t>
      </w:r>
    </w:p>
    <w:p w:rsidR="00031CC5" w:rsidRPr="00F3030A" w:rsidRDefault="00940E8F" w:rsidP="00170591">
      <w:pPr>
        <w:numPr>
          <w:ilvl w:val="0"/>
          <w:numId w:val="28"/>
        </w:numPr>
      </w:pPr>
      <w:r w:rsidRPr="00F3030A">
        <w:t xml:space="preserve">As needed maintenance. </w:t>
      </w:r>
      <w:r w:rsidR="00031CC5" w:rsidRPr="00F3030A">
        <w:t xml:space="preserve">Refer to the </w:t>
      </w:r>
      <w:proofErr w:type="spellStart"/>
      <w:r w:rsidR="00031CC5" w:rsidRPr="00F3030A">
        <w:t>Sysmex</w:t>
      </w:r>
      <w:proofErr w:type="spellEnd"/>
      <w:r w:rsidR="00031CC5" w:rsidRPr="00F3030A">
        <w:t xml:space="preserve"> pocH-100i Instructions for Use for any “As needed” Procedures including:</w:t>
      </w:r>
    </w:p>
    <w:p w:rsidR="00031CC5" w:rsidRPr="00F3030A" w:rsidRDefault="00031CC5" w:rsidP="00170591">
      <w:pPr>
        <w:numPr>
          <w:ilvl w:val="0"/>
          <w:numId w:val="33"/>
        </w:numPr>
      </w:pPr>
      <w:r w:rsidRPr="00F3030A">
        <w:t>Auto Rinse procedure</w:t>
      </w:r>
    </w:p>
    <w:p w:rsidR="007114E7" w:rsidRPr="00F3030A" w:rsidRDefault="007114E7" w:rsidP="00170591">
      <w:pPr>
        <w:numPr>
          <w:ilvl w:val="0"/>
          <w:numId w:val="33"/>
        </w:numPr>
      </w:pPr>
      <w:r w:rsidRPr="00F3030A">
        <w:t>Disposal of waste fluid</w:t>
      </w:r>
    </w:p>
    <w:p w:rsidR="007114E7" w:rsidRPr="00F3030A" w:rsidRDefault="007114E7" w:rsidP="00170591">
      <w:pPr>
        <w:numPr>
          <w:ilvl w:val="0"/>
          <w:numId w:val="33"/>
        </w:numPr>
      </w:pPr>
      <w:r w:rsidRPr="00F3030A">
        <w:t>Cleaning the sample tube adapter</w:t>
      </w:r>
    </w:p>
    <w:p w:rsidR="007114E7" w:rsidRPr="00F3030A" w:rsidRDefault="007114E7" w:rsidP="00170591">
      <w:pPr>
        <w:numPr>
          <w:ilvl w:val="0"/>
          <w:numId w:val="33"/>
        </w:numPr>
      </w:pPr>
      <w:r w:rsidRPr="00F3030A">
        <w:t>Removing a clog from the aperture</w:t>
      </w:r>
    </w:p>
    <w:p w:rsidR="007114E7" w:rsidRPr="00F3030A" w:rsidRDefault="007114E7" w:rsidP="00170591">
      <w:pPr>
        <w:numPr>
          <w:ilvl w:val="0"/>
          <w:numId w:val="33"/>
        </w:numPr>
      </w:pPr>
      <w:r w:rsidRPr="00F3030A">
        <w:t>Replacing of reagent</w:t>
      </w:r>
    </w:p>
    <w:p w:rsidR="007114E7" w:rsidRPr="00F3030A" w:rsidRDefault="007114E7" w:rsidP="00170591">
      <w:pPr>
        <w:numPr>
          <w:ilvl w:val="0"/>
          <w:numId w:val="33"/>
        </w:numPr>
      </w:pPr>
      <w:r w:rsidRPr="00F3030A">
        <w:t>Draining of reagent</w:t>
      </w:r>
    </w:p>
    <w:p w:rsidR="007114E7" w:rsidRPr="00F3030A" w:rsidRDefault="007114E7" w:rsidP="00170591">
      <w:pPr>
        <w:numPr>
          <w:ilvl w:val="0"/>
          <w:numId w:val="33"/>
        </w:numPr>
      </w:pPr>
      <w:r w:rsidRPr="00F3030A">
        <w:t>Calibrating the LCD panel</w:t>
      </w:r>
    </w:p>
    <w:p w:rsidR="007114E7" w:rsidRPr="00F3030A" w:rsidRDefault="007114E7" w:rsidP="00170591">
      <w:pPr>
        <w:numPr>
          <w:ilvl w:val="0"/>
          <w:numId w:val="33"/>
        </w:numPr>
      </w:pPr>
      <w:r w:rsidRPr="00F3030A">
        <w:t xml:space="preserve">Settings sequence </w:t>
      </w:r>
    </w:p>
    <w:p w:rsidR="007114E7" w:rsidRPr="00F3030A" w:rsidRDefault="007114E7" w:rsidP="00170591">
      <w:pPr>
        <w:numPr>
          <w:ilvl w:val="0"/>
          <w:numId w:val="33"/>
        </w:numPr>
      </w:pPr>
      <w:r w:rsidRPr="00F3030A">
        <w:t>System fuse replacement</w:t>
      </w:r>
    </w:p>
    <w:p w:rsidR="00391495" w:rsidRDefault="007114E7" w:rsidP="00170591">
      <w:pPr>
        <w:numPr>
          <w:ilvl w:val="0"/>
          <w:numId w:val="33"/>
        </w:numPr>
      </w:pPr>
      <w:r w:rsidRPr="00F3030A">
        <w:t>Replacing thermal printer paper</w:t>
      </w:r>
    </w:p>
    <w:p w:rsidR="00561DB9" w:rsidRDefault="00561DB9" w:rsidP="00561DB9"/>
    <w:p w:rsidR="00561DB9" w:rsidRDefault="00561DB9" w:rsidP="00561DB9"/>
    <w:p w:rsidR="00561DB9" w:rsidRPr="00F3030A" w:rsidRDefault="00561DB9" w:rsidP="00561DB9"/>
    <w:p w:rsidR="00071C87" w:rsidRPr="00561DB9" w:rsidRDefault="00071C87" w:rsidP="00F3030A">
      <w:pPr>
        <w:rPr>
          <w:b/>
          <w:sz w:val="28"/>
          <w:szCs w:val="28"/>
        </w:rPr>
      </w:pPr>
      <w:r w:rsidRPr="00561DB9">
        <w:rPr>
          <w:b/>
          <w:sz w:val="28"/>
          <w:szCs w:val="28"/>
        </w:rPr>
        <w:t>Procedure</w:t>
      </w:r>
    </w:p>
    <w:p w:rsidR="00BE2FEE" w:rsidRPr="00F3030A" w:rsidRDefault="00561DB9" w:rsidP="00170591">
      <w:pPr>
        <w:numPr>
          <w:ilvl w:val="0"/>
          <w:numId w:val="34"/>
        </w:numPr>
      </w:pPr>
      <w:r>
        <w:t xml:space="preserve">Pavilion </w:t>
      </w:r>
      <w:r w:rsidR="00BE2FEE" w:rsidRPr="00F3030A">
        <w:t>Start-Up</w:t>
      </w:r>
    </w:p>
    <w:p w:rsidR="00BE2FEE" w:rsidRPr="00F3030A" w:rsidRDefault="00BE2FEE" w:rsidP="00170591">
      <w:pPr>
        <w:numPr>
          <w:ilvl w:val="0"/>
          <w:numId w:val="35"/>
        </w:numPr>
      </w:pPr>
      <w:r w:rsidRPr="00F3030A">
        <w:t>Check built-in thermal printer paper supply</w:t>
      </w:r>
      <w:r w:rsidR="00F82658" w:rsidRPr="00F3030A">
        <w:t xml:space="preserve"> and c</w:t>
      </w:r>
      <w:r w:rsidRPr="00F3030A">
        <w:t>heck that paper is properly aligned</w:t>
      </w:r>
      <w:r w:rsidR="00F82658" w:rsidRPr="00F3030A">
        <w:t>.</w:t>
      </w:r>
    </w:p>
    <w:p w:rsidR="00F82658" w:rsidRPr="00F3030A" w:rsidRDefault="00F82658" w:rsidP="00170591">
      <w:pPr>
        <w:numPr>
          <w:ilvl w:val="0"/>
          <w:numId w:val="35"/>
        </w:numPr>
      </w:pPr>
      <w:r w:rsidRPr="00F3030A">
        <w:t>Check and empty the waste if necessary.</w:t>
      </w:r>
    </w:p>
    <w:p w:rsidR="00F82658" w:rsidRPr="00F3030A" w:rsidRDefault="00F82658" w:rsidP="00170591">
      <w:pPr>
        <w:numPr>
          <w:ilvl w:val="0"/>
          <w:numId w:val="35"/>
        </w:numPr>
      </w:pPr>
      <w:r w:rsidRPr="00F3030A">
        <w:t xml:space="preserve">Assure proper diluent and lyse levels to complete the run.  </w:t>
      </w:r>
    </w:p>
    <w:p w:rsidR="00F82658" w:rsidRPr="00F3030A" w:rsidRDefault="00BE2FEE" w:rsidP="00170591">
      <w:pPr>
        <w:numPr>
          <w:ilvl w:val="0"/>
          <w:numId w:val="35"/>
        </w:numPr>
      </w:pPr>
      <w:r w:rsidRPr="00F3030A">
        <w:t xml:space="preserve">Power on the pocH-100i Main Unit. </w:t>
      </w:r>
    </w:p>
    <w:p w:rsidR="00BE2FEE" w:rsidRPr="00F3030A" w:rsidRDefault="00BE2FEE" w:rsidP="00170591">
      <w:pPr>
        <w:numPr>
          <w:ilvl w:val="0"/>
          <w:numId w:val="36"/>
        </w:numPr>
      </w:pPr>
      <w:r w:rsidRPr="00F3030A">
        <w:t xml:space="preserve">The LCD screen will be illuminated and the </w:t>
      </w:r>
      <w:proofErr w:type="spellStart"/>
      <w:r w:rsidRPr="00F3030A">
        <w:t>Sysmex</w:t>
      </w:r>
      <w:proofErr w:type="spellEnd"/>
      <w:r w:rsidRPr="00F3030A">
        <w:t xml:space="preserve"> logo will be displayed. Allow the instrument to perform its automatic microprocessor tests, motor check, auto-rinses and a background count. It will take 2 minutes to complete the self-check functions. It will take approximately 6-11 minutes before the Main Screen will appear.</w:t>
      </w:r>
    </w:p>
    <w:p w:rsidR="00AD030D" w:rsidRPr="00F3030A" w:rsidRDefault="00BE2FEE" w:rsidP="00170591">
      <w:pPr>
        <w:numPr>
          <w:ilvl w:val="0"/>
          <w:numId w:val="36"/>
        </w:numPr>
      </w:pPr>
      <w:r w:rsidRPr="00F3030A">
        <w:t>If values from electronic and hydraulic checks exceed specifications upon start-up, an error message is displayed on the LCD screen. Turn the analyzer’s main switch off, wait 15 seconds, and then turn it back on again. Auto-rinse cycles are identified by the sample ID# of zero.</w:t>
      </w:r>
    </w:p>
    <w:p w:rsidR="00BE2FEE" w:rsidRPr="00F3030A" w:rsidRDefault="00BE2FEE" w:rsidP="00170591">
      <w:pPr>
        <w:numPr>
          <w:ilvl w:val="0"/>
          <w:numId w:val="35"/>
        </w:numPr>
      </w:pPr>
      <w:r w:rsidRPr="00F3030A">
        <w:t>A background check is performed on the third rinse. If the background check is outside of specifications, two more background checks will be done automatically. It takes approximately one (1) minute for the automatic rinse cycle and approximately 2 - 7 minutes for the background check. If after the second repeat background check, the values are still outside specifications, a continuous alarm will sound and the message ‘Blank Error’ is displayed on LCD screen. If Background count is acceptable, the Main Menu will be displayed. Press the ‘Result’ button and the Background Counts will appear.</w:t>
      </w:r>
    </w:p>
    <w:p w:rsidR="00BE2FEE" w:rsidRDefault="00AD030D" w:rsidP="00170591">
      <w:pPr>
        <w:numPr>
          <w:ilvl w:val="0"/>
          <w:numId w:val="35"/>
        </w:numPr>
      </w:pPr>
      <w:r>
        <w:t>Record the background counts on the maintenance log.</w:t>
      </w:r>
    </w:p>
    <w:p w:rsidR="00AD030D" w:rsidRDefault="00AD030D" w:rsidP="00170591">
      <w:pPr>
        <w:numPr>
          <w:ilvl w:val="0"/>
          <w:numId w:val="35"/>
        </w:numPr>
      </w:pPr>
      <w:r>
        <w:t>If the results are not displayed they can be accessed from the stored data screen.</w:t>
      </w:r>
    </w:p>
    <w:p w:rsidR="00AD030D" w:rsidRDefault="00AD030D" w:rsidP="00170591">
      <w:pPr>
        <w:numPr>
          <w:ilvl w:val="0"/>
          <w:numId w:val="37"/>
        </w:numPr>
      </w:pPr>
      <w:r>
        <w:t xml:space="preserve">Press </w:t>
      </w:r>
      <w:r w:rsidRPr="00561DB9">
        <w:rPr>
          <w:b/>
        </w:rPr>
        <w:t>[Menu]</w:t>
      </w:r>
      <w:r>
        <w:t xml:space="preserve"> then </w:t>
      </w:r>
      <w:r w:rsidRPr="00561DB9">
        <w:rPr>
          <w:b/>
        </w:rPr>
        <w:t>[Str. Data]</w:t>
      </w:r>
      <w:r w:rsidR="000E163F" w:rsidRPr="00561DB9">
        <w:rPr>
          <w:b/>
        </w:rPr>
        <w:t>.</w:t>
      </w:r>
      <w:r w:rsidR="000E163F">
        <w:t xml:space="preserve"> Using the up and down arrows move to the appropriate date and background </w:t>
      </w:r>
      <w:r w:rsidR="001F2239">
        <w:t>check.  Use the right and left arrows to visualize all the necessary parameters.</w:t>
      </w:r>
    </w:p>
    <w:p w:rsidR="00561DB9" w:rsidRPr="00F3030A" w:rsidRDefault="00561DB9" w:rsidP="00561DB9">
      <w:pPr>
        <w:ind w:left="2160"/>
      </w:pPr>
    </w:p>
    <w:tbl>
      <w:tblPr>
        <w:tblW w:w="0" w:type="auto"/>
        <w:tblInd w:w="2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4"/>
        <w:gridCol w:w="3186"/>
      </w:tblGrid>
      <w:tr w:rsidR="00BE2FEE" w:rsidRPr="00F3030A" w:rsidTr="00561DB9">
        <w:trPr>
          <w:cantSplit/>
        </w:trPr>
        <w:tc>
          <w:tcPr>
            <w:tcW w:w="5310" w:type="dxa"/>
            <w:gridSpan w:val="2"/>
            <w:tcBorders>
              <w:bottom w:val="nil"/>
            </w:tcBorders>
          </w:tcPr>
          <w:p w:rsidR="00BE2FEE" w:rsidRPr="00F3030A" w:rsidRDefault="00BE2FEE" w:rsidP="00F3030A">
            <w:proofErr w:type="spellStart"/>
            <w:r w:rsidRPr="00F3030A">
              <w:t>pocH</w:t>
            </w:r>
            <w:proofErr w:type="spellEnd"/>
            <w:r w:rsidRPr="00F3030A">
              <w:t xml:space="preserve"> 100i Acceptable Background Counts</w:t>
            </w:r>
          </w:p>
        </w:tc>
      </w:tr>
      <w:tr w:rsidR="00BE2FEE" w:rsidRPr="00F3030A" w:rsidTr="00561DB9">
        <w:tc>
          <w:tcPr>
            <w:tcW w:w="2124" w:type="dxa"/>
            <w:tcBorders>
              <w:bottom w:val="single" w:sz="4" w:space="0" w:color="auto"/>
            </w:tcBorders>
          </w:tcPr>
          <w:p w:rsidR="00BE2FEE" w:rsidRPr="00F3030A" w:rsidRDefault="00BE2FEE" w:rsidP="00F3030A">
            <w:r w:rsidRPr="00F3030A">
              <w:t>Parameter</w:t>
            </w:r>
          </w:p>
        </w:tc>
        <w:tc>
          <w:tcPr>
            <w:tcW w:w="3186" w:type="dxa"/>
            <w:tcBorders>
              <w:bottom w:val="single" w:sz="4" w:space="0" w:color="auto"/>
            </w:tcBorders>
          </w:tcPr>
          <w:p w:rsidR="00BE2FEE" w:rsidRPr="00F3030A" w:rsidRDefault="00BE2FEE" w:rsidP="00F3030A">
            <w:r w:rsidRPr="00F3030A">
              <w:t>Count</w:t>
            </w:r>
          </w:p>
        </w:tc>
      </w:tr>
      <w:tr w:rsidR="00BE2FEE" w:rsidRPr="00F3030A" w:rsidTr="00561DB9">
        <w:tc>
          <w:tcPr>
            <w:tcW w:w="2124" w:type="dxa"/>
            <w:tcBorders>
              <w:top w:val="nil"/>
            </w:tcBorders>
          </w:tcPr>
          <w:p w:rsidR="00BE2FEE" w:rsidRPr="00F3030A" w:rsidRDefault="00BE2FEE" w:rsidP="00F3030A">
            <w:r w:rsidRPr="00F3030A">
              <w:t>WBC</w:t>
            </w:r>
          </w:p>
        </w:tc>
        <w:tc>
          <w:tcPr>
            <w:tcW w:w="3186" w:type="dxa"/>
            <w:tcBorders>
              <w:top w:val="nil"/>
            </w:tcBorders>
          </w:tcPr>
          <w:p w:rsidR="00BE2FEE" w:rsidRPr="00F3030A" w:rsidRDefault="00BE2FEE" w:rsidP="00F3030A">
            <w:r w:rsidRPr="00F3030A">
              <w:t xml:space="preserve">0.3 x 103/ </w:t>
            </w:r>
            <w:proofErr w:type="spellStart"/>
            <w:r w:rsidRPr="00F3030A">
              <w:t>μL</w:t>
            </w:r>
            <w:proofErr w:type="spellEnd"/>
            <w:r w:rsidRPr="00F3030A">
              <w:t xml:space="preserve"> or less</w:t>
            </w:r>
          </w:p>
        </w:tc>
      </w:tr>
      <w:tr w:rsidR="00BE2FEE" w:rsidRPr="00F3030A" w:rsidTr="00561DB9">
        <w:tc>
          <w:tcPr>
            <w:tcW w:w="2124" w:type="dxa"/>
          </w:tcPr>
          <w:p w:rsidR="00BE2FEE" w:rsidRPr="00F3030A" w:rsidRDefault="00BE2FEE" w:rsidP="00F3030A">
            <w:r w:rsidRPr="00F3030A">
              <w:t>RBC</w:t>
            </w:r>
          </w:p>
        </w:tc>
        <w:tc>
          <w:tcPr>
            <w:tcW w:w="3186" w:type="dxa"/>
          </w:tcPr>
          <w:p w:rsidR="00BE2FEE" w:rsidRPr="00F3030A" w:rsidRDefault="00BE2FEE" w:rsidP="00F3030A">
            <w:r w:rsidRPr="00F3030A">
              <w:t xml:space="preserve">0.02 x 106/ </w:t>
            </w:r>
            <w:proofErr w:type="spellStart"/>
            <w:r w:rsidRPr="00F3030A">
              <w:t>μL</w:t>
            </w:r>
            <w:proofErr w:type="spellEnd"/>
            <w:r w:rsidRPr="00F3030A">
              <w:t xml:space="preserve"> or less</w:t>
            </w:r>
          </w:p>
        </w:tc>
      </w:tr>
      <w:tr w:rsidR="00BE2FEE" w:rsidRPr="00F3030A" w:rsidTr="00561DB9">
        <w:tc>
          <w:tcPr>
            <w:tcW w:w="2124" w:type="dxa"/>
          </w:tcPr>
          <w:p w:rsidR="00BE2FEE" w:rsidRPr="00F3030A" w:rsidRDefault="00BE2FEE" w:rsidP="00F3030A">
            <w:r w:rsidRPr="00F3030A">
              <w:t>HGB</w:t>
            </w:r>
          </w:p>
        </w:tc>
        <w:tc>
          <w:tcPr>
            <w:tcW w:w="3186" w:type="dxa"/>
          </w:tcPr>
          <w:p w:rsidR="00BE2FEE" w:rsidRPr="00F3030A" w:rsidRDefault="00BE2FEE" w:rsidP="00F3030A">
            <w:r w:rsidRPr="00F3030A">
              <w:t>0.1 g/</w:t>
            </w:r>
            <w:proofErr w:type="spellStart"/>
            <w:r w:rsidRPr="00F3030A">
              <w:t>dL</w:t>
            </w:r>
            <w:proofErr w:type="spellEnd"/>
            <w:r w:rsidRPr="00F3030A">
              <w:t xml:space="preserve"> or less</w:t>
            </w:r>
          </w:p>
        </w:tc>
      </w:tr>
      <w:tr w:rsidR="00BE2FEE" w:rsidRPr="00F3030A" w:rsidTr="00561DB9">
        <w:tc>
          <w:tcPr>
            <w:tcW w:w="2124" w:type="dxa"/>
          </w:tcPr>
          <w:p w:rsidR="00BE2FEE" w:rsidRPr="00F3030A" w:rsidRDefault="00BE2FEE" w:rsidP="00F3030A">
            <w:r w:rsidRPr="00F3030A">
              <w:t>PLT</w:t>
            </w:r>
          </w:p>
        </w:tc>
        <w:tc>
          <w:tcPr>
            <w:tcW w:w="3186" w:type="dxa"/>
          </w:tcPr>
          <w:p w:rsidR="00BE2FEE" w:rsidRPr="00F3030A" w:rsidRDefault="00BE2FEE" w:rsidP="00F3030A">
            <w:r w:rsidRPr="00F3030A">
              <w:t xml:space="preserve">10 x 103/ </w:t>
            </w:r>
            <w:proofErr w:type="spellStart"/>
            <w:r w:rsidRPr="00F3030A">
              <w:t>μL</w:t>
            </w:r>
            <w:proofErr w:type="spellEnd"/>
            <w:r w:rsidRPr="00F3030A">
              <w:t xml:space="preserve"> or less</w:t>
            </w:r>
          </w:p>
        </w:tc>
      </w:tr>
    </w:tbl>
    <w:p w:rsidR="00BE2FEE" w:rsidRPr="00F3030A" w:rsidRDefault="00BE2FEE" w:rsidP="00F3030A"/>
    <w:p w:rsidR="00BE2FEE" w:rsidRPr="00F3030A" w:rsidRDefault="00BE2FEE" w:rsidP="00F3030A"/>
    <w:p w:rsidR="00BE2FEE" w:rsidRPr="00F3030A" w:rsidRDefault="00BE2FEE" w:rsidP="00F3030A"/>
    <w:p w:rsidR="00BE2FEE" w:rsidRDefault="00BE2FEE" w:rsidP="00170591">
      <w:pPr>
        <w:numPr>
          <w:ilvl w:val="0"/>
          <w:numId w:val="35"/>
        </w:numPr>
      </w:pPr>
      <w:r w:rsidRPr="00F3030A">
        <w:t>Analyze commercial controls and document control results.</w:t>
      </w:r>
    </w:p>
    <w:p w:rsidR="001F2239" w:rsidRDefault="001F2239" w:rsidP="00170591">
      <w:pPr>
        <w:numPr>
          <w:ilvl w:val="0"/>
          <w:numId w:val="35"/>
        </w:numPr>
      </w:pPr>
      <w:r>
        <w:t>Shutdown analyzer if in Pavilion.</w:t>
      </w:r>
    </w:p>
    <w:p w:rsidR="00561DB9" w:rsidRDefault="00561DB9" w:rsidP="00170591">
      <w:pPr>
        <w:numPr>
          <w:ilvl w:val="0"/>
          <w:numId w:val="34"/>
        </w:numPr>
      </w:pPr>
      <w:r>
        <w:t>Biocontainment Startup.</w:t>
      </w:r>
    </w:p>
    <w:p w:rsidR="00524F38" w:rsidRDefault="00524F38" w:rsidP="00170591">
      <w:pPr>
        <w:numPr>
          <w:ilvl w:val="1"/>
          <w:numId w:val="34"/>
        </w:numPr>
      </w:pPr>
      <w:r>
        <w:t>If instrument is to be moved to the Biocontainment lab for patient testing reagents must be drained prior to moving analyzer.</w:t>
      </w:r>
    </w:p>
    <w:p w:rsidR="00524F38" w:rsidRDefault="00524F38" w:rsidP="00524F38">
      <w:pPr>
        <w:numPr>
          <w:ilvl w:val="0"/>
          <w:numId w:val="50"/>
        </w:numPr>
      </w:pPr>
      <w:r>
        <w:t>Power on analyzer.</w:t>
      </w:r>
    </w:p>
    <w:p w:rsidR="00524F38" w:rsidRDefault="00524F38" w:rsidP="00524F38">
      <w:pPr>
        <w:numPr>
          <w:ilvl w:val="0"/>
          <w:numId w:val="50"/>
        </w:numPr>
      </w:pPr>
      <w:r>
        <w:t>Once startup is complete, select [Top]. Select [</w:t>
      </w:r>
      <w:proofErr w:type="spellStart"/>
      <w:r>
        <w:t>Maint</w:t>
      </w:r>
      <w:proofErr w:type="spellEnd"/>
      <w:r>
        <w:t>.] then select [</w:t>
      </w:r>
      <w:proofErr w:type="spellStart"/>
      <w:r>
        <w:t>deprime</w:t>
      </w:r>
      <w:proofErr w:type="spellEnd"/>
      <w:r>
        <w:t xml:space="preserve"> seq.].</w:t>
      </w:r>
    </w:p>
    <w:p w:rsidR="00524F38" w:rsidRDefault="00524F38" w:rsidP="00524F38">
      <w:pPr>
        <w:numPr>
          <w:ilvl w:val="0"/>
          <w:numId w:val="50"/>
        </w:numPr>
      </w:pPr>
      <w:r>
        <w:t xml:space="preserve">Remove sip tubes from reagents (diluent and lyse) and place on </w:t>
      </w:r>
      <w:r>
        <w:tab/>
        <w:t xml:space="preserve">clean paper toweling. </w:t>
      </w:r>
    </w:p>
    <w:p w:rsidR="00524F38" w:rsidRDefault="00524F38" w:rsidP="00524F38">
      <w:pPr>
        <w:numPr>
          <w:ilvl w:val="0"/>
          <w:numId w:val="50"/>
        </w:numPr>
      </w:pPr>
      <w:r>
        <w:t xml:space="preserve">Select [Execute] to </w:t>
      </w:r>
      <w:proofErr w:type="spellStart"/>
      <w:r>
        <w:t>deprime</w:t>
      </w:r>
      <w:proofErr w:type="spellEnd"/>
      <w:r>
        <w:t xml:space="preserve"> reagents.</w:t>
      </w:r>
    </w:p>
    <w:p w:rsidR="00524F38" w:rsidRDefault="00524F38" w:rsidP="00524F38">
      <w:pPr>
        <w:numPr>
          <w:ilvl w:val="0"/>
          <w:numId w:val="50"/>
        </w:numPr>
      </w:pPr>
      <w:r>
        <w:t xml:space="preserve">Once </w:t>
      </w:r>
      <w:proofErr w:type="spellStart"/>
      <w:r>
        <w:t>deprime</w:t>
      </w:r>
      <w:proofErr w:type="spellEnd"/>
      <w:r>
        <w:t xml:space="preserve"> is complete, return sip tubes to bottles and power off instrument.</w:t>
      </w:r>
    </w:p>
    <w:p w:rsidR="001F2239" w:rsidRDefault="00A95D16" w:rsidP="00170591">
      <w:pPr>
        <w:numPr>
          <w:ilvl w:val="1"/>
          <w:numId w:val="34"/>
        </w:numPr>
      </w:pPr>
      <w:r>
        <w:t xml:space="preserve">Assure you are bringing enough supplies to complete patient testing for the duration of testing. </w:t>
      </w:r>
    </w:p>
    <w:p w:rsidR="00A95D16" w:rsidRDefault="00A95D16" w:rsidP="00170591">
      <w:pPr>
        <w:numPr>
          <w:ilvl w:val="1"/>
          <w:numId w:val="34"/>
        </w:numPr>
      </w:pPr>
      <w:r>
        <w:t xml:space="preserve">Bring the </w:t>
      </w:r>
      <w:r w:rsidR="00DD3355">
        <w:t>currently in use</w:t>
      </w:r>
      <w:r>
        <w:t xml:space="preserve"> control vials to the biocontainment lab with the analyzer to be run once system has been powered up.</w:t>
      </w:r>
    </w:p>
    <w:p w:rsidR="00895055" w:rsidRDefault="00895055" w:rsidP="00170591">
      <w:pPr>
        <w:numPr>
          <w:ilvl w:val="1"/>
          <w:numId w:val="34"/>
        </w:numPr>
      </w:pPr>
      <w:r>
        <w:t>Place analyzer</w:t>
      </w:r>
      <w:r w:rsidR="00524F38">
        <w:t xml:space="preserve"> and reagent tray</w:t>
      </w:r>
      <w:r>
        <w:t xml:space="preserve"> </w:t>
      </w:r>
      <w:r w:rsidR="00E7768C">
        <w:t>in biocontainment hood and check liquid levels prior to powering analyzer on.</w:t>
      </w:r>
    </w:p>
    <w:p w:rsidR="00E7768C" w:rsidRPr="00F3030A" w:rsidRDefault="00E7768C" w:rsidP="00170591">
      <w:pPr>
        <w:numPr>
          <w:ilvl w:val="1"/>
          <w:numId w:val="34"/>
        </w:numPr>
      </w:pPr>
      <w:r>
        <w:t xml:space="preserve">Run three levels of controls and remove </w:t>
      </w:r>
      <w:r w:rsidR="00524F38">
        <w:t xml:space="preserve">control vials </w:t>
      </w:r>
      <w:r>
        <w:t>from contaminated area prior to suspected sample being brought in the lab.</w:t>
      </w:r>
    </w:p>
    <w:p w:rsidR="00BE2FEE" w:rsidRPr="00F3030A" w:rsidRDefault="00BE2FEE" w:rsidP="00F3030A"/>
    <w:p w:rsidR="00BE2FEE" w:rsidRDefault="00BE2FEE" w:rsidP="00170591">
      <w:pPr>
        <w:numPr>
          <w:ilvl w:val="0"/>
          <w:numId w:val="34"/>
        </w:numPr>
      </w:pPr>
      <w:r w:rsidRPr="00F3030A">
        <w:t>Sample Analysis</w:t>
      </w:r>
    </w:p>
    <w:p w:rsidR="00BE2FEE" w:rsidRPr="00F3030A" w:rsidRDefault="00BE2FEE" w:rsidP="00F3030A">
      <w:r w:rsidRPr="00F3030A">
        <w:t>.</w:t>
      </w:r>
    </w:p>
    <w:p w:rsidR="00BE2FEE" w:rsidRPr="00F3030A" w:rsidRDefault="00BE2FEE" w:rsidP="00170591">
      <w:pPr>
        <w:numPr>
          <w:ilvl w:val="0"/>
          <w:numId w:val="38"/>
        </w:numPr>
      </w:pPr>
      <w:r w:rsidRPr="00F3030A">
        <w:t xml:space="preserve">The default mode is the WB </w:t>
      </w:r>
      <w:r w:rsidR="006D4EC7">
        <w:t xml:space="preserve">(whole blood) </w:t>
      </w:r>
      <w:r w:rsidRPr="00F3030A">
        <w:t>mode</w:t>
      </w:r>
      <w:r w:rsidR="00561DB9">
        <w:t xml:space="preserve"> and the a</w:t>
      </w:r>
      <w:r w:rsidR="00561DB9" w:rsidRPr="00F3030A">
        <w:t>spirated sample volume is ~15μL</w:t>
      </w:r>
      <w:r w:rsidRPr="00F3030A">
        <w:t>.</w:t>
      </w:r>
    </w:p>
    <w:p w:rsidR="00BE2FEE" w:rsidRPr="00F3030A" w:rsidRDefault="00BE2FEE" w:rsidP="00170591">
      <w:pPr>
        <w:numPr>
          <w:ilvl w:val="0"/>
          <w:numId w:val="38"/>
        </w:numPr>
      </w:pPr>
      <w:r w:rsidRPr="00F3030A">
        <w:t>Be sure the display indicates ‘Ready’.</w:t>
      </w:r>
    </w:p>
    <w:p w:rsidR="00BE2FEE" w:rsidRPr="00F3030A" w:rsidRDefault="00BE2FEE" w:rsidP="00170591">
      <w:pPr>
        <w:numPr>
          <w:ilvl w:val="0"/>
          <w:numId w:val="38"/>
        </w:numPr>
      </w:pPr>
      <w:r w:rsidRPr="00F3030A">
        <w:t xml:space="preserve">When </w:t>
      </w:r>
      <w:r w:rsidRPr="006D4EC7">
        <w:rPr>
          <w:b/>
        </w:rPr>
        <w:t>[WB]</w:t>
      </w:r>
      <w:r w:rsidRPr="00F3030A">
        <w:t xml:space="preserve"> is pressed, the ‘WB’ button turns red and appears </w:t>
      </w:r>
      <w:proofErr w:type="spellStart"/>
      <w:r w:rsidRPr="00F3030A">
        <w:t>shadeless</w:t>
      </w:r>
      <w:proofErr w:type="spellEnd"/>
      <w:r w:rsidRPr="00F3030A">
        <w:t>.</w:t>
      </w:r>
    </w:p>
    <w:p w:rsidR="00BE2FEE" w:rsidRPr="00F3030A" w:rsidRDefault="00BE2FEE" w:rsidP="00170591">
      <w:pPr>
        <w:numPr>
          <w:ilvl w:val="0"/>
          <w:numId w:val="38"/>
        </w:numPr>
      </w:pPr>
      <w:r w:rsidRPr="00F3030A">
        <w:t>Enter sample ID by either numeric keypad or hand-held barcode reader.</w:t>
      </w:r>
    </w:p>
    <w:p w:rsidR="00BE2FEE" w:rsidRPr="00F3030A" w:rsidRDefault="00BE2FEE" w:rsidP="00170591">
      <w:pPr>
        <w:numPr>
          <w:ilvl w:val="0"/>
          <w:numId w:val="39"/>
        </w:numPr>
      </w:pPr>
      <w:r w:rsidRPr="00F3030A">
        <w:t>Numeric key pad</w:t>
      </w:r>
    </w:p>
    <w:p w:rsidR="006D4EC7" w:rsidRDefault="00BE2FEE" w:rsidP="00170591">
      <w:pPr>
        <w:numPr>
          <w:ilvl w:val="0"/>
          <w:numId w:val="40"/>
        </w:numPr>
      </w:pPr>
      <w:r w:rsidRPr="00F3030A">
        <w:t xml:space="preserve">The space for the sample ID can accept 15 characters in combination of alpha/numeric characters, hyphens and spaces. </w:t>
      </w:r>
    </w:p>
    <w:p w:rsidR="006D4EC7" w:rsidRDefault="00BE2FEE" w:rsidP="00170591">
      <w:pPr>
        <w:numPr>
          <w:ilvl w:val="0"/>
          <w:numId w:val="40"/>
        </w:numPr>
      </w:pPr>
      <w:r w:rsidRPr="00F3030A">
        <w:t xml:space="preserve">Press </w:t>
      </w:r>
      <w:r w:rsidRPr="006D4EC7">
        <w:rPr>
          <w:b/>
        </w:rPr>
        <w:t xml:space="preserve">[SAMPLE ID]. </w:t>
      </w:r>
      <w:r w:rsidRPr="00F3030A">
        <w:t>The numerical key pad will appear. Enter sample ID</w:t>
      </w:r>
      <w:r w:rsidR="00895055">
        <w:t xml:space="preserve"> using barcode reader or keypad to enter</w:t>
      </w:r>
      <w:r w:rsidRPr="00F3030A">
        <w:t>.</w:t>
      </w:r>
    </w:p>
    <w:p w:rsidR="00BE2FEE" w:rsidRPr="00F3030A" w:rsidRDefault="00BE2FEE" w:rsidP="00170591">
      <w:pPr>
        <w:numPr>
          <w:ilvl w:val="0"/>
          <w:numId w:val="40"/>
        </w:numPr>
      </w:pPr>
      <w:r w:rsidRPr="00F3030A">
        <w:t xml:space="preserve"> Press </w:t>
      </w:r>
      <w:r w:rsidRPr="006D4EC7">
        <w:rPr>
          <w:b/>
        </w:rPr>
        <w:t>[ENTER],</w:t>
      </w:r>
      <w:r w:rsidRPr="00F3030A">
        <w:t xml:space="preserve"> the sample ID is displayed and the status turns to ‘Ready’</w:t>
      </w:r>
      <w:r w:rsidR="006D4EC7">
        <w:t>.</w:t>
      </w:r>
    </w:p>
    <w:p w:rsidR="00BE2FEE" w:rsidRPr="00F3030A" w:rsidRDefault="00BE2FEE" w:rsidP="00170591">
      <w:pPr>
        <w:numPr>
          <w:ilvl w:val="0"/>
          <w:numId w:val="39"/>
        </w:numPr>
      </w:pPr>
      <w:r w:rsidRPr="00F3030A">
        <w:t>Hand held barcode reader</w:t>
      </w:r>
    </w:p>
    <w:p w:rsidR="006D4EC7" w:rsidRDefault="00BE2FEE" w:rsidP="00170591">
      <w:pPr>
        <w:numPr>
          <w:ilvl w:val="0"/>
          <w:numId w:val="41"/>
        </w:numPr>
      </w:pPr>
      <w:r w:rsidRPr="00F3030A">
        <w:t xml:space="preserve">Press </w:t>
      </w:r>
      <w:r w:rsidRPr="006D4EC7">
        <w:rPr>
          <w:b/>
        </w:rPr>
        <w:t>[SAMPLE ID].</w:t>
      </w:r>
      <w:r w:rsidRPr="00F3030A">
        <w:t xml:space="preserve"> The barcode can be scanned, instead of the numerical entry. If the displayed sample ID is not correct, scan the barcode again.</w:t>
      </w:r>
    </w:p>
    <w:p w:rsidR="00BE2FEE" w:rsidRPr="00F3030A" w:rsidRDefault="00BE2FEE" w:rsidP="00170591">
      <w:pPr>
        <w:numPr>
          <w:ilvl w:val="0"/>
          <w:numId w:val="41"/>
        </w:numPr>
      </w:pPr>
      <w:r w:rsidRPr="00F3030A">
        <w:t xml:space="preserve"> Press </w:t>
      </w:r>
      <w:r w:rsidRPr="006D4EC7">
        <w:rPr>
          <w:b/>
        </w:rPr>
        <w:t>[ENTER].</w:t>
      </w:r>
      <w:r w:rsidRPr="00F3030A">
        <w:t xml:space="preserve"> When the manual input of sample number is selected, the barcode cannot be read. In this case, press </w:t>
      </w:r>
      <w:r w:rsidRPr="006D4EC7">
        <w:rPr>
          <w:b/>
        </w:rPr>
        <w:t>[ENTER]</w:t>
      </w:r>
      <w:r w:rsidRPr="00F3030A">
        <w:t xml:space="preserve"> once, then press </w:t>
      </w:r>
      <w:r w:rsidRPr="006D4EC7">
        <w:rPr>
          <w:b/>
        </w:rPr>
        <w:t xml:space="preserve">[SAMPLE ID] </w:t>
      </w:r>
      <w:r w:rsidRPr="00F3030A">
        <w:t>again to read barcode.</w:t>
      </w:r>
    </w:p>
    <w:p w:rsidR="00BE2FEE" w:rsidRPr="00F3030A" w:rsidRDefault="00BE2FEE" w:rsidP="00170591">
      <w:pPr>
        <w:numPr>
          <w:ilvl w:val="0"/>
          <w:numId w:val="38"/>
        </w:numPr>
      </w:pPr>
      <w:r w:rsidRPr="00F3030A">
        <w:t>Patient Sample Processing</w:t>
      </w:r>
    </w:p>
    <w:p w:rsidR="00BE2FEE" w:rsidRPr="00F3030A" w:rsidRDefault="00BE2FEE" w:rsidP="00170591">
      <w:pPr>
        <w:numPr>
          <w:ilvl w:val="0"/>
          <w:numId w:val="42"/>
        </w:numPr>
      </w:pPr>
      <w:r w:rsidRPr="00F3030A">
        <w:t>Press the top of the sample position to open.</w:t>
      </w:r>
    </w:p>
    <w:p w:rsidR="00BE2FEE" w:rsidRPr="00F3030A" w:rsidRDefault="00BE2FEE" w:rsidP="00170591">
      <w:pPr>
        <w:numPr>
          <w:ilvl w:val="0"/>
          <w:numId w:val="42"/>
        </w:numPr>
      </w:pPr>
      <w:r w:rsidRPr="00F3030A">
        <w:t xml:space="preserve">Set </w:t>
      </w:r>
      <w:r w:rsidR="00895055">
        <w:t>the</w:t>
      </w:r>
      <w:r w:rsidRPr="00F3030A">
        <w:t xml:space="preserve"> </w:t>
      </w:r>
      <w:r w:rsidR="00895055">
        <w:t>tan</w:t>
      </w:r>
      <w:r w:rsidRPr="00F3030A">
        <w:t xml:space="preserve"> adapter into the sample position.</w:t>
      </w:r>
    </w:p>
    <w:p w:rsidR="00BE2FEE" w:rsidRPr="00F3030A" w:rsidRDefault="00BE2FEE" w:rsidP="00170591">
      <w:pPr>
        <w:numPr>
          <w:ilvl w:val="0"/>
          <w:numId w:val="42"/>
        </w:numPr>
      </w:pPr>
      <w:r w:rsidRPr="00F3030A">
        <w:t>Mix the sample by gently inverting end to end ten times.</w:t>
      </w:r>
    </w:p>
    <w:p w:rsidR="00BE2FEE" w:rsidRPr="00F3030A" w:rsidRDefault="00895055" w:rsidP="00170591">
      <w:pPr>
        <w:numPr>
          <w:ilvl w:val="0"/>
          <w:numId w:val="42"/>
        </w:numPr>
      </w:pPr>
      <w:r>
        <w:t>S</w:t>
      </w:r>
      <w:r w:rsidR="00BE2FEE" w:rsidRPr="00F3030A">
        <w:t>et the sample into the adapter and close the door.</w:t>
      </w:r>
    </w:p>
    <w:p w:rsidR="006D4EC7" w:rsidRDefault="00BE2FEE" w:rsidP="00170591">
      <w:pPr>
        <w:numPr>
          <w:ilvl w:val="0"/>
          <w:numId w:val="42"/>
        </w:numPr>
      </w:pPr>
      <w:r w:rsidRPr="00F3030A">
        <w:t xml:space="preserve">Make sure that ‘Ready’ is displayed on the instrument status indicator at the top of the display area. </w:t>
      </w:r>
    </w:p>
    <w:p w:rsidR="00BE2FEE" w:rsidRPr="00F3030A" w:rsidRDefault="00BE2FEE" w:rsidP="00170591">
      <w:pPr>
        <w:numPr>
          <w:ilvl w:val="0"/>
          <w:numId w:val="42"/>
        </w:numPr>
      </w:pPr>
      <w:r w:rsidRPr="00F3030A">
        <w:t xml:space="preserve"> Check the analysis mode; then press </w:t>
      </w:r>
      <w:r w:rsidRPr="006D4EC7">
        <w:rPr>
          <w:b/>
        </w:rPr>
        <w:t>[RUN].</w:t>
      </w:r>
    </w:p>
    <w:p w:rsidR="00BE2FEE" w:rsidRPr="00F3030A" w:rsidRDefault="00BE2FEE" w:rsidP="00170591">
      <w:pPr>
        <w:numPr>
          <w:ilvl w:val="0"/>
          <w:numId w:val="42"/>
        </w:numPr>
      </w:pPr>
      <w:r w:rsidRPr="00F3030A">
        <w:t>The analysis starts and the status display indicates ‘Aspirating’.</w:t>
      </w:r>
    </w:p>
    <w:p w:rsidR="00BE2FEE" w:rsidRPr="00F3030A" w:rsidRDefault="00BE2FEE" w:rsidP="00170591">
      <w:pPr>
        <w:numPr>
          <w:ilvl w:val="0"/>
          <w:numId w:val="42"/>
        </w:numPr>
      </w:pPr>
      <w:r w:rsidRPr="00F3030A">
        <w:t>When sample aspiration is completed, status display ‘Aspirating’ changes to ‘Running’.</w:t>
      </w:r>
    </w:p>
    <w:p w:rsidR="00BE2FEE" w:rsidRPr="00F3030A" w:rsidRDefault="00BE2FEE" w:rsidP="00170591">
      <w:pPr>
        <w:numPr>
          <w:ilvl w:val="0"/>
          <w:numId w:val="42"/>
        </w:numPr>
      </w:pPr>
      <w:r w:rsidRPr="00F3030A">
        <w:t>When ‘Running’ is displayed, the sample position door can be opened and the sample can be removed safely.</w:t>
      </w:r>
    </w:p>
    <w:p w:rsidR="00BE2FEE" w:rsidRPr="00F3030A" w:rsidRDefault="00BE2FEE" w:rsidP="00170591">
      <w:pPr>
        <w:numPr>
          <w:ilvl w:val="0"/>
          <w:numId w:val="42"/>
        </w:numPr>
      </w:pPr>
      <w:r w:rsidRPr="00F3030A">
        <w:t>WBC and HGB results are displayed on the LCD screen in about 90 seconds after starting the analysis. The analysis for all parameters is displayed after 125 seconds. The results are displayed on 4 screen pages. Switch the pages by pressing [→] button. Press [TOP] to return to the Main screen. When the status display indicates ‘Ready’, another sample can be analyzed.</w:t>
      </w:r>
    </w:p>
    <w:p w:rsidR="007114E7" w:rsidRPr="00F3030A" w:rsidRDefault="00BE2FEE" w:rsidP="00170591">
      <w:pPr>
        <w:numPr>
          <w:ilvl w:val="0"/>
          <w:numId w:val="38"/>
        </w:numPr>
      </w:pPr>
      <w:r w:rsidRPr="00F3030A">
        <w:t>Printing and output of results</w:t>
      </w:r>
    </w:p>
    <w:p w:rsidR="004D7198" w:rsidRDefault="00895055" w:rsidP="00170591">
      <w:pPr>
        <w:numPr>
          <w:ilvl w:val="0"/>
          <w:numId w:val="43"/>
        </w:numPr>
      </w:pPr>
      <w:r>
        <w:t>If the results do not print automatically, p</w:t>
      </w:r>
      <w:r w:rsidR="00BE2FEE" w:rsidRPr="00F3030A">
        <w:t>ress [PRINT], and the thermal printer starts to print the results</w:t>
      </w:r>
      <w:r>
        <w:t>.</w:t>
      </w:r>
    </w:p>
    <w:p w:rsidR="004D7198" w:rsidRDefault="004D7198" w:rsidP="00170591">
      <w:pPr>
        <w:numPr>
          <w:ilvl w:val="0"/>
          <w:numId w:val="38"/>
        </w:numPr>
      </w:pPr>
      <w:r>
        <w:t xml:space="preserve">Flags on the Blood Count portion of the histogram include WL, RL, PL, WU, RU, PU, DW, MP which are indicative of incomplete lysis, fragments, </w:t>
      </w:r>
      <w:r w:rsidR="00795DCE">
        <w:t xml:space="preserve">clumping </w:t>
      </w:r>
      <w:r>
        <w:t>or interference on the parameters for which the flag is printed next to.</w:t>
      </w:r>
    </w:p>
    <w:p w:rsidR="004D7198" w:rsidRDefault="004D7198" w:rsidP="00170591">
      <w:pPr>
        <w:numPr>
          <w:ilvl w:val="0"/>
          <w:numId w:val="38"/>
        </w:numPr>
      </w:pPr>
      <w:r>
        <w:t>Repeat those samples with flags one time and then report with a comment about possible interference</w:t>
      </w:r>
      <w:r w:rsidR="00795DCE">
        <w:t>s affecting results</w:t>
      </w:r>
      <w:r>
        <w:t>.</w:t>
      </w:r>
    </w:p>
    <w:p w:rsidR="004D7198" w:rsidRDefault="004D7198" w:rsidP="00170591">
      <w:pPr>
        <w:numPr>
          <w:ilvl w:val="0"/>
          <w:numId w:val="38"/>
        </w:numPr>
      </w:pPr>
      <w:r>
        <w:t xml:space="preserve">Flags on the differential include T1, T2, F1, F2, F3, and AG and are indicative of poor population </w:t>
      </w:r>
      <w:r w:rsidR="00170591">
        <w:t xml:space="preserve">separation and incomplete lysis or immature cells.  Report with a </w:t>
      </w:r>
      <w:r w:rsidR="00795DCE">
        <w:t xml:space="preserve">comment that results may be affected </w:t>
      </w:r>
    </w:p>
    <w:p w:rsidR="00170591" w:rsidRPr="00F3030A" w:rsidRDefault="00170591" w:rsidP="00170591">
      <w:pPr>
        <w:numPr>
          <w:ilvl w:val="0"/>
          <w:numId w:val="38"/>
        </w:numPr>
      </w:pPr>
      <w:r>
        <w:t xml:space="preserve">Some differentials may </w:t>
      </w:r>
      <w:r w:rsidR="00795DCE">
        <w:t>vote out</w:t>
      </w:r>
      <w:r>
        <w:t xml:space="preserve"> and not give results.  Some may give a lymph % only.  Repeat one time and then report what numbers are given with a comment.</w:t>
      </w:r>
    </w:p>
    <w:p w:rsidR="00BE2FEE" w:rsidRPr="00F3030A" w:rsidRDefault="00BE2FEE" w:rsidP="00F3030A"/>
    <w:p w:rsidR="00940DDE" w:rsidRDefault="00940DDE" w:rsidP="00170591">
      <w:pPr>
        <w:numPr>
          <w:ilvl w:val="0"/>
          <w:numId w:val="34"/>
        </w:numPr>
      </w:pPr>
      <w:r>
        <w:t>Decontamination prior to removal from biocontainment hood.</w:t>
      </w:r>
    </w:p>
    <w:p w:rsidR="00940DDE" w:rsidRPr="00F3030A" w:rsidRDefault="00940DDE" w:rsidP="00940DDE">
      <w:pPr>
        <w:numPr>
          <w:ilvl w:val="1"/>
          <w:numId w:val="34"/>
        </w:numPr>
      </w:pPr>
      <w:r w:rsidRPr="00F3030A">
        <w:t xml:space="preserve">Prepare 5% bleach as above in an empty 13mm diameter sample tube. </w:t>
      </w:r>
    </w:p>
    <w:p w:rsidR="00940DDE" w:rsidRPr="00F3030A" w:rsidRDefault="00940DDE" w:rsidP="00940DDE">
      <w:pPr>
        <w:numPr>
          <w:ilvl w:val="1"/>
          <w:numId w:val="34"/>
        </w:numPr>
      </w:pPr>
      <w:r w:rsidRPr="00F3030A">
        <w:t>Press the top of the sample position to open it. Do not use force, because the analyzer may be damaged.</w:t>
      </w:r>
    </w:p>
    <w:p w:rsidR="00940DDE" w:rsidRPr="00F3030A" w:rsidRDefault="00940DDE" w:rsidP="00940DDE">
      <w:pPr>
        <w:numPr>
          <w:ilvl w:val="1"/>
          <w:numId w:val="34"/>
        </w:numPr>
      </w:pPr>
      <w:r w:rsidRPr="00F3030A">
        <w:t>Set the sample adapter (</w:t>
      </w:r>
      <w:r w:rsidR="00DD3355">
        <w:t>tan</w:t>
      </w:r>
      <w:r w:rsidRPr="00F3030A">
        <w:t xml:space="preserve"> color) in the sample position.</w:t>
      </w:r>
    </w:p>
    <w:p w:rsidR="00940DDE" w:rsidRPr="00F3030A" w:rsidRDefault="00940DDE" w:rsidP="00940DDE">
      <w:pPr>
        <w:numPr>
          <w:ilvl w:val="1"/>
          <w:numId w:val="34"/>
        </w:numPr>
      </w:pPr>
      <w:r w:rsidRPr="00F3030A">
        <w:t>Place the prepared tube with the bleach solution in adapter and close the sample position.</w:t>
      </w:r>
    </w:p>
    <w:p w:rsidR="00940DDE" w:rsidRPr="00F3030A" w:rsidRDefault="00940DDE" w:rsidP="00940DDE">
      <w:pPr>
        <w:numPr>
          <w:ilvl w:val="1"/>
          <w:numId w:val="34"/>
        </w:numPr>
      </w:pPr>
      <w:r>
        <w:t>W</w:t>
      </w:r>
      <w:r w:rsidRPr="00F3030A">
        <w:t xml:space="preserve">aste chamber cleaning </w:t>
      </w:r>
      <w:r>
        <w:t>is</w:t>
      </w:r>
      <w:r w:rsidRPr="00F3030A">
        <w:t xml:space="preserve"> executed by pressing </w:t>
      </w:r>
      <w:r w:rsidRPr="00940DDE">
        <w:rPr>
          <w:b/>
        </w:rPr>
        <w:t>[MAINT.]</w:t>
      </w:r>
      <w:r w:rsidRPr="00F3030A">
        <w:t xml:space="preserve"> on the Menu screen then pressing </w:t>
      </w:r>
      <w:r w:rsidRPr="00940DDE">
        <w:rPr>
          <w:b/>
        </w:rPr>
        <w:t>[CLEAN W. CHAMBER]</w:t>
      </w:r>
      <w:r w:rsidRPr="00F3030A">
        <w:t xml:space="preserve"> on the maintenance screen.</w:t>
      </w:r>
    </w:p>
    <w:p w:rsidR="00940DDE" w:rsidRPr="00F3030A" w:rsidRDefault="00795DCE" w:rsidP="00940DDE">
      <w:pPr>
        <w:numPr>
          <w:ilvl w:val="1"/>
          <w:numId w:val="34"/>
        </w:numPr>
      </w:pPr>
      <w:r>
        <w:t>T</w:t>
      </w:r>
      <w:r w:rsidR="00940DDE" w:rsidRPr="00F3030A">
        <w:t>he cleaning waste chamber screen will appear. An auto rinse procedure will be performed after the completion of the cleaning procedure.</w:t>
      </w:r>
    </w:p>
    <w:p w:rsidR="00940DDE" w:rsidRPr="00F3030A" w:rsidRDefault="00940DDE" w:rsidP="00940DDE">
      <w:pPr>
        <w:numPr>
          <w:ilvl w:val="1"/>
          <w:numId w:val="34"/>
        </w:numPr>
      </w:pPr>
      <w:r w:rsidRPr="00F3030A">
        <w:t>After completion of the waste chamber cleaning procedure, the Main screen will appear.</w:t>
      </w:r>
    </w:p>
    <w:p w:rsidR="00940DDE" w:rsidRPr="00F3030A" w:rsidRDefault="00940DDE" w:rsidP="00940DDE">
      <w:pPr>
        <w:numPr>
          <w:ilvl w:val="1"/>
          <w:numId w:val="34"/>
        </w:numPr>
      </w:pPr>
      <w:r w:rsidRPr="00F3030A">
        <w:t>Remove the sample tube with the bleach solution from the sample position.</w:t>
      </w:r>
    </w:p>
    <w:p w:rsidR="00940DDE" w:rsidRDefault="00940DDE" w:rsidP="00940DDE">
      <w:pPr>
        <w:numPr>
          <w:ilvl w:val="1"/>
          <w:numId w:val="34"/>
        </w:numPr>
      </w:pPr>
      <w:r>
        <w:t>Discard waste bottle in biocontainment contaminated trash.</w:t>
      </w:r>
    </w:p>
    <w:p w:rsidR="00B457B7" w:rsidRDefault="00B457B7" w:rsidP="00940DDE">
      <w:pPr>
        <w:numPr>
          <w:ilvl w:val="1"/>
          <w:numId w:val="34"/>
        </w:numPr>
      </w:pPr>
      <w:r>
        <w:t>Shutdown analyzer power. See steps below.</w:t>
      </w:r>
    </w:p>
    <w:p w:rsidR="00940DDE" w:rsidRDefault="00940DDE" w:rsidP="00940DDE">
      <w:pPr>
        <w:numPr>
          <w:ilvl w:val="1"/>
          <w:numId w:val="34"/>
        </w:numPr>
      </w:pPr>
      <w:r>
        <w:t>Thoroughly wipe the entire analyzer and remaining reagents with a gauze wet with isopropyl alcohol.</w:t>
      </w:r>
    </w:p>
    <w:p w:rsidR="00940DDE" w:rsidRDefault="00940DDE" w:rsidP="00940DDE">
      <w:pPr>
        <w:numPr>
          <w:ilvl w:val="1"/>
          <w:numId w:val="34"/>
        </w:numPr>
      </w:pPr>
      <w:r>
        <w:t>Remove the sample adapter and thoroughly clean with isopropyl alcohol.</w:t>
      </w:r>
    </w:p>
    <w:p w:rsidR="00940DDE" w:rsidRDefault="00940DDE" w:rsidP="00940DDE">
      <w:pPr>
        <w:ind w:left="1440"/>
      </w:pPr>
    </w:p>
    <w:p w:rsidR="007114E7" w:rsidRPr="00F3030A" w:rsidRDefault="007114E7" w:rsidP="00170591">
      <w:pPr>
        <w:numPr>
          <w:ilvl w:val="0"/>
          <w:numId w:val="34"/>
        </w:numPr>
      </w:pPr>
      <w:r w:rsidRPr="00F3030A">
        <w:t>Daily Shutdown – approximately 2 minutes to perform</w:t>
      </w:r>
    </w:p>
    <w:p w:rsidR="00434422" w:rsidRDefault="007114E7" w:rsidP="00170591">
      <w:pPr>
        <w:numPr>
          <w:ilvl w:val="0"/>
          <w:numId w:val="44"/>
        </w:numPr>
      </w:pPr>
      <w:r w:rsidRPr="00F3030A">
        <w:t xml:space="preserve">The Shutdown program cleans the transducer chambers and the diluted sample line. </w:t>
      </w:r>
    </w:p>
    <w:p w:rsidR="007114E7" w:rsidRPr="00F3030A" w:rsidRDefault="007114E7" w:rsidP="00170591">
      <w:pPr>
        <w:numPr>
          <w:ilvl w:val="0"/>
          <w:numId w:val="44"/>
        </w:numPr>
      </w:pPr>
      <w:r w:rsidRPr="00F3030A">
        <w:t>Perform Shutdown at the end of daily operation or at least once every 24 hours.</w:t>
      </w:r>
    </w:p>
    <w:p w:rsidR="007114E7" w:rsidRPr="00F3030A" w:rsidRDefault="007114E7" w:rsidP="00170591">
      <w:pPr>
        <w:numPr>
          <w:ilvl w:val="0"/>
          <w:numId w:val="44"/>
        </w:numPr>
      </w:pPr>
      <w:r w:rsidRPr="00F3030A">
        <w:t xml:space="preserve">Press </w:t>
      </w:r>
      <w:r w:rsidRPr="00434422">
        <w:rPr>
          <w:b/>
        </w:rPr>
        <w:t>[SHUTDOWN]</w:t>
      </w:r>
      <w:r w:rsidRPr="00F3030A">
        <w:t xml:space="preserve"> when the ‘Ready’ status appears. The shutdown confirmation message appears. The Shutdown procedure may be aborted by pressing </w:t>
      </w:r>
      <w:r w:rsidRPr="00434422">
        <w:rPr>
          <w:b/>
        </w:rPr>
        <w:t>[CANCEL].</w:t>
      </w:r>
      <w:r w:rsidRPr="00F3030A">
        <w:t xml:space="preserve"> The analyzer returns to the Main Menu screen.</w:t>
      </w:r>
    </w:p>
    <w:p w:rsidR="007114E7" w:rsidRPr="00F3030A" w:rsidRDefault="007114E7" w:rsidP="00170591">
      <w:pPr>
        <w:numPr>
          <w:ilvl w:val="0"/>
          <w:numId w:val="44"/>
        </w:numPr>
      </w:pPr>
      <w:r w:rsidRPr="00F3030A">
        <w:t xml:space="preserve">Press </w:t>
      </w:r>
      <w:r w:rsidRPr="00434422">
        <w:rPr>
          <w:b/>
        </w:rPr>
        <w:t>[EXECUTE].</w:t>
      </w:r>
    </w:p>
    <w:p w:rsidR="007114E7" w:rsidRPr="00F3030A" w:rsidRDefault="007114E7" w:rsidP="00170591">
      <w:pPr>
        <w:numPr>
          <w:ilvl w:val="0"/>
          <w:numId w:val="44"/>
        </w:numPr>
      </w:pPr>
      <w:r w:rsidRPr="00F3030A">
        <w:t>Check that the shutdown sequence was completed. The display of the Shutdown Completion screen will be displayed.</w:t>
      </w:r>
    </w:p>
    <w:p w:rsidR="007114E7" w:rsidRPr="00F3030A" w:rsidRDefault="007114E7" w:rsidP="00170591">
      <w:pPr>
        <w:numPr>
          <w:ilvl w:val="0"/>
          <w:numId w:val="44"/>
        </w:numPr>
      </w:pPr>
      <w:r w:rsidRPr="00F3030A">
        <w:t>Turn off the main switch on the right side of the analyzer.</w:t>
      </w:r>
    </w:p>
    <w:p w:rsidR="007114E7" w:rsidRPr="00F3030A" w:rsidRDefault="007114E7" w:rsidP="00170591">
      <w:pPr>
        <w:numPr>
          <w:ilvl w:val="0"/>
          <w:numId w:val="44"/>
        </w:numPr>
      </w:pPr>
      <w:r w:rsidRPr="00F3030A">
        <w:t xml:space="preserve">If </w:t>
      </w:r>
      <w:r w:rsidRPr="00434422">
        <w:rPr>
          <w:b/>
        </w:rPr>
        <w:t>[RESTART]</w:t>
      </w:r>
      <w:r w:rsidRPr="00F3030A">
        <w:t xml:space="preserve"> is pressed, the Main Menu screen will appear.</w:t>
      </w:r>
    </w:p>
    <w:p w:rsidR="007114E7" w:rsidRPr="00F3030A" w:rsidRDefault="007114E7" w:rsidP="00170591">
      <w:pPr>
        <w:numPr>
          <w:ilvl w:val="0"/>
          <w:numId w:val="44"/>
        </w:numPr>
      </w:pPr>
      <w:r w:rsidRPr="00F3030A">
        <w:t>Record the daily shutdown on your lab’s maintenance log.</w:t>
      </w:r>
    </w:p>
    <w:p w:rsidR="00940DDE" w:rsidRDefault="00940DDE" w:rsidP="00940DDE">
      <w:pPr>
        <w:ind w:left="720"/>
      </w:pPr>
    </w:p>
    <w:p w:rsidR="000E0A27" w:rsidRPr="00F3030A" w:rsidRDefault="000E0A27" w:rsidP="00170591">
      <w:pPr>
        <w:numPr>
          <w:ilvl w:val="0"/>
          <w:numId w:val="34"/>
        </w:numPr>
      </w:pPr>
      <w:r w:rsidRPr="00F3030A">
        <w:t>Reporting Results</w:t>
      </w:r>
    </w:p>
    <w:p w:rsidR="00E52C33" w:rsidRDefault="00E7768C" w:rsidP="00170591">
      <w:pPr>
        <w:numPr>
          <w:ilvl w:val="0"/>
          <w:numId w:val="45"/>
        </w:numPr>
      </w:pPr>
      <w:r>
        <w:t xml:space="preserve">Results are hand entered into the LIS under the Ebola CBC protocol which </w:t>
      </w:r>
      <w:r w:rsidR="00B457B7">
        <w:tab/>
      </w:r>
      <w:r>
        <w:t>includes a 9 part Blood count (WBC, RBC, HGB, HCT, MCV, M</w:t>
      </w:r>
      <w:r w:rsidR="00DD3355">
        <w:t>CH</w:t>
      </w:r>
      <w:r>
        <w:t xml:space="preserve">, MCHC, </w:t>
      </w:r>
      <w:r w:rsidR="00B457B7">
        <w:tab/>
      </w:r>
      <w:r>
        <w:t xml:space="preserve">RDW, and PLT) and a 3 part diff (Lymph % and #, </w:t>
      </w:r>
      <w:proofErr w:type="spellStart"/>
      <w:r>
        <w:t>Neut</w:t>
      </w:r>
      <w:proofErr w:type="spellEnd"/>
      <w:r>
        <w:t xml:space="preserve"> </w:t>
      </w:r>
      <w:r w:rsidR="00DD3355">
        <w:t>%</w:t>
      </w:r>
      <w:r>
        <w:t xml:space="preserve"> and #, and MXD % </w:t>
      </w:r>
      <w:r w:rsidR="00B457B7">
        <w:tab/>
      </w:r>
      <w:r>
        <w:t xml:space="preserve">and #).  The MXD or mixed population includes monocytes, eosinophils and </w:t>
      </w:r>
      <w:r w:rsidR="00B457B7">
        <w:tab/>
      </w:r>
      <w:r>
        <w:t xml:space="preserve">basophils. </w:t>
      </w:r>
    </w:p>
    <w:p w:rsidR="00434422" w:rsidRDefault="00434422" w:rsidP="00170591">
      <w:pPr>
        <w:ind w:left="1080"/>
      </w:pPr>
    </w:p>
    <w:p w:rsidR="000C18F0" w:rsidRDefault="000C18F0" w:rsidP="00170591">
      <w:pPr>
        <w:numPr>
          <w:ilvl w:val="0"/>
          <w:numId w:val="45"/>
        </w:numPr>
      </w:pPr>
      <w:r>
        <w:t xml:space="preserve">Tape the printout to a copy of the LIS report and store in results binder in </w:t>
      </w:r>
      <w:r w:rsidR="00B457B7">
        <w:tab/>
      </w:r>
      <w:r>
        <w:t>biocontainment lab.</w:t>
      </w:r>
    </w:p>
    <w:p w:rsidR="00170591" w:rsidRDefault="00170591" w:rsidP="00170591">
      <w:pPr>
        <w:ind w:left="1080"/>
      </w:pPr>
    </w:p>
    <w:p w:rsidR="000E0A27" w:rsidRDefault="003D3618" w:rsidP="00E44F54">
      <w:pPr>
        <w:pStyle w:val="SectionHeader"/>
        <w:framePr w:wrap="auto" w:vAnchor="margin" w:yAlign="inline"/>
      </w:pPr>
      <w:r>
        <w:t>Limitations and Interferences</w:t>
      </w:r>
    </w:p>
    <w:p w:rsidR="00434422" w:rsidRPr="00434422" w:rsidRDefault="00434422" w:rsidP="00170591">
      <w:pPr>
        <w:pStyle w:val="SectionHeader"/>
        <w:framePr w:wrap="auto" w:vAnchor="margin" w:yAlign="inline"/>
        <w:numPr>
          <w:ilvl w:val="0"/>
          <w:numId w:val="46"/>
        </w:numPr>
        <w:rPr>
          <w:b w:val="0"/>
          <w:sz w:val="24"/>
          <w:szCs w:val="24"/>
        </w:rPr>
      </w:pPr>
      <w:proofErr w:type="spellStart"/>
      <w:r>
        <w:rPr>
          <w:b w:val="0"/>
          <w:sz w:val="24"/>
          <w:szCs w:val="24"/>
        </w:rPr>
        <w:t>Linearities</w:t>
      </w:r>
      <w:proofErr w:type="spellEnd"/>
      <w:r>
        <w:rPr>
          <w:b w:val="0"/>
          <w:sz w:val="24"/>
          <w:szCs w:val="24"/>
        </w:rPr>
        <w:t xml:space="preserve"> for the measured parameters are as follows:</w:t>
      </w:r>
    </w:p>
    <w:p w:rsidR="00F33C1D" w:rsidRPr="00F33C1D" w:rsidRDefault="00F33C1D" w:rsidP="00F33C1D">
      <w:pPr>
        <w:pStyle w:val="HEADING40"/>
        <w:spacing w:before="0"/>
        <w:ind w:left="1440" w:hanging="720"/>
        <w:rPr>
          <w:rFonts w:ascii="Times New Roman" w:hAnsi="Times New Roman"/>
          <w:b w:val="0"/>
          <w:bCs w:val="0"/>
        </w:rPr>
      </w:pP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9"/>
        <w:gridCol w:w="2949"/>
      </w:tblGrid>
      <w:tr w:rsidR="0051639E" w:rsidRPr="00F33C1D" w:rsidTr="00434422">
        <w:trPr>
          <w:trHeight w:val="280"/>
        </w:trPr>
        <w:tc>
          <w:tcPr>
            <w:tcW w:w="2949" w:type="dxa"/>
          </w:tcPr>
          <w:p w:rsidR="0051639E" w:rsidRPr="00F33C1D" w:rsidRDefault="0051639E" w:rsidP="00951FE8">
            <w:pPr>
              <w:jc w:val="center"/>
              <w:rPr>
                <w:b/>
              </w:rPr>
            </w:pPr>
            <w:r w:rsidRPr="00F33C1D">
              <w:rPr>
                <w:b/>
              </w:rPr>
              <w:t>Parameter</w:t>
            </w:r>
          </w:p>
        </w:tc>
        <w:tc>
          <w:tcPr>
            <w:tcW w:w="2949" w:type="dxa"/>
          </w:tcPr>
          <w:p w:rsidR="0051639E" w:rsidRPr="00F33C1D" w:rsidRDefault="0051639E" w:rsidP="00951FE8">
            <w:pPr>
              <w:jc w:val="center"/>
              <w:rPr>
                <w:b/>
              </w:rPr>
            </w:pPr>
            <w:r w:rsidRPr="00F33C1D">
              <w:rPr>
                <w:b/>
              </w:rPr>
              <w:t>Range</w:t>
            </w:r>
          </w:p>
        </w:tc>
      </w:tr>
      <w:tr w:rsidR="0051639E" w:rsidRPr="00F33C1D" w:rsidTr="00434422">
        <w:trPr>
          <w:trHeight w:val="280"/>
        </w:trPr>
        <w:tc>
          <w:tcPr>
            <w:tcW w:w="2949" w:type="dxa"/>
          </w:tcPr>
          <w:p w:rsidR="0051639E" w:rsidRPr="00F33C1D" w:rsidRDefault="0051639E" w:rsidP="00951FE8">
            <w:pPr>
              <w:jc w:val="center"/>
            </w:pPr>
            <w:r w:rsidRPr="00F33C1D">
              <w:t>WBC</w:t>
            </w:r>
          </w:p>
        </w:tc>
        <w:tc>
          <w:tcPr>
            <w:tcW w:w="2949" w:type="dxa"/>
          </w:tcPr>
          <w:p w:rsidR="0051639E" w:rsidRPr="00F33C1D" w:rsidRDefault="0051639E" w:rsidP="00951FE8">
            <w:pPr>
              <w:jc w:val="center"/>
            </w:pPr>
            <w:r w:rsidRPr="00F33C1D">
              <w:t>1.0 - 99.9</w:t>
            </w:r>
            <w:r>
              <w:t xml:space="preserve"> </w:t>
            </w:r>
            <w:r w:rsidRPr="00F33C1D">
              <w:t>x10</w:t>
            </w:r>
            <w:r w:rsidRPr="00F33C1D">
              <w:rPr>
                <w:vertAlign w:val="superscript"/>
              </w:rPr>
              <w:t>3</w:t>
            </w:r>
            <w:r w:rsidRPr="00F33C1D">
              <w:t xml:space="preserve">/ </w:t>
            </w:r>
            <w:proofErr w:type="spellStart"/>
            <w:r w:rsidRPr="00F33C1D">
              <w:t>μL</w:t>
            </w:r>
            <w:proofErr w:type="spellEnd"/>
            <w:r w:rsidRPr="00F33C1D">
              <w:t xml:space="preserve"> </w:t>
            </w:r>
          </w:p>
        </w:tc>
      </w:tr>
      <w:tr w:rsidR="0051639E" w:rsidRPr="00F33C1D" w:rsidTr="00434422">
        <w:trPr>
          <w:trHeight w:val="280"/>
        </w:trPr>
        <w:tc>
          <w:tcPr>
            <w:tcW w:w="2949" w:type="dxa"/>
          </w:tcPr>
          <w:p w:rsidR="0051639E" w:rsidRPr="00F33C1D" w:rsidRDefault="0051639E" w:rsidP="00951FE8">
            <w:pPr>
              <w:jc w:val="center"/>
            </w:pPr>
            <w:r w:rsidRPr="00F33C1D">
              <w:t>RBC</w:t>
            </w:r>
          </w:p>
        </w:tc>
        <w:tc>
          <w:tcPr>
            <w:tcW w:w="2949" w:type="dxa"/>
          </w:tcPr>
          <w:p w:rsidR="0051639E" w:rsidRPr="00F33C1D" w:rsidRDefault="0051639E" w:rsidP="00951FE8">
            <w:pPr>
              <w:jc w:val="center"/>
            </w:pPr>
            <w:r w:rsidRPr="00F33C1D">
              <w:t>0.30 - 7.00 x10</w:t>
            </w:r>
            <w:r w:rsidRPr="00F33C1D">
              <w:rPr>
                <w:vertAlign w:val="superscript"/>
              </w:rPr>
              <w:t>6</w:t>
            </w:r>
            <w:r w:rsidRPr="00F33C1D">
              <w:t xml:space="preserve">/ </w:t>
            </w:r>
            <w:proofErr w:type="spellStart"/>
            <w:r w:rsidRPr="00F33C1D">
              <w:t>μL</w:t>
            </w:r>
            <w:proofErr w:type="spellEnd"/>
          </w:p>
        </w:tc>
      </w:tr>
      <w:tr w:rsidR="0051639E" w:rsidRPr="00F33C1D" w:rsidTr="00434422">
        <w:trPr>
          <w:trHeight w:val="280"/>
        </w:trPr>
        <w:tc>
          <w:tcPr>
            <w:tcW w:w="2949" w:type="dxa"/>
          </w:tcPr>
          <w:p w:rsidR="0051639E" w:rsidRPr="00F33C1D" w:rsidRDefault="0051639E" w:rsidP="00951FE8">
            <w:pPr>
              <w:jc w:val="center"/>
            </w:pPr>
            <w:r w:rsidRPr="00F33C1D">
              <w:t>HGB</w:t>
            </w:r>
          </w:p>
        </w:tc>
        <w:tc>
          <w:tcPr>
            <w:tcW w:w="2949" w:type="dxa"/>
          </w:tcPr>
          <w:p w:rsidR="0051639E" w:rsidRPr="00F33C1D" w:rsidRDefault="0051639E" w:rsidP="00951FE8">
            <w:pPr>
              <w:jc w:val="center"/>
            </w:pPr>
            <w:r w:rsidRPr="00F33C1D">
              <w:t>0.1 - 25.0 g/</w:t>
            </w:r>
            <w:proofErr w:type="spellStart"/>
            <w:r w:rsidRPr="00F33C1D">
              <w:t>dL</w:t>
            </w:r>
            <w:proofErr w:type="spellEnd"/>
          </w:p>
        </w:tc>
      </w:tr>
      <w:tr w:rsidR="0051639E" w:rsidRPr="00F33C1D" w:rsidTr="00434422">
        <w:trPr>
          <w:trHeight w:val="280"/>
        </w:trPr>
        <w:tc>
          <w:tcPr>
            <w:tcW w:w="2949" w:type="dxa"/>
          </w:tcPr>
          <w:p w:rsidR="0051639E" w:rsidRPr="00F33C1D" w:rsidRDefault="0051639E" w:rsidP="00951FE8">
            <w:pPr>
              <w:jc w:val="center"/>
            </w:pPr>
            <w:r w:rsidRPr="00F33C1D">
              <w:t>HCT</w:t>
            </w:r>
          </w:p>
        </w:tc>
        <w:tc>
          <w:tcPr>
            <w:tcW w:w="2949" w:type="dxa"/>
          </w:tcPr>
          <w:p w:rsidR="0051639E" w:rsidRPr="00F33C1D" w:rsidRDefault="0051639E" w:rsidP="00951FE8">
            <w:pPr>
              <w:jc w:val="center"/>
            </w:pPr>
            <w:r w:rsidRPr="00F33C1D">
              <w:t>10.0 - 60.0 %</w:t>
            </w:r>
          </w:p>
        </w:tc>
      </w:tr>
      <w:tr w:rsidR="0051639E" w:rsidRPr="00F33C1D" w:rsidTr="00434422">
        <w:trPr>
          <w:trHeight w:val="280"/>
        </w:trPr>
        <w:tc>
          <w:tcPr>
            <w:tcW w:w="2949" w:type="dxa"/>
          </w:tcPr>
          <w:p w:rsidR="0051639E" w:rsidRPr="00F33C1D" w:rsidRDefault="0051639E" w:rsidP="00951FE8">
            <w:pPr>
              <w:jc w:val="center"/>
            </w:pPr>
            <w:r w:rsidRPr="00F33C1D">
              <w:t>PLT</w:t>
            </w:r>
          </w:p>
        </w:tc>
        <w:tc>
          <w:tcPr>
            <w:tcW w:w="2949" w:type="dxa"/>
          </w:tcPr>
          <w:p w:rsidR="0051639E" w:rsidRPr="00F33C1D" w:rsidRDefault="0051639E" w:rsidP="00951FE8">
            <w:pPr>
              <w:jc w:val="center"/>
            </w:pPr>
            <w:r w:rsidRPr="00F33C1D">
              <w:t>10 - 999 x10</w:t>
            </w:r>
            <w:r w:rsidRPr="00F33C1D">
              <w:rPr>
                <w:vertAlign w:val="superscript"/>
              </w:rPr>
              <w:t>3</w:t>
            </w:r>
            <w:r w:rsidRPr="00F33C1D">
              <w:t>/</w:t>
            </w:r>
            <w:proofErr w:type="spellStart"/>
            <w:r w:rsidRPr="00F33C1D">
              <w:t>μL</w:t>
            </w:r>
            <w:proofErr w:type="spellEnd"/>
          </w:p>
        </w:tc>
      </w:tr>
    </w:tbl>
    <w:p w:rsidR="00434422" w:rsidRDefault="00434422" w:rsidP="00F33C1D">
      <w:pPr>
        <w:widowControl/>
        <w:tabs>
          <w:tab w:val="left" w:pos="1440"/>
        </w:tabs>
        <w:spacing w:after="60"/>
      </w:pPr>
    </w:p>
    <w:p w:rsidR="00F33C1D" w:rsidRPr="00F33C1D" w:rsidRDefault="00F33C1D" w:rsidP="00170591">
      <w:pPr>
        <w:widowControl/>
        <w:numPr>
          <w:ilvl w:val="1"/>
          <w:numId w:val="46"/>
        </w:numPr>
        <w:tabs>
          <w:tab w:val="left" w:pos="1440"/>
        </w:tabs>
        <w:spacing w:after="60"/>
      </w:pPr>
      <w:r w:rsidRPr="00F33C1D">
        <w:t>Parameters that exceed these limits are flagged with an exclamation point (!) beside the result. The sample must be diluted</w:t>
      </w:r>
      <w:r w:rsidR="00DD3355">
        <w:t xml:space="preserve"> with </w:t>
      </w:r>
      <w:proofErr w:type="spellStart"/>
      <w:r w:rsidR="00DD3355">
        <w:t>pocH</w:t>
      </w:r>
      <w:proofErr w:type="spellEnd"/>
      <w:r w:rsidR="00DD3355">
        <w:t xml:space="preserve"> pack D</w:t>
      </w:r>
      <w:r w:rsidRPr="00F33C1D">
        <w:t>, rerun and multiplied by the dilution factor</w:t>
      </w:r>
      <w:r w:rsidR="000C18F0">
        <w:t>.</w:t>
      </w:r>
    </w:p>
    <w:p w:rsidR="00F33C1D" w:rsidRPr="00F33C1D" w:rsidRDefault="00F33C1D" w:rsidP="00170591">
      <w:pPr>
        <w:widowControl/>
        <w:numPr>
          <w:ilvl w:val="0"/>
          <w:numId w:val="47"/>
        </w:numPr>
        <w:tabs>
          <w:tab w:val="left" w:pos="1440"/>
        </w:tabs>
        <w:spacing w:after="60"/>
      </w:pPr>
      <w:r w:rsidRPr="00F33C1D">
        <w:t>Note the use of dilution for linearity on the patient report.</w:t>
      </w:r>
    </w:p>
    <w:p w:rsidR="00F33C1D" w:rsidRDefault="00F33C1D" w:rsidP="00170591">
      <w:pPr>
        <w:numPr>
          <w:ilvl w:val="0"/>
          <w:numId w:val="46"/>
        </w:numPr>
      </w:pPr>
      <w:r>
        <w:t>Bleaching Sample:</w:t>
      </w:r>
      <w:r w:rsidR="000C18F0">
        <w:t xml:space="preserve"> </w:t>
      </w:r>
    </w:p>
    <w:p w:rsidR="00434422" w:rsidRDefault="0051639E" w:rsidP="00170591">
      <w:pPr>
        <w:numPr>
          <w:ilvl w:val="1"/>
          <w:numId w:val="46"/>
        </w:numPr>
      </w:pPr>
      <w:r>
        <w:t xml:space="preserve">5 samples were split and tested with the bleach decontamination of the outside of </w:t>
      </w:r>
      <w:r w:rsidR="00434422">
        <w:t>one</w:t>
      </w:r>
      <w:r>
        <w:t xml:space="preserve"> tube and </w:t>
      </w:r>
      <w:r w:rsidR="00434422">
        <w:t xml:space="preserve">the other </w:t>
      </w:r>
      <w:r>
        <w:t xml:space="preserve">with no treatment.  There was no difference in samples treated with bleach or not.  All testing performed </w:t>
      </w:r>
      <w:r w:rsidR="00434422">
        <w:t xml:space="preserve">was performed </w:t>
      </w:r>
      <w:r>
        <w:t>without removal of the cap to allow fumes in</w:t>
      </w:r>
      <w:r w:rsidR="00434422">
        <w:t>to</w:t>
      </w:r>
      <w:r>
        <w:t xml:space="preserve"> the tube.  </w:t>
      </w:r>
      <w:r w:rsidR="00434422">
        <w:t>Recommendation is to r</w:t>
      </w:r>
      <w:r>
        <w:t xml:space="preserve">un the CBC first </w:t>
      </w:r>
      <w:r w:rsidR="00434422">
        <w:t xml:space="preserve">on the </w:t>
      </w:r>
      <w:proofErr w:type="spellStart"/>
      <w:r>
        <w:t>Sysmex</w:t>
      </w:r>
      <w:proofErr w:type="spellEnd"/>
      <w:r>
        <w:t xml:space="preserve"> prior to removal of the cap </w:t>
      </w:r>
      <w:r w:rsidR="00434422">
        <w:t xml:space="preserve">for any additional testing </w:t>
      </w:r>
      <w:r>
        <w:t xml:space="preserve">to assure that bleach fumes do not enter the sample and damage the cells. </w:t>
      </w:r>
    </w:p>
    <w:p w:rsidR="0051639E" w:rsidRDefault="0051639E" w:rsidP="00434422">
      <w:pPr>
        <w:ind w:left="1440"/>
      </w:pPr>
      <w:r>
        <w:t xml:space="preserve"> </w:t>
      </w:r>
    </w:p>
    <w:p w:rsidR="00BE1334" w:rsidRPr="00F33C1D" w:rsidRDefault="00BE1334" w:rsidP="00434422">
      <w:pPr>
        <w:ind w:left="1440"/>
      </w:pPr>
    </w:p>
    <w:p w:rsidR="00F33C1D" w:rsidRPr="00F33C1D" w:rsidRDefault="00F33C1D" w:rsidP="00170591">
      <w:pPr>
        <w:pStyle w:val="HEADING40"/>
        <w:numPr>
          <w:ilvl w:val="0"/>
          <w:numId w:val="46"/>
        </w:numPr>
        <w:spacing w:before="0"/>
        <w:rPr>
          <w:rFonts w:ascii="Times New Roman" w:hAnsi="Times New Roman"/>
          <w:b w:val="0"/>
          <w:bCs w:val="0"/>
        </w:rPr>
      </w:pPr>
      <w:r w:rsidRPr="00F33C1D">
        <w:rPr>
          <w:rFonts w:ascii="Times New Roman" w:hAnsi="Times New Roman"/>
          <w:b w:val="0"/>
          <w:bCs w:val="0"/>
        </w:rPr>
        <w:t>Known Interfering Substances</w:t>
      </w:r>
    </w:p>
    <w:p w:rsidR="00F33C1D" w:rsidRPr="00F33C1D" w:rsidRDefault="00F33C1D" w:rsidP="00170591">
      <w:pPr>
        <w:widowControl/>
        <w:numPr>
          <w:ilvl w:val="0"/>
          <w:numId w:val="48"/>
        </w:numPr>
        <w:spacing w:before="60" w:after="60"/>
      </w:pPr>
      <w:r w:rsidRPr="00F33C1D">
        <w:t>Marked changes in plasma constituents (e.g., low sodium, extremely elevated glucose) may cause cells to swell or shrink. The blood to anticoagulant ratio is important.</w:t>
      </w:r>
    </w:p>
    <w:p w:rsidR="00F33C1D" w:rsidRPr="00F33C1D" w:rsidRDefault="00F33C1D" w:rsidP="00170591">
      <w:pPr>
        <w:widowControl/>
        <w:numPr>
          <w:ilvl w:val="0"/>
          <w:numId w:val="48"/>
        </w:numPr>
        <w:spacing w:before="60" w:after="60"/>
      </w:pPr>
      <w:r w:rsidRPr="00F33C1D">
        <w:t>Red cell fragments, microcytic RBC's or white cell cytoplasmic fragments may interfere with automated platelet counts.</w:t>
      </w:r>
    </w:p>
    <w:p w:rsidR="00F33C1D" w:rsidRPr="00F33C1D" w:rsidRDefault="00F33C1D" w:rsidP="00170591">
      <w:pPr>
        <w:widowControl/>
        <w:numPr>
          <w:ilvl w:val="0"/>
          <w:numId w:val="48"/>
        </w:numPr>
        <w:spacing w:before="60" w:after="60"/>
      </w:pPr>
      <w:r w:rsidRPr="00F33C1D">
        <w:t xml:space="preserve">Cold agglutinins produce spurious </w:t>
      </w:r>
      <w:proofErr w:type="spellStart"/>
      <w:r w:rsidRPr="00F33C1D">
        <w:t>macrocytosis</w:t>
      </w:r>
      <w:proofErr w:type="spellEnd"/>
      <w:r w:rsidRPr="00F33C1D">
        <w:t xml:space="preserve">, elevated MCH's/ MCHC's, falsely decreased RBC counts and HCT's. Rare </w:t>
      </w:r>
      <w:r w:rsidR="008D1308">
        <w:t>w</w:t>
      </w:r>
      <w:r w:rsidRPr="00F33C1D">
        <w:t>arm agglutinins produce the same spurious results as a cold agglutinin.</w:t>
      </w:r>
    </w:p>
    <w:p w:rsidR="00F33C1D" w:rsidRPr="00F33C1D" w:rsidRDefault="00F33C1D" w:rsidP="00170591">
      <w:pPr>
        <w:widowControl/>
        <w:numPr>
          <w:ilvl w:val="0"/>
          <w:numId w:val="48"/>
        </w:numPr>
        <w:spacing w:before="60" w:after="60"/>
      </w:pPr>
      <w:r w:rsidRPr="00F33C1D">
        <w:t>Extremely elevated WBC's (&gt;100,000/</w:t>
      </w:r>
      <w:proofErr w:type="spellStart"/>
      <w:r w:rsidRPr="00F33C1D">
        <w:t>μL</w:t>
      </w:r>
      <w:proofErr w:type="spellEnd"/>
      <w:r w:rsidRPr="00F33C1D">
        <w:t>) may cause turbidity and falsely increase the hemoglobin.</w:t>
      </w:r>
    </w:p>
    <w:p w:rsidR="00F33C1D" w:rsidRPr="00F33C1D" w:rsidRDefault="00F33C1D" w:rsidP="00170591">
      <w:pPr>
        <w:widowControl/>
        <w:numPr>
          <w:ilvl w:val="0"/>
          <w:numId w:val="48"/>
        </w:numPr>
        <w:spacing w:before="60" w:after="60"/>
      </w:pPr>
      <w:r w:rsidRPr="00F33C1D">
        <w:t xml:space="preserve">Severely </w:t>
      </w:r>
      <w:proofErr w:type="spellStart"/>
      <w:r w:rsidRPr="00F33C1D">
        <w:t>hemolyzed</w:t>
      </w:r>
      <w:proofErr w:type="spellEnd"/>
      <w:r w:rsidRPr="00F33C1D">
        <w:t xml:space="preserve"> samples (</w:t>
      </w:r>
      <w:r w:rsidRPr="00F33C1D">
        <w:rPr>
          <w:i/>
        </w:rPr>
        <w:t>in vitro</w:t>
      </w:r>
      <w:r w:rsidRPr="00F33C1D">
        <w:t xml:space="preserve">) falsely decrease RBC and hematocrit. Recollect </w:t>
      </w:r>
      <w:proofErr w:type="spellStart"/>
      <w:r w:rsidRPr="00F33C1D">
        <w:t>hemolyzed</w:t>
      </w:r>
      <w:proofErr w:type="spellEnd"/>
      <w:r w:rsidRPr="00F33C1D">
        <w:t xml:space="preserve"> specimens.</w:t>
      </w:r>
    </w:p>
    <w:p w:rsidR="00F33C1D" w:rsidRPr="00F33C1D" w:rsidRDefault="00F33C1D" w:rsidP="00170591">
      <w:pPr>
        <w:widowControl/>
        <w:numPr>
          <w:ilvl w:val="0"/>
          <w:numId w:val="48"/>
        </w:numPr>
        <w:spacing w:before="60" w:after="60"/>
      </w:pPr>
      <w:r w:rsidRPr="00F33C1D">
        <w:t>Giant platelets and clumped platelets may falsely elevate the WBC count and falsely decrease the platelet count.</w:t>
      </w:r>
    </w:p>
    <w:p w:rsidR="0051639E" w:rsidRDefault="00F33C1D" w:rsidP="00170591">
      <w:pPr>
        <w:widowControl/>
        <w:numPr>
          <w:ilvl w:val="0"/>
          <w:numId w:val="48"/>
        </w:numPr>
        <w:spacing w:before="60" w:after="60"/>
      </w:pPr>
      <w:r w:rsidRPr="00F33C1D">
        <w:t xml:space="preserve">Platelet clumping and/or "platelet </w:t>
      </w:r>
      <w:proofErr w:type="spellStart"/>
      <w:r w:rsidRPr="00F33C1D">
        <w:t>satellitism</w:t>
      </w:r>
      <w:proofErr w:type="spellEnd"/>
      <w:r w:rsidRPr="00F33C1D">
        <w:t>" can occur in specimens collected in EDTA.  This may falsely elevate the WBC count and falsely decrease the platelet count.   </w:t>
      </w:r>
    </w:p>
    <w:p w:rsidR="009A5169" w:rsidRPr="00F33C1D" w:rsidRDefault="00F33C1D" w:rsidP="00170591">
      <w:pPr>
        <w:widowControl/>
        <w:numPr>
          <w:ilvl w:val="0"/>
          <w:numId w:val="48"/>
        </w:numPr>
        <w:spacing w:before="60" w:after="60"/>
      </w:pPr>
      <w:r w:rsidRPr="00F33C1D">
        <w:t xml:space="preserve">Abnormal </w:t>
      </w:r>
      <w:proofErr w:type="spellStart"/>
      <w:r w:rsidRPr="00F33C1D">
        <w:t>paraproteins</w:t>
      </w:r>
      <w:proofErr w:type="spellEnd"/>
      <w:r w:rsidRPr="00F33C1D">
        <w:t xml:space="preserve"> found in Multiple Myeloma patients can falsely increase the HGB</w:t>
      </w:r>
      <w:r w:rsidR="009A5169">
        <w:t xml:space="preserve"> and </w:t>
      </w:r>
      <w:r w:rsidR="009A5169" w:rsidRPr="00F33C1D">
        <w:t>may falsely increase the WBC count.</w:t>
      </w:r>
    </w:p>
    <w:p w:rsidR="009A5169" w:rsidRDefault="00F33C1D" w:rsidP="00170591">
      <w:pPr>
        <w:widowControl/>
        <w:numPr>
          <w:ilvl w:val="0"/>
          <w:numId w:val="48"/>
        </w:numPr>
        <w:spacing w:before="60" w:after="60"/>
      </w:pPr>
      <w:proofErr w:type="spellStart"/>
      <w:r w:rsidRPr="00F33C1D">
        <w:t>Lipemia</w:t>
      </w:r>
      <w:proofErr w:type="spellEnd"/>
      <w:r w:rsidRPr="00F33C1D">
        <w:t xml:space="preserve"> falsely elevates the HGB &amp; MCHC. </w:t>
      </w:r>
    </w:p>
    <w:p w:rsidR="00F33C1D" w:rsidRPr="00F33C1D" w:rsidRDefault="00F33C1D" w:rsidP="00170591">
      <w:pPr>
        <w:widowControl/>
        <w:numPr>
          <w:ilvl w:val="0"/>
          <w:numId w:val="48"/>
        </w:numPr>
        <w:spacing w:before="60" w:after="60"/>
      </w:pPr>
      <w:r w:rsidRPr="00F33C1D">
        <w:t xml:space="preserve">Severely icteric samples may falsely elevate the HGB value and related indices. Make a 1:5 dilution with </w:t>
      </w:r>
      <w:proofErr w:type="spellStart"/>
      <w:r w:rsidRPr="00F33C1D">
        <w:t>pocH</w:t>
      </w:r>
      <w:proofErr w:type="spellEnd"/>
      <w:r w:rsidRPr="00F33C1D">
        <w:t>-pack D.</w:t>
      </w:r>
    </w:p>
    <w:p w:rsidR="00F33C1D" w:rsidRPr="00F33C1D" w:rsidRDefault="00F33C1D" w:rsidP="00170591">
      <w:pPr>
        <w:widowControl/>
        <w:numPr>
          <w:ilvl w:val="0"/>
          <w:numId w:val="48"/>
        </w:numPr>
        <w:spacing w:before="60" w:after="60"/>
      </w:pPr>
      <w:r w:rsidRPr="00F33C1D">
        <w:t>Rocking a specimen excessively may affect the WBC differential.</w:t>
      </w:r>
    </w:p>
    <w:p w:rsidR="00F33C1D" w:rsidRPr="00F33C1D" w:rsidRDefault="00F33C1D" w:rsidP="00170591">
      <w:pPr>
        <w:widowControl/>
        <w:numPr>
          <w:ilvl w:val="0"/>
          <w:numId w:val="48"/>
        </w:numPr>
        <w:spacing w:before="60" w:after="60"/>
      </w:pPr>
      <w:r w:rsidRPr="00F33C1D">
        <w:t xml:space="preserve">The hemoglobin method on this analyzer cannot detect </w:t>
      </w:r>
      <w:proofErr w:type="spellStart"/>
      <w:r w:rsidRPr="00F33C1D">
        <w:t>sulfhemoglobin</w:t>
      </w:r>
      <w:proofErr w:type="spellEnd"/>
      <w:r w:rsidRPr="00F33C1D">
        <w:t xml:space="preserve">, </w:t>
      </w:r>
      <w:proofErr w:type="spellStart"/>
      <w:r w:rsidRPr="00F33C1D">
        <w:t>verdohemoglobin</w:t>
      </w:r>
      <w:proofErr w:type="spellEnd"/>
      <w:r w:rsidRPr="00F33C1D">
        <w:t xml:space="preserve">, </w:t>
      </w:r>
      <w:proofErr w:type="spellStart"/>
      <w:r w:rsidRPr="00F33C1D">
        <w:t>choleglobin</w:t>
      </w:r>
      <w:proofErr w:type="spellEnd"/>
      <w:r w:rsidRPr="00F33C1D">
        <w:t xml:space="preserve"> or other unusual degradation products of hemoglobin.</w:t>
      </w:r>
    </w:p>
    <w:p w:rsidR="00BE1334" w:rsidRPr="00F33C1D" w:rsidRDefault="00BE1334" w:rsidP="00E44F54">
      <w:pPr>
        <w:pStyle w:val="SectionHeader"/>
        <w:framePr w:wrap="auto" w:vAnchor="margin" w:yAlign="inline"/>
      </w:pPr>
    </w:p>
    <w:p w:rsidR="00434422" w:rsidRDefault="00830696" w:rsidP="00434422">
      <w:pPr>
        <w:pStyle w:val="SectionHeader"/>
        <w:framePr w:wrap="auto" w:vAnchor="margin" w:yAlign="inline"/>
        <w:rPr>
          <w:snapToGrid/>
        </w:rPr>
      </w:pPr>
      <w:r>
        <w:rPr>
          <w:snapToGrid/>
        </w:rPr>
        <w:t>Reference Range</w:t>
      </w:r>
    </w:p>
    <w:p w:rsidR="00434422" w:rsidRDefault="00434422" w:rsidP="00434422">
      <w:pPr>
        <w:pStyle w:val="SectionHeader"/>
        <w:framePr w:wrap="auto" w:vAnchor="margin" w:yAlign="inline"/>
        <w:rPr>
          <w:snapToGrid/>
        </w:rPr>
      </w:pPr>
    </w:p>
    <w:p w:rsidR="009A5169" w:rsidRDefault="009A5169" w:rsidP="00434422">
      <w:pPr>
        <w:pStyle w:val="SectionHeader"/>
        <w:framePr w:wrap="auto" w:vAnchor="margin" w:yAlign="inline"/>
        <w:rPr>
          <w:b w:val="0"/>
          <w:snapToGrid/>
          <w:sz w:val="24"/>
          <w:szCs w:val="24"/>
        </w:rPr>
      </w:pPr>
      <w:bookmarkStart w:id="0" w:name="_GoBack"/>
      <w:r>
        <w:rPr>
          <w:b w:val="0"/>
          <w:snapToGrid/>
          <w:sz w:val="24"/>
          <w:szCs w:val="24"/>
        </w:rPr>
        <w:t xml:space="preserve">Reference ranges remain the same on the </w:t>
      </w:r>
      <w:proofErr w:type="spellStart"/>
      <w:r>
        <w:rPr>
          <w:b w:val="0"/>
          <w:snapToGrid/>
          <w:sz w:val="24"/>
          <w:szCs w:val="24"/>
        </w:rPr>
        <w:t>Sysmex</w:t>
      </w:r>
      <w:proofErr w:type="spellEnd"/>
      <w:r>
        <w:rPr>
          <w:b w:val="0"/>
          <w:snapToGrid/>
          <w:sz w:val="24"/>
          <w:szCs w:val="24"/>
        </w:rPr>
        <w:t xml:space="preserve"> </w:t>
      </w:r>
      <w:proofErr w:type="spellStart"/>
      <w:r>
        <w:rPr>
          <w:b w:val="0"/>
          <w:snapToGrid/>
          <w:sz w:val="24"/>
          <w:szCs w:val="24"/>
        </w:rPr>
        <w:t>pocHi</w:t>
      </w:r>
      <w:proofErr w:type="spellEnd"/>
      <w:r>
        <w:rPr>
          <w:b w:val="0"/>
          <w:snapToGrid/>
          <w:sz w:val="24"/>
          <w:szCs w:val="24"/>
        </w:rPr>
        <w:t xml:space="preserve"> </w:t>
      </w:r>
      <w:r w:rsidR="008D1308">
        <w:rPr>
          <w:b w:val="0"/>
          <w:snapToGrid/>
          <w:sz w:val="24"/>
          <w:szCs w:val="24"/>
        </w:rPr>
        <w:t>as the Beck</w:t>
      </w:r>
      <w:r w:rsidR="00691E32">
        <w:rPr>
          <w:b w:val="0"/>
          <w:snapToGrid/>
          <w:sz w:val="24"/>
          <w:szCs w:val="24"/>
        </w:rPr>
        <w:t>ma</w:t>
      </w:r>
      <w:r w:rsidR="008D1308">
        <w:rPr>
          <w:b w:val="0"/>
          <w:snapToGrid/>
          <w:sz w:val="24"/>
          <w:szCs w:val="24"/>
        </w:rPr>
        <w:t xml:space="preserve">n Coulter LH780 </w:t>
      </w:r>
      <w:r>
        <w:rPr>
          <w:b w:val="0"/>
          <w:snapToGrid/>
          <w:sz w:val="24"/>
          <w:szCs w:val="24"/>
        </w:rPr>
        <w:t xml:space="preserve">and can </w:t>
      </w:r>
      <w:bookmarkEnd w:id="0"/>
      <w:r>
        <w:rPr>
          <w:b w:val="0"/>
          <w:snapToGrid/>
          <w:sz w:val="24"/>
          <w:szCs w:val="24"/>
        </w:rPr>
        <w:t>be found in the LIS.</w:t>
      </w:r>
    </w:p>
    <w:p w:rsidR="009A5169" w:rsidRDefault="009A5169" w:rsidP="00E44F54">
      <w:pPr>
        <w:pStyle w:val="SectionHeader"/>
        <w:framePr w:wrap="auto" w:vAnchor="margin" w:yAlign="inline"/>
      </w:pPr>
    </w:p>
    <w:p w:rsidR="002D6B9B" w:rsidRDefault="002D6B9B" w:rsidP="00E44F54">
      <w:pPr>
        <w:pStyle w:val="SectionHeader"/>
        <w:framePr w:wrap="auto" w:vAnchor="margin" w:yAlign="inline"/>
      </w:pPr>
      <w:r>
        <w:t>References</w:t>
      </w:r>
    </w:p>
    <w:p w:rsidR="00F33C1D" w:rsidRPr="00F33C1D" w:rsidRDefault="00F33C1D" w:rsidP="000A0F4C">
      <w:pPr>
        <w:widowControl/>
        <w:numPr>
          <w:ilvl w:val="0"/>
          <w:numId w:val="49"/>
        </w:numPr>
        <w:spacing w:before="60" w:after="60"/>
      </w:pPr>
      <w:proofErr w:type="spellStart"/>
      <w:r w:rsidRPr="00F33C1D">
        <w:t>Sysmex</w:t>
      </w:r>
      <w:proofErr w:type="spellEnd"/>
      <w:r w:rsidRPr="00F33C1D">
        <w:t xml:space="preserve"> pocH-100</w:t>
      </w:r>
      <w:r w:rsidRPr="00F33C1D">
        <w:rPr>
          <w:i/>
          <w:iCs/>
        </w:rPr>
        <w:t>i</w:t>
      </w:r>
      <w:r w:rsidRPr="00F33C1D">
        <w:t xml:space="preserve"> Instructions for Use, </w:t>
      </w:r>
      <w:proofErr w:type="spellStart"/>
      <w:r w:rsidRPr="00F33C1D">
        <w:t>Sysmex</w:t>
      </w:r>
      <w:proofErr w:type="spellEnd"/>
      <w:r w:rsidRPr="00F33C1D">
        <w:t xml:space="preserve"> Corporation, Kobe, Japan. January 2009.</w:t>
      </w:r>
    </w:p>
    <w:p w:rsidR="00F33C1D" w:rsidRPr="00F33C1D" w:rsidRDefault="00F33C1D" w:rsidP="000A0F4C">
      <w:pPr>
        <w:widowControl/>
        <w:numPr>
          <w:ilvl w:val="0"/>
          <w:numId w:val="49"/>
        </w:numPr>
        <w:spacing w:before="60" w:after="60"/>
      </w:pPr>
      <w:r w:rsidRPr="00F33C1D">
        <w:t>Clinical and Laboratory Standards Institute (CLSI),   Laboratory Documents Development and Control; Approved Guideline; Fifth Edition (GP2-A5, 2006).</w:t>
      </w:r>
    </w:p>
    <w:p w:rsidR="00F33C1D" w:rsidRPr="00F33C1D" w:rsidRDefault="00F33C1D" w:rsidP="000A0F4C">
      <w:pPr>
        <w:widowControl/>
        <w:numPr>
          <w:ilvl w:val="0"/>
          <w:numId w:val="49"/>
        </w:numPr>
        <w:spacing w:before="60" w:after="60"/>
      </w:pPr>
      <w:r w:rsidRPr="00F33C1D">
        <w:rPr>
          <w:lang w:val="it-IT"/>
        </w:rPr>
        <w:t>Sysmex America Inc., Mundelein, IL., SCS-1000™ Hematology Calibrator:  A Whole Blood Calibrator for Sysmex Hematology Analyzers, Package Insert, Rev. 13, 06-May-08.</w:t>
      </w:r>
    </w:p>
    <w:p w:rsidR="00F33C1D" w:rsidRPr="00F33C1D" w:rsidRDefault="00F33C1D" w:rsidP="000A0F4C">
      <w:pPr>
        <w:widowControl/>
        <w:numPr>
          <w:ilvl w:val="0"/>
          <w:numId w:val="49"/>
        </w:numPr>
        <w:spacing w:before="60" w:after="60"/>
      </w:pPr>
      <w:proofErr w:type="spellStart"/>
      <w:r w:rsidRPr="00F33C1D">
        <w:t>Sysmex</w:t>
      </w:r>
      <w:proofErr w:type="spellEnd"/>
      <w:r w:rsidRPr="00F33C1D">
        <w:t xml:space="preserve"> Reagents of America, Inc. Mundelein, IL. MSDS sheets and reagent product inserts.</w:t>
      </w:r>
    </w:p>
    <w:p w:rsidR="00F33C1D" w:rsidRDefault="00F33C1D" w:rsidP="000A0F4C">
      <w:pPr>
        <w:pStyle w:val="ListParagraph"/>
        <w:numPr>
          <w:ilvl w:val="0"/>
          <w:numId w:val="49"/>
        </w:numPr>
        <w:ind w:right="-360"/>
        <w:rPr>
          <w:rFonts w:ascii="Times New Roman" w:hAnsi="Times New Roman"/>
        </w:rPr>
      </w:pPr>
      <w:r w:rsidRPr="00F33C1D">
        <w:rPr>
          <w:rFonts w:ascii="Times New Roman" w:hAnsi="Times New Roman"/>
          <w:lang w:val="it-IT"/>
        </w:rPr>
        <w:t xml:space="preserve">Sysmex America Inc., Mundelein, IL. </w:t>
      </w:r>
      <w:r w:rsidRPr="00F33C1D">
        <w:rPr>
          <w:rFonts w:ascii="Times New Roman" w:hAnsi="Times New Roman"/>
        </w:rPr>
        <w:t xml:space="preserve">EIGHTCHECK-3WP X-TRA Hematology Control Assay Sheet, Revision 14, 17-Dec-08.Sysmex America, Inc., Mundelein, IL.  </w:t>
      </w:r>
    </w:p>
    <w:p w:rsidR="00170591" w:rsidRPr="00F33C1D" w:rsidRDefault="00170591" w:rsidP="00F33C1D">
      <w:pPr>
        <w:pStyle w:val="ListParagraph"/>
        <w:ind w:left="0" w:right="-360"/>
        <w:rPr>
          <w:rFonts w:ascii="Times New Roman" w:hAnsi="Times New Roman"/>
        </w:rPr>
      </w:pPr>
      <w:r>
        <w:rPr>
          <w:rFonts w:ascii="Times New Roman" w:hAnsi="Times New Roman"/>
        </w:rPr>
        <w:br w:type="page"/>
      </w:r>
    </w:p>
    <w:p w:rsidR="001E7A01" w:rsidRPr="0092687C" w:rsidRDefault="001E7A01" w:rsidP="00E44F54">
      <w:pPr>
        <w:pStyle w:val="SectionHeader"/>
        <w:framePr w:wrap="auto" w:vAnchor="margin" w:yAlign="inline"/>
      </w:pPr>
      <w:r w:rsidRPr="0092687C">
        <w:t>Procedure History</w:t>
      </w:r>
    </w:p>
    <w:p w:rsidR="001E7A01" w:rsidRPr="0092687C" w:rsidRDefault="001E7A01" w:rsidP="0092687C">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915"/>
        <w:gridCol w:w="3143"/>
        <w:gridCol w:w="2160"/>
        <w:gridCol w:w="1224"/>
      </w:tblGrid>
      <w:tr w:rsidR="001E7A01" w:rsidRPr="0092687C">
        <w:trPr>
          <w:trHeight w:val="300"/>
        </w:trPr>
        <w:tc>
          <w:tcPr>
            <w:tcW w:w="1080" w:type="dxa"/>
            <w:vAlign w:val="center"/>
          </w:tcPr>
          <w:p w:rsidR="001E7A01" w:rsidRPr="0092687C" w:rsidRDefault="001E7A01" w:rsidP="0092687C">
            <w:pPr>
              <w:pStyle w:val="BodyText"/>
            </w:pPr>
            <w:r w:rsidRPr="0092687C">
              <w:t>Date</w:t>
            </w:r>
          </w:p>
        </w:tc>
        <w:tc>
          <w:tcPr>
            <w:tcW w:w="1915" w:type="dxa"/>
            <w:vAlign w:val="center"/>
          </w:tcPr>
          <w:p w:rsidR="001E7A01" w:rsidRPr="0092687C" w:rsidRDefault="001E7A01" w:rsidP="0092687C">
            <w:pPr>
              <w:pStyle w:val="BodyText"/>
            </w:pPr>
            <w:r w:rsidRPr="0092687C">
              <w:t>Written by</w:t>
            </w:r>
          </w:p>
        </w:tc>
        <w:tc>
          <w:tcPr>
            <w:tcW w:w="3143" w:type="dxa"/>
            <w:vAlign w:val="center"/>
          </w:tcPr>
          <w:p w:rsidR="001E7A01" w:rsidRPr="0092687C" w:rsidRDefault="001E7A01" w:rsidP="0092687C">
            <w:pPr>
              <w:pStyle w:val="BodyText"/>
            </w:pPr>
            <w:r w:rsidRPr="0092687C">
              <w:t>Revision</w:t>
            </w:r>
          </w:p>
        </w:tc>
        <w:tc>
          <w:tcPr>
            <w:tcW w:w="2160" w:type="dxa"/>
            <w:vAlign w:val="center"/>
          </w:tcPr>
          <w:p w:rsidR="001E7A01" w:rsidRPr="0092687C" w:rsidRDefault="001E7A01" w:rsidP="0092687C">
            <w:pPr>
              <w:pStyle w:val="BodyText"/>
            </w:pPr>
            <w:r w:rsidRPr="0092687C">
              <w:t>Approved by</w:t>
            </w:r>
          </w:p>
        </w:tc>
        <w:tc>
          <w:tcPr>
            <w:tcW w:w="1224" w:type="dxa"/>
            <w:vAlign w:val="center"/>
          </w:tcPr>
          <w:p w:rsidR="001E7A01" w:rsidRPr="0092687C" w:rsidRDefault="001E7A01" w:rsidP="0092687C">
            <w:pPr>
              <w:pStyle w:val="BodyText"/>
            </w:pPr>
            <w:r w:rsidRPr="0092687C">
              <w:t>Approval date</w:t>
            </w:r>
          </w:p>
        </w:tc>
      </w:tr>
      <w:tr w:rsidR="001E7A01" w:rsidRPr="0092687C">
        <w:trPr>
          <w:trHeight w:val="300"/>
        </w:trPr>
        <w:tc>
          <w:tcPr>
            <w:tcW w:w="1080" w:type="dxa"/>
            <w:vAlign w:val="center"/>
          </w:tcPr>
          <w:p w:rsidR="001E7A01" w:rsidRPr="0092687C" w:rsidRDefault="009A5169" w:rsidP="0092687C">
            <w:pPr>
              <w:pStyle w:val="BodyText"/>
            </w:pPr>
            <w:r>
              <w:t>3/2015</w:t>
            </w:r>
          </w:p>
        </w:tc>
        <w:tc>
          <w:tcPr>
            <w:tcW w:w="1915" w:type="dxa"/>
            <w:vAlign w:val="center"/>
          </w:tcPr>
          <w:p w:rsidR="001E7A01" w:rsidRPr="0092687C" w:rsidRDefault="009A5169" w:rsidP="0092687C">
            <w:pPr>
              <w:pStyle w:val="BodyText"/>
            </w:pPr>
            <w:r>
              <w:t>L Freeman</w:t>
            </w:r>
          </w:p>
        </w:tc>
        <w:tc>
          <w:tcPr>
            <w:tcW w:w="3143" w:type="dxa"/>
            <w:vAlign w:val="center"/>
          </w:tcPr>
          <w:p w:rsidR="001E7A01" w:rsidRPr="0092687C" w:rsidRDefault="009A5169" w:rsidP="0092687C">
            <w:pPr>
              <w:pStyle w:val="BodyText"/>
            </w:pPr>
            <w:r>
              <w:t>new</w:t>
            </w:r>
          </w:p>
        </w:tc>
        <w:tc>
          <w:tcPr>
            <w:tcW w:w="2160" w:type="dxa"/>
            <w:vAlign w:val="center"/>
          </w:tcPr>
          <w:p w:rsidR="001E7A01" w:rsidRPr="0092687C" w:rsidRDefault="001E7A01" w:rsidP="0092687C">
            <w:pPr>
              <w:pStyle w:val="BodyText"/>
            </w:pPr>
          </w:p>
        </w:tc>
        <w:tc>
          <w:tcPr>
            <w:tcW w:w="1224" w:type="dxa"/>
            <w:vAlign w:val="center"/>
          </w:tcPr>
          <w:p w:rsidR="001E7A01" w:rsidRPr="0092687C" w:rsidRDefault="001E7A01" w:rsidP="0092687C">
            <w:pPr>
              <w:pStyle w:val="BodyText"/>
            </w:pPr>
          </w:p>
        </w:tc>
      </w:tr>
      <w:tr w:rsidR="001E7A01" w:rsidRPr="0092687C">
        <w:trPr>
          <w:trHeight w:val="300"/>
        </w:trPr>
        <w:tc>
          <w:tcPr>
            <w:tcW w:w="1080" w:type="dxa"/>
            <w:vAlign w:val="center"/>
          </w:tcPr>
          <w:p w:rsidR="001E7A01" w:rsidRPr="0092687C" w:rsidRDefault="001E7A01" w:rsidP="0092687C">
            <w:pPr>
              <w:pStyle w:val="BodyText"/>
            </w:pPr>
          </w:p>
        </w:tc>
        <w:tc>
          <w:tcPr>
            <w:tcW w:w="1915" w:type="dxa"/>
            <w:vAlign w:val="center"/>
          </w:tcPr>
          <w:p w:rsidR="001E7A01" w:rsidRPr="0092687C" w:rsidRDefault="001E7A01" w:rsidP="0092687C">
            <w:pPr>
              <w:pStyle w:val="BodyText"/>
            </w:pPr>
          </w:p>
        </w:tc>
        <w:tc>
          <w:tcPr>
            <w:tcW w:w="3143" w:type="dxa"/>
            <w:vAlign w:val="center"/>
          </w:tcPr>
          <w:p w:rsidR="001E7A01" w:rsidRPr="0092687C" w:rsidRDefault="001E7A01" w:rsidP="0092687C">
            <w:pPr>
              <w:pStyle w:val="BodyText"/>
            </w:pPr>
          </w:p>
        </w:tc>
        <w:tc>
          <w:tcPr>
            <w:tcW w:w="2160" w:type="dxa"/>
            <w:vAlign w:val="center"/>
          </w:tcPr>
          <w:p w:rsidR="001E7A01" w:rsidRPr="0092687C" w:rsidRDefault="001E7A01" w:rsidP="0092687C">
            <w:pPr>
              <w:pStyle w:val="BodyText"/>
            </w:pPr>
          </w:p>
        </w:tc>
        <w:tc>
          <w:tcPr>
            <w:tcW w:w="1224" w:type="dxa"/>
            <w:vAlign w:val="center"/>
          </w:tcPr>
          <w:p w:rsidR="001E7A01" w:rsidRPr="0092687C" w:rsidRDefault="001E7A01" w:rsidP="0092687C">
            <w:pPr>
              <w:pStyle w:val="BodyText"/>
            </w:pPr>
          </w:p>
        </w:tc>
      </w:tr>
      <w:tr w:rsidR="001E7A01" w:rsidRPr="0092687C">
        <w:trPr>
          <w:trHeight w:val="300"/>
        </w:trPr>
        <w:tc>
          <w:tcPr>
            <w:tcW w:w="1080" w:type="dxa"/>
            <w:vAlign w:val="center"/>
          </w:tcPr>
          <w:p w:rsidR="001E7A01" w:rsidRPr="0092687C" w:rsidRDefault="001E7A01" w:rsidP="0092687C">
            <w:pPr>
              <w:pStyle w:val="BodyText"/>
            </w:pPr>
          </w:p>
        </w:tc>
        <w:tc>
          <w:tcPr>
            <w:tcW w:w="1915" w:type="dxa"/>
            <w:vAlign w:val="center"/>
          </w:tcPr>
          <w:p w:rsidR="001E7A01" w:rsidRPr="0092687C" w:rsidRDefault="001E7A01" w:rsidP="0092687C">
            <w:pPr>
              <w:pStyle w:val="BodyText"/>
            </w:pPr>
          </w:p>
        </w:tc>
        <w:tc>
          <w:tcPr>
            <w:tcW w:w="3143" w:type="dxa"/>
            <w:vAlign w:val="center"/>
          </w:tcPr>
          <w:p w:rsidR="001E7A01" w:rsidRPr="0092687C" w:rsidRDefault="001E7A01" w:rsidP="0092687C">
            <w:pPr>
              <w:pStyle w:val="BodyText"/>
            </w:pPr>
          </w:p>
        </w:tc>
        <w:tc>
          <w:tcPr>
            <w:tcW w:w="2160" w:type="dxa"/>
            <w:vAlign w:val="center"/>
          </w:tcPr>
          <w:p w:rsidR="001E7A01" w:rsidRPr="0092687C" w:rsidRDefault="001E7A01" w:rsidP="0092687C">
            <w:pPr>
              <w:pStyle w:val="BodyText"/>
            </w:pPr>
          </w:p>
        </w:tc>
        <w:tc>
          <w:tcPr>
            <w:tcW w:w="1224" w:type="dxa"/>
            <w:vAlign w:val="center"/>
          </w:tcPr>
          <w:p w:rsidR="001E7A01" w:rsidRPr="0092687C" w:rsidRDefault="001E7A01" w:rsidP="0092687C">
            <w:pPr>
              <w:pStyle w:val="BodyText"/>
            </w:pPr>
          </w:p>
        </w:tc>
      </w:tr>
      <w:tr w:rsidR="001E7A01" w:rsidRPr="0092687C">
        <w:trPr>
          <w:trHeight w:val="300"/>
        </w:trPr>
        <w:tc>
          <w:tcPr>
            <w:tcW w:w="1080" w:type="dxa"/>
            <w:vAlign w:val="center"/>
          </w:tcPr>
          <w:p w:rsidR="001E7A01" w:rsidRPr="0092687C" w:rsidRDefault="001E7A01" w:rsidP="00B241C1">
            <w:pPr>
              <w:pStyle w:val="BodyText"/>
            </w:pPr>
          </w:p>
        </w:tc>
        <w:tc>
          <w:tcPr>
            <w:tcW w:w="1915" w:type="dxa"/>
            <w:vAlign w:val="center"/>
          </w:tcPr>
          <w:p w:rsidR="001E7A01" w:rsidRPr="0092687C" w:rsidRDefault="001E7A01" w:rsidP="0092687C">
            <w:pPr>
              <w:pStyle w:val="BodyText"/>
            </w:pPr>
          </w:p>
        </w:tc>
        <w:tc>
          <w:tcPr>
            <w:tcW w:w="3143" w:type="dxa"/>
            <w:vAlign w:val="center"/>
          </w:tcPr>
          <w:p w:rsidR="001E7A01" w:rsidRPr="0092687C" w:rsidRDefault="001E7A01" w:rsidP="0092687C">
            <w:pPr>
              <w:pStyle w:val="BodyText"/>
            </w:pPr>
          </w:p>
        </w:tc>
        <w:tc>
          <w:tcPr>
            <w:tcW w:w="2160" w:type="dxa"/>
            <w:vAlign w:val="center"/>
          </w:tcPr>
          <w:p w:rsidR="001E7A01" w:rsidRPr="0092687C" w:rsidRDefault="001E7A01" w:rsidP="0092687C">
            <w:pPr>
              <w:pStyle w:val="BodyText"/>
            </w:pPr>
          </w:p>
        </w:tc>
        <w:tc>
          <w:tcPr>
            <w:tcW w:w="1224" w:type="dxa"/>
            <w:vAlign w:val="center"/>
          </w:tcPr>
          <w:p w:rsidR="001E7A01" w:rsidRPr="0092687C" w:rsidRDefault="001E7A01" w:rsidP="0092687C">
            <w:pPr>
              <w:pStyle w:val="BodyText"/>
            </w:pPr>
          </w:p>
        </w:tc>
      </w:tr>
      <w:tr w:rsidR="001E7A01" w:rsidRPr="0092687C">
        <w:trPr>
          <w:trHeight w:val="300"/>
        </w:trPr>
        <w:tc>
          <w:tcPr>
            <w:tcW w:w="1080" w:type="dxa"/>
            <w:vAlign w:val="center"/>
          </w:tcPr>
          <w:p w:rsidR="001E7A01" w:rsidRPr="0092687C" w:rsidRDefault="001E7A01" w:rsidP="0092687C">
            <w:pPr>
              <w:pStyle w:val="BodyText"/>
            </w:pPr>
          </w:p>
        </w:tc>
        <w:tc>
          <w:tcPr>
            <w:tcW w:w="1915" w:type="dxa"/>
            <w:vAlign w:val="center"/>
          </w:tcPr>
          <w:p w:rsidR="001E7A01" w:rsidRPr="0092687C" w:rsidRDefault="001E7A01" w:rsidP="0092687C">
            <w:pPr>
              <w:pStyle w:val="BodyText"/>
            </w:pPr>
          </w:p>
        </w:tc>
        <w:tc>
          <w:tcPr>
            <w:tcW w:w="3143" w:type="dxa"/>
            <w:vAlign w:val="center"/>
          </w:tcPr>
          <w:p w:rsidR="001E7A01" w:rsidRPr="0092687C" w:rsidRDefault="001E7A01" w:rsidP="0092687C">
            <w:pPr>
              <w:pStyle w:val="BodyText"/>
            </w:pPr>
          </w:p>
        </w:tc>
        <w:tc>
          <w:tcPr>
            <w:tcW w:w="2160" w:type="dxa"/>
            <w:vAlign w:val="center"/>
          </w:tcPr>
          <w:p w:rsidR="001E7A01" w:rsidRPr="0092687C" w:rsidRDefault="001E7A01" w:rsidP="0092687C">
            <w:pPr>
              <w:pStyle w:val="BodyText"/>
            </w:pPr>
          </w:p>
        </w:tc>
        <w:tc>
          <w:tcPr>
            <w:tcW w:w="1224" w:type="dxa"/>
            <w:vAlign w:val="center"/>
          </w:tcPr>
          <w:p w:rsidR="001E7A01" w:rsidRPr="0092687C" w:rsidRDefault="001E7A01" w:rsidP="0092687C">
            <w:pPr>
              <w:pStyle w:val="BodyText"/>
            </w:pPr>
          </w:p>
        </w:tc>
      </w:tr>
      <w:tr w:rsidR="001E7A01" w:rsidRPr="0092687C">
        <w:trPr>
          <w:trHeight w:val="300"/>
        </w:trPr>
        <w:tc>
          <w:tcPr>
            <w:tcW w:w="1080" w:type="dxa"/>
            <w:vAlign w:val="center"/>
          </w:tcPr>
          <w:p w:rsidR="001E7A01" w:rsidRPr="0092687C" w:rsidRDefault="001E7A01" w:rsidP="0092687C">
            <w:pPr>
              <w:pStyle w:val="BodyText"/>
            </w:pPr>
          </w:p>
        </w:tc>
        <w:tc>
          <w:tcPr>
            <w:tcW w:w="1915" w:type="dxa"/>
            <w:vAlign w:val="center"/>
          </w:tcPr>
          <w:p w:rsidR="001E7A01" w:rsidRPr="0092687C" w:rsidRDefault="001E7A01" w:rsidP="0092687C">
            <w:pPr>
              <w:pStyle w:val="BodyText"/>
            </w:pPr>
          </w:p>
        </w:tc>
        <w:tc>
          <w:tcPr>
            <w:tcW w:w="3143" w:type="dxa"/>
            <w:vAlign w:val="center"/>
          </w:tcPr>
          <w:p w:rsidR="001E7A01" w:rsidRPr="0092687C" w:rsidRDefault="001E7A01" w:rsidP="0092687C">
            <w:pPr>
              <w:pStyle w:val="BodyText"/>
            </w:pPr>
          </w:p>
        </w:tc>
        <w:tc>
          <w:tcPr>
            <w:tcW w:w="2160" w:type="dxa"/>
            <w:vAlign w:val="center"/>
          </w:tcPr>
          <w:p w:rsidR="001E7A01" w:rsidRPr="0092687C" w:rsidRDefault="001E7A01" w:rsidP="0092687C">
            <w:pPr>
              <w:pStyle w:val="BodyText"/>
            </w:pPr>
          </w:p>
        </w:tc>
        <w:tc>
          <w:tcPr>
            <w:tcW w:w="1224" w:type="dxa"/>
            <w:vAlign w:val="center"/>
          </w:tcPr>
          <w:p w:rsidR="001E7A01" w:rsidRPr="0092687C" w:rsidRDefault="001E7A01" w:rsidP="0092687C">
            <w:pPr>
              <w:pStyle w:val="BodyText"/>
            </w:pPr>
          </w:p>
        </w:tc>
      </w:tr>
      <w:tr w:rsidR="001E7A01" w:rsidRPr="0092687C">
        <w:trPr>
          <w:trHeight w:val="300"/>
        </w:trPr>
        <w:tc>
          <w:tcPr>
            <w:tcW w:w="1080" w:type="dxa"/>
            <w:vAlign w:val="center"/>
          </w:tcPr>
          <w:p w:rsidR="001E7A01" w:rsidRPr="0092687C" w:rsidRDefault="001E7A01" w:rsidP="0092687C">
            <w:pPr>
              <w:pStyle w:val="BodyText"/>
            </w:pPr>
          </w:p>
        </w:tc>
        <w:tc>
          <w:tcPr>
            <w:tcW w:w="1915" w:type="dxa"/>
            <w:vAlign w:val="center"/>
          </w:tcPr>
          <w:p w:rsidR="001E7A01" w:rsidRPr="0092687C" w:rsidRDefault="001E7A01" w:rsidP="0092687C">
            <w:pPr>
              <w:pStyle w:val="BodyText"/>
            </w:pPr>
          </w:p>
        </w:tc>
        <w:tc>
          <w:tcPr>
            <w:tcW w:w="3143" w:type="dxa"/>
            <w:vAlign w:val="center"/>
          </w:tcPr>
          <w:p w:rsidR="001E7A01" w:rsidRPr="0092687C" w:rsidRDefault="001E7A01" w:rsidP="0092687C">
            <w:pPr>
              <w:pStyle w:val="BodyText"/>
            </w:pPr>
          </w:p>
        </w:tc>
        <w:tc>
          <w:tcPr>
            <w:tcW w:w="2160" w:type="dxa"/>
            <w:vAlign w:val="center"/>
          </w:tcPr>
          <w:p w:rsidR="001E7A01" w:rsidRPr="0092687C" w:rsidRDefault="001E7A01" w:rsidP="0092687C">
            <w:pPr>
              <w:pStyle w:val="BodyText"/>
            </w:pPr>
          </w:p>
        </w:tc>
        <w:tc>
          <w:tcPr>
            <w:tcW w:w="1224" w:type="dxa"/>
            <w:vAlign w:val="center"/>
          </w:tcPr>
          <w:p w:rsidR="001E7A01" w:rsidRPr="0092687C" w:rsidRDefault="001E7A01" w:rsidP="0092687C">
            <w:pPr>
              <w:pStyle w:val="BodyText"/>
            </w:pPr>
          </w:p>
        </w:tc>
      </w:tr>
      <w:tr w:rsidR="001E7A01" w:rsidRPr="0092687C">
        <w:trPr>
          <w:trHeight w:val="300"/>
        </w:trPr>
        <w:tc>
          <w:tcPr>
            <w:tcW w:w="1080" w:type="dxa"/>
            <w:vAlign w:val="center"/>
          </w:tcPr>
          <w:p w:rsidR="001E7A01" w:rsidRPr="0092687C" w:rsidRDefault="001E7A01" w:rsidP="0092687C">
            <w:pPr>
              <w:pStyle w:val="BodyText"/>
            </w:pPr>
          </w:p>
        </w:tc>
        <w:tc>
          <w:tcPr>
            <w:tcW w:w="1915" w:type="dxa"/>
            <w:vAlign w:val="center"/>
          </w:tcPr>
          <w:p w:rsidR="001E7A01" w:rsidRPr="0092687C" w:rsidRDefault="001E7A01" w:rsidP="0092687C">
            <w:pPr>
              <w:pStyle w:val="BodyText"/>
            </w:pPr>
          </w:p>
        </w:tc>
        <w:tc>
          <w:tcPr>
            <w:tcW w:w="3143" w:type="dxa"/>
            <w:vAlign w:val="center"/>
          </w:tcPr>
          <w:p w:rsidR="001E7A01" w:rsidRPr="0092687C" w:rsidRDefault="001E7A01" w:rsidP="0092687C">
            <w:pPr>
              <w:pStyle w:val="BodyText"/>
            </w:pPr>
          </w:p>
        </w:tc>
        <w:tc>
          <w:tcPr>
            <w:tcW w:w="2160" w:type="dxa"/>
            <w:vAlign w:val="center"/>
          </w:tcPr>
          <w:p w:rsidR="001E7A01" w:rsidRPr="0092687C" w:rsidRDefault="001E7A01" w:rsidP="0092687C">
            <w:pPr>
              <w:pStyle w:val="BodyText"/>
            </w:pPr>
          </w:p>
        </w:tc>
        <w:tc>
          <w:tcPr>
            <w:tcW w:w="1224" w:type="dxa"/>
            <w:vAlign w:val="center"/>
          </w:tcPr>
          <w:p w:rsidR="001E7A01" w:rsidRPr="0092687C" w:rsidRDefault="001E7A01" w:rsidP="0092687C">
            <w:pPr>
              <w:pStyle w:val="BodyText"/>
            </w:pPr>
          </w:p>
        </w:tc>
      </w:tr>
      <w:tr w:rsidR="001E7A01" w:rsidRPr="0092687C">
        <w:trPr>
          <w:trHeight w:val="300"/>
        </w:trPr>
        <w:tc>
          <w:tcPr>
            <w:tcW w:w="1080" w:type="dxa"/>
            <w:vAlign w:val="center"/>
          </w:tcPr>
          <w:p w:rsidR="001E7A01" w:rsidRPr="0092687C" w:rsidRDefault="001E7A01" w:rsidP="0092687C">
            <w:pPr>
              <w:pStyle w:val="BodyText"/>
            </w:pPr>
          </w:p>
        </w:tc>
        <w:tc>
          <w:tcPr>
            <w:tcW w:w="1915" w:type="dxa"/>
            <w:vAlign w:val="center"/>
          </w:tcPr>
          <w:p w:rsidR="001E7A01" w:rsidRPr="0092687C" w:rsidRDefault="001E7A01" w:rsidP="0092687C">
            <w:pPr>
              <w:pStyle w:val="BodyText"/>
            </w:pPr>
          </w:p>
        </w:tc>
        <w:tc>
          <w:tcPr>
            <w:tcW w:w="3143" w:type="dxa"/>
            <w:vAlign w:val="center"/>
          </w:tcPr>
          <w:p w:rsidR="001E7A01" w:rsidRPr="0092687C" w:rsidRDefault="001E7A01" w:rsidP="0092687C">
            <w:pPr>
              <w:pStyle w:val="BodyText"/>
            </w:pPr>
          </w:p>
        </w:tc>
        <w:tc>
          <w:tcPr>
            <w:tcW w:w="2160" w:type="dxa"/>
            <w:vAlign w:val="center"/>
          </w:tcPr>
          <w:p w:rsidR="001E7A01" w:rsidRPr="0092687C" w:rsidRDefault="001E7A01" w:rsidP="0092687C">
            <w:pPr>
              <w:pStyle w:val="BodyText"/>
            </w:pPr>
          </w:p>
        </w:tc>
        <w:tc>
          <w:tcPr>
            <w:tcW w:w="1224" w:type="dxa"/>
            <w:vAlign w:val="center"/>
          </w:tcPr>
          <w:p w:rsidR="001E7A01" w:rsidRPr="0092687C" w:rsidRDefault="001E7A01" w:rsidP="0092687C">
            <w:pPr>
              <w:pStyle w:val="BodyText"/>
            </w:pPr>
          </w:p>
        </w:tc>
      </w:tr>
      <w:tr w:rsidR="001E7A01" w:rsidRPr="0092687C">
        <w:trPr>
          <w:trHeight w:val="300"/>
        </w:trPr>
        <w:tc>
          <w:tcPr>
            <w:tcW w:w="1080" w:type="dxa"/>
            <w:vAlign w:val="center"/>
          </w:tcPr>
          <w:p w:rsidR="001E7A01" w:rsidRPr="0092687C" w:rsidRDefault="001E7A01" w:rsidP="0092687C">
            <w:pPr>
              <w:pStyle w:val="BodyText"/>
            </w:pPr>
          </w:p>
        </w:tc>
        <w:tc>
          <w:tcPr>
            <w:tcW w:w="1915" w:type="dxa"/>
            <w:vAlign w:val="center"/>
          </w:tcPr>
          <w:p w:rsidR="001E7A01" w:rsidRPr="0092687C" w:rsidRDefault="001E7A01" w:rsidP="0092687C">
            <w:pPr>
              <w:pStyle w:val="BodyText"/>
            </w:pPr>
          </w:p>
        </w:tc>
        <w:tc>
          <w:tcPr>
            <w:tcW w:w="3143" w:type="dxa"/>
            <w:vAlign w:val="center"/>
          </w:tcPr>
          <w:p w:rsidR="001E7A01" w:rsidRPr="0092687C" w:rsidRDefault="001E7A01" w:rsidP="0092687C">
            <w:pPr>
              <w:pStyle w:val="BodyText"/>
            </w:pPr>
          </w:p>
        </w:tc>
        <w:tc>
          <w:tcPr>
            <w:tcW w:w="2160" w:type="dxa"/>
            <w:vAlign w:val="center"/>
          </w:tcPr>
          <w:p w:rsidR="001E7A01" w:rsidRPr="0092687C" w:rsidRDefault="001E7A01" w:rsidP="0092687C">
            <w:pPr>
              <w:pStyle w:val="BodyText"/>
            </w:pPr>
          </w:p>
        </w:tc>
        <w:tc>
          <w:tcPr>
            <w:tcW w:w="1224" w:type="dxa"/>
            <w:vAlign w:val="center"/>
          </w:tcPr>
          <w:p w:rsidR="001E7A01" w:rsidRPr="0092687C" w:rsidRDefault="001E7A01" w:rsidP="0092687C">
            <w:pPr>
              <w:pStyle w:val="BodyText"/>
            </w:pPr>
          </w:p>
        </w:tc>
      </w:tr>
      <w:tr w:rsidR="001E7A01" w:rsidRPr="0092687C">
        <w:trPr>
          <w:trHeight w:val="300"/>
        </w:trPr>
        <w:tc>
          <w:tcPr>
            <w:tcW w:w="1080" w:type="dxa"/>
            <w:vAlign w:val="center"/>
          </w:tcPr>
          <w:p w:rsidR="001E7A01" w:rsidRPr="0092687C" w:rsidRDefault="001E7A01" w:rsidP="0092687C">
            <w:pPr>
              <w:pStyle w:val="BodyText"/>
            </w:pPr>
          </w:p>
        </w:tc>
        <w:tc>
          <w:tcPr>
            <w:tcW w:w="1915" w:type="dxa"/>
            <w:vAlign w:val="center"/>
          </w:tcPr>
          <w:p w:rsidR="001E7A01" w:rsidRPr="0092687C" w:rsidRDefault="001E7A01" w:rsidP="0092687C">
            <w:pPr>
              <w:pStyle w:val="BodyText"/>
            </w:pPr>
          </w:p>
        </w:tc>
        <w:tc>
          <w:tcPr>
            <w:tcW w:w="3143" w:type="dxa"/>
            <w:vAlign w:val="center"/>
          </w:tcPr>
          <w:p w:rsidR="001E7A01" w:rsidRPr="0092687C" w:rsidRDefault="001E7A01" w:rsidP="0092687C">
            <w:pPr>
              <w:pStyle w:val="BodyText"/>
            </w:pPr>
          </w:p>
        </w:tc>
        <w:tc>
          <w:tcPr>
            <w:tcW w:w="2160" w:type="dxa"/>
            <w:vAlign w:val="center"/>
          </w:tcPr>
          <w:p w:rsidR="001E7A01" w:rsidRPr="0092687C" w:rsidRDefault="001E7A01" w:rsidP="0092687C">
            <w:pPr>
              <w:pStyle w:val="BodyText"/>
            </w:pPr>
          </w:p>
        </w:tc>
        <w:tc>
          <w:tcPr>
            <w:tcW w:w="1224" w:type="dxa"/>
            <w:vAlign w:val="center"/>
          </w:tcPr>
          <w:p w:rsidR="001E7A01" w:rsidRPr="0092687C" w:rsidRDefault="001E7A01" w:rsidP="0092687C">
            <w:pPr>
              <w:pStyle w:val="BodyText"/>
            </w:pPr>
          </w:p>
        </w:tc>
      </w:tr>
      <w:tr w:rsidR="001E7A01" w:rsidRPr="0092687C">
        <w:trPr>
          <w:trHeight w:val="300"/>
        </w:trPr>
        <w:tc>
          <w:tcPr>
            <w:tcW w:w="1080" w:type="dxa"/>
            <w:vAlign w:val="center"/>
          </w:tcPr>
          <w:p w:rsidR="001E7A01" w:rsidRPr="0092687C" w:rsidRDefault="001E7A01" w:rsidP="0092687C">
            <w:pPr>
              <w:pStyle w:val="BodyText"/>
            </w:pPr>
          </w:p>
        </w:tc>
        <w:tc>
          <w:tcPr>
            <w:tcW w:w="1915" w:type="dxa"/>
            <w:vAlign w:val="center"/>
          </w:tcPr>
          <w:p w:rsidR="001E7A01" w:rsidRPr="0092687C" w:rsidRDefault="001E7A01" w:rsidP="0092687C">
            <w:pPr>
              <w:pStyle w:val="BodyText"/>
            </w:pPr>
          </w:p>
        </w:tc>
        <w:tc>
          <w:tcPr>
            <w:tcW w:w="3143" w:type="dxa"/>
            <w:vAlign w:val="center"/>
          </w:tcPr>
          <w:p w:rsidR="001E7A01" w:rsidRPr="0092687C" w:rsidRDefault="001E7A01" w:rsidP="0092687C">
            <w:pPr>
              <w:pStyle w:val="BodyText"/>
            </w:pPr>
          </w:p>
        </w:tc>
        <w:tc>
          <w:tcPr>
            <w:tcW w:w="2160" w:type="dxa"/>
            <w:vAlign w:val="center"/>
          </w:tcPr>
          <w:p w:rsidR="001E7A01" w:rsidRPr="0092687C" w:rsidRDefault="001E7A01" w:rsidP="0092687C">
            <w:pPr>
              <w:pStyle w:val="BodyText"/>
            </w:pPr>
          </w:p>
        </w:tc>
        <w:tc>
          <w:tcPr>
            <w:tcW w:w="1224" w:type="dxa"/>
            <w:vAlign w:val="center"/>
          </w:tcPr>
          <w:p w:rsidR="001E7A01" w:rsidRPr="0092687C" w:rsidRDefault="001E7A01" w:rsidP="0092687C">
            <w:pPr>
              <w:pStyle w:val="BodyText"/>
            </w:pPr>
          </w:p>
        </w:tc>
      </w:tr>
      <w:tr w:rsidR="001E7A01" w:rsidRPr="0092687C">
        <w:trPr>
          <w:trHeight w:val="300"/>
        </w:trPr>
        <w:tc>
          <w:tcPr>
            <w:tcW w:w="1080" w:type="dxa"/>
            <w:vAlign w:val="center"/>
          </w:tcPr>
          <w:p w:rsidR="001E7A01" w:rsidRPr="0092687C" w:rsidRDefault="001E7A01" w:rsidP="0092687C">
            <w:pPr>
              <w:pStyle w:val="BodyText"/>
            </w:pPr>
          </w:p>
        </w:tc>
        <w:tc>
          <w:tcPr>
            <w:tcW w:w="1915" w:type="dxa"/>
            <w:vAlign w:val="center"/>
          </w:tcPr>
          <w:p w:rsidR="001E7A01" w:rsidRPr="0092687C" w:rsidRDefault="001E7A01" w:rsidP="0092687C">
            <w:pPr>
              <w:pStyle w:val="BodyText"/>
            </w:pPr>
          </w:p>
        </w:tc>
        <w:tc>
          <w:tcPr>
            <w:tcW w:w="3143" w:type="dxa"/>
            <w:vAlign w:val="center"/>
          </w:tcPr>
          <w:p w:rsidR="001E7A01" w:rsidRPr="0092687C" w:rsidRDefault="001E7A01" w:rsidP="0092687C">
            <w:pPr>
              <w:pStyle w:val="BodyText"/>
            </w:pPr>
          </w:p>
        </w:tc>
        <w:tc>
          <w:tcPr>
            <w:tcW w:w="2160" w:type="dxa"/>
            <w:vAlign w:val="center"/>
          </w:tcPr>
          <w:p w:rsidR="001E7A01" w:rsidRPr="0092687C" w:rsidRDefault="001E7A01" w:rsidP="0092687C">
            <w:pPr>
              <w:pStyle w:val="BodyText"/>
            </w:pPr>
          </w:p>
        </w:tc>
        <w:tc>
          <w:tcPr>
            <w:tcW w:w="1224" w:type="dxa"/>
            <w:vAlign w:val="center"/>
          </w:tcPr>
          <w:p w:rsidR="001E7A01" w:rsidRPr="0092687C" w:rsidRDefault="001E7A01" w:rsidP="0092687C">
            <w:pPr>
              <w:pStyle w:val="BodyText"/>
            </w:pPr>
          </w:p>
        </w:tc>
      </w:tr>
      <w:tr w:rsidR="001E7A01" w:rsidRPr="0092687C">
        <w:trPr>
          <w:trHeight w:val="300"/>
        </w:trPr>
        <w:tc>
          <w:tcPr>
            <w:tcW w:w="1080" w:type="dxa"/>
            <w:vAlign w:val="center"/>
          </w:tcPr>
          <w:p w:rsidR="001E7A01" w:rsidRPr="0092687C" w:rsidRDefault="001E7A01" w:rsidP="0092687C">
            <w:pPr>
              <w:pStyle w:val="BodyText"/>
            </w:pPr>
          </w:p>
        </w:tc>
        <w:tc>
          <w:tcPr>
            <w:tcW w:w="1915" w:type="dxa"/>
            <w:vAlign w:val="center"/>
          </w:tcPr>
          <w:p w:rsidR="001E7A01" w:rsidRPr="0092687C" w:rsidRDefault="001E7A01" w:rsidP="0092687C">
            <w:pPr>
              <w:pStyle w:val="BodyText"/>
            </w:pPr>
          </w:p>
        </w:tc>
        <w:tc>
          <w:tcPr>
            <w:tcW w:w="3143" w:type="dxa"/>
            <w:vAlign w:val="center"/>
          </w:tcPr>
          <w:p w:rsidR="001E7A01" w:rsidRPr="0092687C" w:rsidRDefault="001E7A01" w:rsidP="0092687C">
            <w:pPr>
              <w:pStyle w:val="BodyText"/>
            </w:pPr>
          </w:p>
        </w:tc>
        <w:tc>
          <w:tcPr>
            <w:tcW w:w="2160" w:type="dxa"/>
            <w:vAlign w:val="center"/>
          </w:tcPr>
          <w:p w:rsidR="001E7A01" w:rsidRPr="0092687C" w:rsidRDefault="001E7A01" w:rsidP="0092687C">
            <w:pPr>
              <w:pStyle w:val="BodyText"/>
            </w:pPr>
          </w:p>
        </w:tc>
        <w:tc>
          <w:tcPr>
            <w:tcW w:w="1224" w:type="dxa"/>
            <w:vAlign w:val="center"/>
          </w:tcPr>
          <w:p w:rsidR="001E7A01" w:rsidRPr="0092687C" w:rsidRDefault="001E7A01" w:rsidP="0092687C">
            <w:pPr>
              <w:pStyle w:val="BodyText"/>
            </w:pPr>
          </w:p>
        </w:tc>
      </w:tr>
      <w:tr w:rsidR="001E7A01" w:rsidRPr="0092687C">
        <w:trPr>
          <w:trHeight w:val="300"/>
        </w:trPr>
        <w:tc>
          <w:tcPr>
            <w:tcW w:w="1080" w:type="dxa"/>
            <w:vAlign w:val="center"/>
          </w:tcPr>
          <w:p w:rsidR="001E7A01" w:rsidRPr="0092687C" w:rsidRDefault="001E7A01" w:rsidP="0092687C">
            <w:pPr>
              <w:pStyle w:val="BodyText"/>
            </w:pPr>
          </w:p>
        </w:tc>
        <w:tc>
          <w:tcPr>
            <w:tcW w:w="1915" w:type="dxa"/>
            <w:vAlign w:val="center"/>
          </w:tcPr>
          <w:p w:rsidR="001E7A01" w:rsidRPr="0092687C" w:rsidRDefault="001E7A01" w:rsidP="0092687C">
            <w:pPr>
              <w:pStyle w:val="BodyText"/>
            </w:pPr>
          </w:p>
        </w:tc>
        <w:tc>
          <w:tcPr>
            <w:tcW w:w="3143" w:type="dxa"/>
            <w:vAlign w:val="center"/>
          </w:tcPr>
          <w:p w:rsidR="001E7A01" w:rsidRPr="0092687C" w:rsidRDefault="001E7A01" w:rsidP="0092687C">
            <w:pPr>
              <w:pStyle w:val="BodyText"/>
            </w:pPr>
          </w:p>
        </w:tc>
        <w:tc>
          <w:tcPr>
            <w:tcW w:w="2160" w:type="dxa"/>
            <w:vAlign w:val="center"/>
          </w:tcPr>
          <w:p w:rsidR="001E7A01" w:rsidRPr="0092687C" w:rsidRDefault="001E7A01" w:rsidP="0092687C">
            <w:pPr>
              <w:pStyle w:val="BodyText"/>
            </w:pPr>
          </w:p>
        </w:tc>
        <w:tc>
          <w:tcPr>
            <w:tcW w:w="1224" w:type="dxa"/>
            <w:vAlign w:val="center"/>
          </w:tcPr>
          <w:p w:rsidR="001E7A01" w:rsidRPr="0092687C" w:rsidRDefault="001E7A01" w:rsidP="0092687C">
            <w:pPr>
              <w:pStyle w:val="BodyText"/>
            </w:pPr>
          </w:p>
        </w:tc>
      </w:tr>
      <w:tr w:rsidR="001E7A01" w:rsidRPr="0092687C">
        <w:trPr>
          <w:trHeight w:val="300"/>
        </w:trPr>
        <w:tc>
          <w:tcPr>
            <w:tcW w:w="1080" w:type="dxa"/>
            <w:vAlign w:val="center"/>
          </w:tcPr>
          <w:p w:rsidR="001E7A01" w:rsidRPr="0092687C" w:rsidRDefault="001E7A01" w:rsidP="0092687C">
            <w:pPr>
              <w:pStyle w:val="BodyText"/>
            </w:pPr>
          </w:p>
        </w:tc>
        <w:tc>
          <w:tcPr>
            <w:tcW w:w="1915" w:type="dxa"/>
            <w:vAlign w:val="center"/>
          </w:tcPr>
          <w:p w:rsidR="001E7A01" w:rsidRPr="0092687C" w:rsidRDefault="001E7A01" w:rsidP="0092687C">
            <w:pPr>
              <w:pStyle w:val="BodyText"/>
            </w:pPr>
          </w:p>
        </w:tc>
        <w:tc>
          <w:tcPr>
            <w:tcW w:w="3143" w:type="dxa"/>
            <w:vAlign w:val="center"/>
          </w:tcPr>
          <w:p w:rsidR="001E7A01" w:rsidRPr="0092687C" w:rsidRDefault="001E7A01" w:rsidP="0092687C">
            <w:pPr>
              <w:pStyle w:val="BodyText"/>
            </w:pPr>
          </w:p>
        </w:tc>
        <w:tc>
          <w:tcPr>
            <w:tcW w:w="2160" w:type="dxa"/>
            <w:vAlign w:val="center"/>
          </w:tcPr>
          <w:p w:rsidR="001E7A01" w:rsidRPr="0092687C" w:rsidRDefault="001E7A01" w:rsidP="0092687C">
            <w:pPr>
              <w:pStyle w:val="BodyText"/>
            </w:pPr>
          </w:p>
        </w:tc>
        <w:tc>
          <w:tcPr>
            <w:tcW w:w="1224" w:type="dxa"/>
            <w:vAlign w:val="center"/>
          </w:tcPr>
          <w:p w:rsidR="001E7A01" w:rsidRPr="0092687C" w:rsidRDefault="001E7A01" w:rsidP="0092687C">
            <w:pPr>
              <w:pStyle w:val="BodyText"/>
            </w:pPr>
          </w:p>
        </w:tc>
      </w:tr>
      <w:tr w:rsidR="001E7A01" w:rsidRPr="0092687C">
        <w:trPr>
          <w:trHeight w:val="300"/>
        </w:trPr>
        <w:tc>
          <w:tcPr>
            <w:tcW w:w="1080" w:type="dxa"/>
            <w:vAlign w:val="center"/>
          </w:tcPr>
          <w:p w:rsidR="001E7A01" w:rsidRPr="0092687C" w:rsidRDefault="001E7A01" w:rsidP="0092687C">
            <w:pPr>
              <w:pStyle w:val="BodyText"/>
            </w:pPr>
          </w:p>
        </w:tc>
        <w:tc>
          <w:tcPr>
            <w:tcW w:w="1915" w:type="dxa"/>
            <w:vAlign w:val="center"/>
          </w:tcPr>
          <w:p w:rsidR="001E7A01" w:rsidRPr="0092687C" w:rsidRDefault="001E7A01" w:rsidP="0092687C">
            <w:pPr>
              <w:pStyle w:val="BodyText"/>
            </w:pPr>
          </w:p>
        </w:tc>
        <w:tc>
          <w:tcPr>
            <w:tcW w:w="3143" w:type="dxa"/>
            <w:vAlign w:val="center"/>
          </w:tcPr>
          <w:p w:rsidR="001E7A01" w:rsidRPr="0092687C" w:rsidRDefault="001E7A01" w:rsidP="0092687C">
            <w:pPr>
              <w:pStyle w:val="BodyText"/>
            </w:pPr>
          </w:p>
        </w:tc>
        <w:tc>
          <w:tcPr>
            <w:tcW w:w="2160" w:type="dxa"/>
            <w:vAlign w:val="center"/>
          </w:tcPr>
          <w:p w:rsidR="001E7A01" w:rsidRPr="0092687C" w:rsidRDefault="001E7A01" w:rsidP="0092687C">
            <w:pPr>
              <w:pStyle w:val="BodyText"/>
            </w:pPr>
          </w:p>
        </w:tc>
        <w:tc>
          <w:tcPr>
            <w:tcW w:w="1224" w:type="dxa"/>
            <w:vAlign w:val="center"/>
          </w:tcPr>
          <w:p w:rsidR="001E7A01" w:rsidRPr="0092687C" w:rsidRDefault="001E7A01" w:rsidP="0092687C">
            <w:pPr>
              <w:pStyle w:val="BodyText"/>
            </w:pPr>
          </w:p>
        </w:tc>
      </w:tr>
      <w:tr w:rsidR="001E7A01" w:rsidRPr="0092687C">
        <w:trPr>
          <w:trHeight w:val="300"/>
        </w:trPr>
        <w:tc>
          <w:tcPr>
            <w:tcW w:w="1080" w:type="dxa"/>
            <w:vAlign w:val="center"/>
          </w:tcPr>
          <w:p w:rsidR="001E7A01" w:rsidRPr="0092687C" w:rsidRDefault="001E7A01" w:rsidP="0092687C">
            <w:pPr>
              <w:pStyle w:val="BodyText"/>
            </w:pPr>
          </w:p>
        </w:tc>
        <w:tc>
          <w:tcPr>
            <w:tcW w:w="1915" w:type="dxa"/>
            <w:vAlign w:val="center"/>
          </w:tcPr>
          <w:p w:rsidR="001E7A01" w:rsidRPr="0092687C" w:rsidRDefault="001E7A01" w:rsidP="0092687C">
            <w:pPr>
              <w:pStyle w:val="BodyText"/>
            </w:pPr>
          </w:p>
        </w:tc>
        <w:tc>
          <w:tcPr>
            <w:tcW w:w="3143" w:type="dxa"/>
            <w:vAlign w:val="center"/>
          </w:tcPr>
          <w:p w:rsidR="001E7A01" w:rsidRPr="0092687C" w:rsidRDefault="001E7A01" w:rsidP="0092687C">
            <w:pPr>
              <w:pStyle w:val="BodyText"/>
            </w:pPr>
          </w:p>
        </w:tc>
        <w:tc>
          <w:tcPr>
            <w:tcW w:w="2160" w:type="dxa"/>
            <w:vAlign w:val="center"/>
          </w:tcPr>
          <w:p w:rsidR="001E7A01" w:rsidRPr="0092687C" w:rsidRDefault="001E7A01" w:rsidP="0092687C">
            <w:pPr>
              <w:pStyle w:val="BodyText"/>
            </w:pPr>
          </w:p>
        </w:tc>
        <w:tc>
          <w:tcPr>
            <w:tcW w:w="1224" w:type="dxa"/>
            <w:vAlign w:val="center"/>
          </w:tcPr>
          <w:p w:rsidR="001E7A01" w:rsidRPr="0092687C" w:rsidRDefault="001E7A01" w:rsidP="0092687C">
            <w:pPr>
              <w:pStyle w:val="BodyText"/>
            </w:pPr>
          </w:p>
        </w:tc>
      </w:tr>
      <w:tr w:rsidR="001E7A01" w:rsidRPr="0092687C">
        <w:trPr>
          <w:trHeight w:val="300"/>
        </w:trPr>
        <w:tc>
          <w:tcPr>
            <w:tcW w:w="1080" w:type="dxa"/>
            <w:vAlign w:val="center"/>
          </w:tcPr>
          <w:p w:rsidR="001E7A01" w:rsidRPr="0092687C" w:rsidRDefault="001E7A01" w:rsidP="0092687C">
            <w:pPr>
              <w:pStyle w:val="BodyText"/>
            </w:pPr>
          </w:p>
        </w:tc>
        <w:tc>
          <w:tcPr>
            <w:tcW w:w="1915" w:type="dxa"/>
            <w:vAlign w:val="center"/>
          </w:tcPr>
          <w:p w:rsidR="001E7A01" w:rsidRPr="0092687C" w:rsidRDefault="001E7A01" w:rsidP="0092687C">
            <w:pPr>
              <w:pStyle w:val="BodyText"/>
            </w:pPr>
          </w:p>
        </w:tc>
        <w:tc>
          <w:tcPr>
            <w:tcW w:w="3143" w:type="dxa"/>
            <w:vAlign w:val="center"/>
          </w:tcPr>
          <w:p w:rsidR="001E7A01" w:rsidRPr="0092687C" w:rsidRDefault="001E7A01" w:rsidP="0092687C">
            <w:pPr>
              <w:pStyle w:val="BodyText"/>
            </w:pPr>
          </w:p>
        </w:tc>
        <w:tc>
          <w:tcPr>
            <w:tcW w:w="2160" w:type="dxa"/>
            <w:vAlign w:val="center"/>
          </w:tcPr>
          <w:p w:rsidR="001E7A01" w:rsidRPr="0092687C" w:rsidRDefault="001E7A01" w:rsidP="0092687C">
            <w:pPr>
              <w:pStyle w:val="BodyText"/>
            </w:pPr>
          </w:p>
        </w:tc>
        <w:tc>
          <w:tcPr>
            <w:tcW w:w="1224" w:type="dxa"/>
            <w:vAlign w:val="center"/>
          </w:tcPr>
          <w:p w:rsidR="001E7A01" w:rsidRPr="0092687C" w:rsidRDefault="001E7A01" w:rsidP="0092687C">
            <w:pPr>
              <w:pStyle w:val="BodyText"/>
            </w:pPr>
          </w:p>
        </w:tc>
      </w:tr>
      <w:tr w:rsidR="001E7A01" w:rsidRPr="0092687C">
        <w:trPr>
          <w:trHeight w:val="300"/>
        </w:trPr>
        <w:tc>
          <w:tcPr>
            <w:tcW w:w="1080" w:type="dxa"/>
            <w:vAlign w:val="center"/>
          </w:tcPr>
          <w:p w:rsidR="001E7A01" w:rsidRPr="0092687C" w:rsidRDefault="001E7A01" w:rsidP="0092687C">
            <w:pPr>
              <w:pStyle w:val="BodyText"/>
            </w:pPr>
          </w:p>
        </w:tc>
        <w:tc>
          <w:tcPr>
            <w:tcW w:w="1915" w:type="dxa"/>
            <w:vAlign w:val="center"/>
          </w:tcPr>
          <w:p w:rsidR="001E7A01" w:rsidRPr="0092687C" w:rsidRDefault="001E7A01" w:rsidP="0092687C">
            <w:pPr>
              <w:pStyle w:val="BodyText"/>
            </w:pPr>
          </w:p>
        </w:tc>
        <w:tc>
          <w:tcPr>
            <w:tcW w:w="3143" w:type="dxa"/>
            <w:vAlign w:val="center"/>
          </w:tcPr>
          <w:p w:rsidR="001E7A01" w:rsidRPr="0092687C" w:rsidRDefault="001E7A01" w:rsidP="0092687C">
            <w:pPr>
              <w:pStyle w:val="BodyText"/>
            </w:pPr>
          </w:p>
        </w:tc>
        <w:tc>
          <w:tcPr>
            <w:tcW w:w="2160" w:type="dxa"/>
            <w:vAlign w:val="center"/>
          </w:tcPr>
          <w:p w:rsidR="001E7A01" w:rsidRPr="0092687C" w:rsidRDefault="001E7A01" w:rsidP="0092687C">
            <w:pPr>
              <w:pStyle w:val="BodyText"/>
            </w:pPr>
          </w:p>
        </w:tc>
        <w:tc>
          <w:tcPr>
            <w:tcW w:w="1224" w:type="dxa"/>
            <w:vAlign w:val="center"/>
          </w:tcPr>
          <w:p w:rsidR="001E7A01" w:rsidRPr="0092687C" w:rsidRDefault="001E7A01" w:rsidP="0092687C">
            <w:pPr>
              <w:pStyle w:val="BodyText"/>
            </w:pPr>
          </w:p>
        </w:tc>
      </w:tr>
    </w:tbl>
    <w:p w:rsidR="001E7A01" w:rsidRPr="0092687C" w:rsidRDefault="001E7A01" w:rsidP="0092687C">
      <w:pPr>
        <w:pStyle w:val="BodyText"/>
      </w:pPr>
    </w:p>
    <w:p w:rsidR="001E7A01" w:rsidRDefault="001E7A01" w:rsidP="0092687C">
      <w:pPr>
        <w:pStyle w:val="BodyText"/>
      </w:pPr>
    </w:p>
    <w:p w:rsidR="003A3128" w:rsidRDefault="003A3128" w:rsidP="0092687C">
      <w:pPr>
        <w:pStyle w:val="BodyText"/>
      </w:pPr>
    </w:p>
    <w:p w:rsidR="003A3128" w:rsidRDefault="003A3128" w:rsidP="0092687C">
      <w:pPr>
        <w:pStyle w:val="BodyText"/>
      </w:pPr>
    </w:p>
    <w:p w:rsidR="003A3128" w:rsidRDefault="003A3128" w:rsidP="0092687C">
      <w:pPr>
        <w:pStyle w:val="BodyText"/>
      </w:pPr>
    </w:p>
    <w:p w:rsidR="003A3128" w:rsidRDefault="003A3128" w:rsidP="0092687C">
      <w:pPr>
        <w:pStyle w:val="BodyText"/>
      </w:pPr>
    </w:p>
    <w:p w:rsidR="003A3128" w:rsidRDefault="003A3128" w:rsidP="0092687C">
      <w:pPr>
        <w:pStyle w:val="BodyText"/>
      </w:pPr>
    </w:p>
    <w:p w:rsidR="003A3128" w:rsidRDefault="003A3128" w:rsidP="0092687C">
      <w:pPr>
        <w:pStyle w:val="BodyText"/>
      </w:pPr>
    </w:p>
    <w:p w:rsidR="003A3128" w:rsidRDefault="003A3128" w:rsidP="0092687C">
      <w:pPr>
        <w:pStyle w:val="BodyText"/>
      </w:pPr>
    </w:p>
    <w:p w:rsidR="003A3128" w:rsidRPr="0092687C" w:rsidRDefault="003A3128" w:rsidP="0092687C">
      <w:pPr>
        <w:pStyle w:val="BodyText"/>
      </w:pPr>
    </w:p>
    <w:sectPr w:rsidR="003A3128" w:rsidRPr="0092687C" w:rsidSect="002E7B99">
      <w:headerReference w:type="default" r:id="rId9"/>
      <w:footerReference w:type="default" r:id="rId10"/>
      <w:endnotePr>
        <w:numFmt w:val="decimal"/>
      </w:endnotePr>
      <w:pgSz w:w="12240" w:h="15840"/>
      <w:pgMar w:top="1440" w:right="1440" w:bottom="1440" w:left="1440" w:header="1440" w:footer="803"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FE8" w:rsidRDefault="00951FE8">
      <w:r>
        <w:separator/>
      </w:r>
    </w:p>
  </w:endnote>
  <w:endnote w:type="continuationSeparator" w:id="0">
    <w:p w:rsidR="00951FE8" w:rsidRDefault="00951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FE8" w:rsidRDefault="00951FE8">
    <w:pPr>
      <w:pStyle w:val="Footer"/>
    </w:pPr>
    <w:r>
      <w:t xml:space="preserve">Adopted </w:t>
    </w:r>
    <w:r w:rsidR="00170591">
      <w:t>3</w:t>
    </w:r>
    <w:r>
      <w:t xml:space="preserve">/2015                                                                                                         </w:t>
    </w:r>
    <w:r>
      <w:rPr>
        <w:rStyle w:val="PageNumber"/>
      </w:rPr>
      <w:fldChar w:fldCharType="begin"/>
    </w:r>
    <w:r>
      <w:rPr>
        <w:rStyle w:val="PageNumber"/>
      </w:rPr>
      <w:instrText xml:space="preserve"> PAGE </w:instrText>
    </w:r>
    <w:r>
      <w:rPr>
        <w:rStyle w:val="PageNumber"/>
      </w:rPr>
      <w:fldChar w:fldCharType="separate"/>
    </w:r>
    <w:r w:rsidR="009B7166">
      <w:rPr>
        <w:rStyle w:val="PageNumber"/>
        <w:noProof/>
      </w:rPr>
      <w:t>15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B7166">
      <w:rPr>
        <w:rStyle w:val="PageNumber"/>
        <w:noProof/>
      </w:rPr>
      <w:t>15</w:t>
    </w:r>
    <w:r>
      <w:rPr>
        <w:rStyle w:val="PageNumber"/>
      </w:rPr>
      <w:fldChar w:fldCharType="end"/>
    </w:r>
    <w:r>
      <w:rPr>
        <w:rStyle w:val="PageNumber"/>
      </w:rPr>
      <w:t xml:space="preserve"> pages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FE8" w:rsidRDefault="00951FE8">
      <w:r>
        <w:separator/>
      </w:r>
    </w:p>
  </w:footnote>
  <w:footnote w:type="continuationSeparator" w:id="0">
    <w:p w:rsidR="00951FE8" w:rsidRDefault="00951F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FE8" w:rsidRDefault="00951FE8" w:rsidP="002E7B99">
    <w:pPr>
      <w:pStyle w:val="Header"/>
      <w:jc w:val="center"/>
    </w:pPr>
    <w:r>
      <w:t xml:space="preserve">University of </w:t>
    </w:r>
    <w:smartTag w:uri="urn:schemas-microsoft-com:office:smarttags" w:element="PlaceName">
      <w:r>
        <w:t>California</w:t>
      </w:r>
    </w:smartTag>
    <w:r>
      <w:t xml:space="preserve">, </w:t>
    </w:r>
    <w:smartTag w:uri="urn:schemas-microsoft-com:office:smarttags" w:element="City">
      <w:smartTag w:uri="urn:schemas-microsoft-com:office:smarttags" w:element="place">
        <w:r>
          <w:t>Davis</w:t>
        </w:r>
      </w:smartTag>
    </w:smartTag>
    <w:r>
      <w:t xml:space="preserve"> Health System</w:t>
    </w:r>
  </w:p>
  <w:p w:rsidR="00951FE8" w:rsidRDefault="00951FE8" w:rsidP="002E7B99">
    <w:pPr>
      <w:pStyle w:val="Header"/>
      <w:jc w:val="center"/>
    </w:pPr>
    <w:r>
      <w:t>Department of Pathology and Laboratory Medicine</w:t>
    </w:r>
  </w:p>
  <w:p w:rsidR="00951FE8" w:rsidRDefault="00951FE8" w:rsidP="002E7B99">
    <w:pPr>
      <w:pStyle w:val="Header"/>
      <w:jc w:val="center"/>
    </w:pPr>
    <w:r>
      <w:t>Hematology Procedure Manual</w:t>
    </w:r>
  </w:p>
  <w:p w:rsidR="00951FE8" w:rsidRDefault="00951FE8" w:rsidP="002E7B99">
    <w:pPr>
      <w:pStyle w:val="Header"/>
      <w:jc w:val="center"/>
    </w:pPr>
  </w:p>
  <w:p w:rsidR="00951FE8" w:rsidRPr="00E44F54" w:rsidRDefault="00951FE8" w:rsidP="002E7B99">
    <w:pPr>
      <w:pStyle w:val="Header"/>
    </w:pPr>
    <w:proofErr w:type="spellStart"/>
    <w:r w:rsidRPr="00E44F54">
      <w:t>Sysmex</w:t>
    </w:r>
    <w:proofErr w:type="spellEnd"/>
    <w:r w:rsidRPr="00E44F54">
      <w:t xml:space="preserve"> pocH-100i Automated </w:t>
    </w:r>
  </w:p>
  <w:p w:rsidR="00951FE8" w:rsidRPr="00E44F54" w:rsidRDefault="00951FE8" w:rsidP="002E7B99">
    <w:pPr>
      <w:pStyle w:val="Header"/>
    </w:pPr>
    <w:r w:rsidRPr="00E44F54">
      <w:t xml:space="preserve">Hematology Analyzer </w:t>
    </w:r>
  </w:p>
  <w:p w:rsidR="00951FE8" w:rsidRPr="00E44F54" w:rsidRDefault="00951FE8" w:rsidP="002E7B99">
    <w:pPr>
      <w:pStyle w:val="Header"/>
      <w:rPr>
        <w:u w:val="single"/>
      </w:rPr>
    </w:pPr>
    <w:r w:rsidRPr="00E44F54">
      <w:rPr>
        <w:u w:val="single"/>
      </w:rPr>
      <w:t>For Ebola Protocol Testing                                                           Technical Procedure 1594.t</w:t>
    </w:r>
  </w:p>
  <w:p w:rsidR="00951FE8" w:rsidRPr="002E7B99" w:rsidRDefault="00951FE8" w:rsidP="002E7B99">
    <w:pPr>
      <w:pStyle w:val="Header"/>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0"/>
    <w:lvl w:ilvl="0">
      <w:start w:val="1"/>
      <w:numFmt w:val="lowerRoman"/>
      <w:pStyle w:val="Level1"/>
      <w:lvlText w:val="%1."/>
      <w:lvlJc w:val="left"/>
      <w:pPr>
        <w:tabs>
          <w:tab w:val="num" w:pos="2880"/>
        </w:tabs>
        <w:ind w:left="2880" w:hanging="720"/>
      </w:pPr>
    </w:lvl>
    <w:lvl w:ilvl="1">
      <w:start w:val="1"/>
      <w:numFmt w:val="lowerRoman"/>
      <w:lvlText w:val="%2"/>
      <w:lvlJc w:val="left"/>
    </w:lvl>
    <w:lvl w:ilvl="2">
      <w:start w:val="1"/>
      <w:numFmt w:val="lowerRoman"/>
      <w:lvlText w:val="%3"/>
      <w:lvlJc w:val="left"/>
    </w:lvl>
    <w:lvl w:ilvl="3">
      <w:start w:val="1"/>
      <w:numFmt w:val="lowerRoman"/>
      <w:lvlText w:val="%4"/>
      <w:lvlJc w:val="left"/>
    </w:lvl>
    <w:lvl w:ilvl="4">
      <w:start w:val="1"/>
      <w:numFmt w:val="lowerRoman"/>
      <w:lvlText w:val="%5"/>
      <w:lvlJc w:val="left"/>
    </w:lvl>
    <w:lvl w:ilvl="5">
      <w:start w:val="1"/>
      <w:numFmt w:val="lowerRoman"/>
      <w:lvlText w:val="%6"/>
      <w:lvlJc w:val="left"/>
    </w:lvl>
    <w:lvl w:ilvl="6">
      <w:start w:val="1"/>
      <w:numFmt w:val="lowerRoman"/>
      <w:lvlText w:val="%7"/>
      <w:lvlJc w:val="left"/>
    </w:lvl>
    <w:lvl w:ilvl="7">
      <w:start w:val="1"/>
      <w:numFmt w:val="lowerRoman"/>
      <w:lvlText w:val="%8"/>
      <w:lvlJc w:val="left"/>
    </w:lvl>
    <w:lvl w:ilvl="8">
      <w:numFmt w:val="decimal"/>
      <w:lvlText w:val=""/>
      <w:lvlJc w:val="left"/>
    </w:lvl>
  </w:abstractNum>
  <w:abstractNum w:abstractNumId="1">
    <w:nsid w:val="0B0C6C3C"/>
    <w:multiLevelType w:val="multilevel"/>
    <w:tmpl w:val="834EA952"/>
    <w:lvl w:ilvl="0">
      <w:start w:val="1"/>
      <w:numFmt w:val="lowerLetter"/>
      <w:pStyle w:val="Heading5"/>
      <w:lvlText w:val="%1)"/>
      <w:lvlJc w:val="left"/>
      <w:pPr>
        <w:ind w:left="3240" w:hanging="360"/>
      </w:pPr>
      <w:rPr>
        <w:rFonts w:hint="default"/>
        <w:b w:val="0"/>
        <w:i w:val="0"/>
        <w:color w:val="auto"/>
        <w:sz w:val="24"/>
        <w:szCs w:val="32"/>
      </w:rPr>
    </w:lvl>
    <w:lvl w:ilvl="1">
      <w:start w:val="1"/>
      <w:numFmt w:val="decimal"/>
      <w:lvlText w:val="%2"/>
      <w:lvlJc w:val="left"/>
      <w:pPr>
        <w:tabs>
          <w:tab w:val="num" w:pos="1080"/>
        </w:tabs>
        <w:ind w:left="1080" w:hanging="360"/>
      </w:pPr>
      <w:rPr>
        <w:rFonts w:ascii="Times New Roman" w:hAnsi="Times New Roman" w:cs="Times New Roman" w:hint="default"/>
      </w:rPr>
    </w:lvl>
    <w:lvl w:ilvl="2">
      <w:start w:val="1"/>
      <w:numFmt w:val="lowerLetter"/>
      <w:lvlText w:val="%3."/>
      <w:lvlJc w:val="left"/>
      <w:pPr>
        <w:tabs>
          <w:tab w:val="num" w:pos="1800"/>
        </w:tabs>
        <w:ind w:left="1800" w:hanging="720"/>
      </w:pPr>
      <w:rPr>
        <w:rFonts w:ascii="Times New Roman" w:hAnsi="Times New Roman" w:cs="Times New Roman" w:hint="default"/>
      </w:rPr>
    </w:lvl>
    <w:lvl w:ilvl="3">
      <w:start w:val="1"/>
      <w:numFmt w:val="lowerRoman"/>
      <w:lvlText w:val="%4."/>
      <w:lvlJc w:val="left"/>
      <w:pPr>
        <w:tabs>
          <w:tab w:val="num" w:pos="2520"/>
        </w:tabs>
        <w:ind w:left="2520" w:hanging="720"/>
      </w:pPr>
      <w:rPr>
        <w:rFonts w:ascii="Times New Roman" w:hAnsi="Times New Roman" w:cs="Times New Roman" w:hint="default"/>
      </w:rPr>
    </w:lvl>
    <w:lvl w:ilvl="4">
      <w:start w:val="1"/>
      <w:numFmt w:val="lowerLetter"/>
      <w:pStyle w:val="Heading5"/>
      <w:lvlText w:val="%5)"/>
      <w:lvlJc w:val="left"/>
      <w:pPr>
        <w:tabs>
          <w:tab w:val="num" w:pos="3600"/>
        </w:tabs>
        <w:ind w:left="3600" w:hanging="720"/>
      </w:pPr>
      <w:rPr>
        <w:rFonts w:ascii="Times New Roman" w:hAnsi="Times New Roman" w:cs="Times New Roman" w:hint="default"/>
      </w:rPr>
    </w:lvl>
    <w:lvl w:ilvl="5">
      <w:start w:val="1"/>
      <w:numFmt w:val="lowerRoman"/>
      <w:lvlText w:val="%6)"/>
      <w:lvlJc w:val="left"/>
      <w:pPr>
        <w:tabs>
          <w:tab w:val="num" w:pos="4320"/>
        </w:tabs>
        <w:ind w:left="4320" w:hanging="720"/>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2">
    <w:nsid w:val="0B223F76"/>
    <w:multiLevelType w:val="hybridMultilevel"/>
    <w:tmpl w:val="146CD3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4D56A6C"/>
    <w:multiLevelType w:val="hybridMultilevel"/>
    <w:tmpl w:val="84CAC034"/>
    <w:lvl w:ilvl="0" w:tplc="E46EFFDE">
      <w:start w:val="1"/>
      <w:numFmt w:val="lowerLetter"/>
      <w:suff w:val="space"/>
      <w:lvlText w:val="%1."/>
      <w:lvlJc w:val="left"/>
      <w:pPr>
        <w:ind w:left="1440" w:hanging="360"/>
      </w:pPr>
      <w:rPr>
        <w:rFonts w:hint="default"/>
        <w:sz w:val="24"/>
        <w:szCs w:val="32"/>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
    <w:nsid w:val="18FB11D9"/>
    <w:multiLevelType w:val="multilevel"/>
    <w:tmpl w:val="64D6CEAC"/>
    <w:lvl w:ilvl="0">
      <w:start w:val="1"/>
      <w:numFmt w:val="lowerRoman"/>
      <w:suff w:val="space"/>
      <w:lvlText w:val="%1."/>
      <w:lvlJc w:val="left"/>
      <w:pPr>
        <w:ind w:left="1944" w:hanging="504"/>
      </w:pPr>
      <w:rPr>
        <w:rFonts w:hint="default"/>
        <w:sz w:val="24"/>
        <w:szCs w:val="32"/>
      </w:rPr>
    </w:lvl>
    <w:lvl w:ilvl="1">
      <w:start w:val="1"/>
      <w:numFmt w:val="none"/>
      <w:lvlText w:val="1."/>
      <w:lvlJc w:val="left"/>
      <w:pPr>
        <w:ind w:left="2736" w:hanging="576"/>
      </w:pPr>
      <w:rPr>
        <w:rFonts w:hint="default"/>
      </w:rPr>
    </w:lvl>
    <w:lvl w:ilvl="2">
      <w:start w:val="1"/>
      <w:numFmt w:val="none"/>
      <w:lvlText w:val="a."/>
      <w:lvlJc w:val="right"/>
      <w:pPr>
        <w:ind w:left="3600" w:hanging="288"/>
      </w:pPr>
      <w:rPr>
        <w:rFonts w:hint="default"/>
      </w:rPr>
    </w:lvl>
    <w:lvl w:ilvl="3">
      <w:start w:val="1"/>
      <w:numFmt w:val="none"/>
      <w:lvlText w:val="i."/>
      <w:lvlJc w:val="left"/>
      <w:pPr>
        <w:ind w:left="4104" w:hanging="360"/>
      </w:pPr>
      <w:rPr>
        <w:rFonts w:hint="default"/>
      </w:rPr>
    </w:lvl>
    <w:lvl w:ilvl="4">
      <w:start w:val="1"/>
      <w:numFmt w:val="none"/>
      <w:lvlText w:val="a)"/>
      <w:lvlJc w:val="left"/>
      <w:pPr>
        <w:ind w:left="5184" w:hanging="936"/>
      </w:pPr>
      <w:rPr>
        <w:rFonts w:hint="default"/>
      </w:rPr>
    </w:lvl>
    <w:lvl w:ilvl="5">
      <w:start w:val="1"/>
      <w:numFmt w:val="none"/>
      <w:lvlText w:val="i)"/>
      <w:lvlJc w:val="right"/>
      <w:pPr>
        <w:ind w:left="5472" w:hanging="216"/>
      </w:pPr>
      <w:rPr>
        <w:rFonts w:hint="default"/>
      </w:rPr>
    </w:lvl>
    <w:lvl w:ilvl="6">
      <w:start w:val="1"/>
      <w:numFmt w:val="decimal"/>
      <w:lvlText w:val="%7."/>
      <w:lvlJc w:val="left"/>
      <w:pPr>
        <w:ind w:left="7200" w:hanging="360"/>
      </w:pPr>
      <w:rPr>
        <w:rFonts w:hint="default"/>
      </w:rPr>
    </w:lvl>
    <w:lvl w:ilvl="7">
      <w:start w:val="1"/>
      <w:numFmt w:val="lowerLetter"/>
      <w:lvlText w:val="%8."/>
      <w:lvlJc w:val="left"/>
      <w:pPr>
        <w:ind w:left="7920" w:hanging="360"/>
      </w:pPr>
      <w:rPr>
        <w:rFonts w:hint="default"/>
      </w:rPr>
    </w:lvl>
    <w:lvl w:ilvl="8">
      <w:start w:val="1"/>
      <w:numFmt w:val="lowerRoman"/>
      <w:lvlText w:val="%9."/>
      <w:lvlJc w:val="right"/>
      <w:pPr>
        <w:ind w:left="8640" w:hanging="180"/>
      </w:pPr>
      <w:rPr>
        <w:rFonts w:hint="default"/>
      </w:rPr>
    </w:lvl>
  </w:abstractNum>
  <w:abstractNum w:abstractNumId="5">
    <w:nsid w:val="1A3E6FC2"/>
    <w:multiLevelType w:val="hybridMultilevel"/>
    <w:tmpl w:val="28361E28"/>
    <w:lvl w:ilvl="0" w:tplc="B2BC5FA8">
      <w:start w:val="1"/>
      <w:numFmt w:val="decimal"/>
      <w:suff w:val="space"/>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BF83A30"/>
    <w:multiLevelType w:val="hybridMultilevel"/>
    <w:tmpl w:val="63645C56"/>
    <w:lvl w:ilvl="0" w:tplc="1BF864EE">
      <w:start w:val="1"/>
      <w:numFmt w:val="decimal"/>
      <w:suff w:val="space"/>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D0A4D41"/>
    <w:multiLevelType w:val="hybridMultilevel"/>
    <w:tmpl w:val="00F054F8"/>
    <w:lvl w:ilvl="0" w:tplc="2F2AAAC6">
      <w:start w:val="1"/>
      <w:numFmt w:val="decimal"/>
      <w:suff w:val="space"/>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FC455D4"/>
    <w:multiLevelType w:val="hybridMultilevel"/>
    <w:tmpl w:val="06DA1F7A"/>
    <w:lvl w:ilvl="0" w:tplc="18608DDE">
      <w:start w:val="1"/>
      <w:numFmt w:val="decimal"/>
      <w:suff w:val="space"/>
      <w:lvlText w:val="%1."/>
      <w:lvlJc w:val="left"/>
      <w:pPr>
        <w:ind w:left="1080" w:hanging="360"/>
      </w:pPr>
      <w:rPr>
        <w:rFonts w:hint="default"/>
        <w:color w:val="auto"/>
        <w:sz w:val="24"/>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B735F7"/>
    <w:multiLevelType w:val="hybridMultilevel"/>
    <w:tmpl w:val="7A4C409E"/>
    <w:lvl w:ilvl="0" w:tplc="6B22714A">
      <w:start w:val="1"/>
      <w:numFmt w:val="upperLetter"/>
      <w:pStyle w:val="Heading1"/>
      <w:lvlText w:val="%1."/>
      <w:lvlJc w:val="left"/>
      <w:pPr>
        <w:ind w:left="720" w:hanging="360"/>
      </w:pPr>
      <w:rPr>
        <w:rFonts w:hint="default"/>
        <w:sz w:val="24"/>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2AA09B4"/>
    <w:multiLevelType w:val="hybridMultilevel"/>
    <w:tmpl w:val="3CB67AD4"/>
    <w:lvl w:ilvl="0" w:tplc="BAF0FAFE">
      <w:start w:val="1"/>
      <w:numFmt w:val="decimal"/>
      <w:suff w:val="space"/>
      <w:lvlText w:val="%1."/>
      <w:lvlJc w:val="left"/>
      <w:pPr>
        <w:ind w:left="1080" w:hanging="360"/>
      </w:pPr>
      <w:rPr>
        <w:rFonts w:hint="default"/>
        <w:color w:val="auto"/>
        <w:sz w:val="24"/>
        <w:szCs w:val="32"/>
      </w:rPr>
    </w:lvl>
    <w:lvl w:ilvl="1" w:tplc="6652E81C">
      <w:start w:val="1"/>
      <w:numFmt w:val="lowerLetter"/>
      <w:suff w:val="space"/>
      <w:lvlText w:val="%2."/>
      <w:lvlJc w:val="left"/>
      <w:pPr>
        <w:ind w:left="2520" w:hanging="360"/>
      </w:pPr>
      <w:rPr>
        <w:rFonts w:hint="default"/>
        <w:sz w:val="24"/>
        <w:szCs w:val="32"/>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33553E6"/>
    <w:multiLevelType w:val="hybridMultilevel"/>
    <w:tmpl w:val="3B7EA13E"/>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28601E93"/>
    <w:multiLevelType w:val="hybridMultilevel"/>
    <w:tmpl w:val="25DEFDD6"/>
    <w:lvl w:ilvl="0" w:tplc="3050BAA8">
      <w:start w:val="1"/>
      <w:numFmt w:val="lowerLetter"/>
      <w:lvlText w:val="%1."/>
      <w:lvlJc w:val="left"/>
      <w:pPr>
        <w:ind w:left="2765" w:hanging="360"/>
      </w:pPr>
      <w:rPr>
        <w:rFonts w:hint="default"/>
        <w:sz w:val="24"/>
        <w:szCs w:val="32"/>
      </w:rPr>
    </w:lvl>
    <w:lvl w:ilvl="1" w:tplc="04090019" w:tentative="1">
      <w:start w:val="1"/>
      <w:numFmt w:val="lowerLetter"/>
      <w:lvlText w:val="%2."/>
      <w:lvlJc w:val="left"/>
      <w:pPr>
        <w:ind w:left="3485" w:hanging="360"/>
      </w:pPr>
    </w:lvl>
    <w:lvl w:ilvl="2" w:tplc="0409001B" w:tentative="1">
      <w:start w:val="1"/>
      <w:numFmt w:val="lowerRoman"/>
      <w:lvlText w:val="%3."/>
      <w:lvlJc w:val="right"/>
      <w:pPr>
        <w:ind w:left="4205" w:hanging="180"/>
      </w:pPr>
    </w:lvl>
    <w:lvl w:ilvl="3" w:tplc="0409000F" w:tentative="1">
      <w:start w:val="1"/>
      <w:numFmt w:val="decimal"/>
      <w:lvlText w:val="%4."/>
      <w:lvlJc w:val="left"/>
      <w:pPr>
        <w:ind w:left="4925" w:hanging="360"/>
      </w:pPr>
    </w:lvl>
    <w:lvl w:ilvl="4" w:tplc="04090019" w:tentative="1">
      <w:start w:val="1"/>
      <w:numFmt w:val="lowerLetter"/>
      <w:lvlText w:val="%5."/>
      <w:lvlJc w:val="left"/>
      <w:pPr>
        <w:ind w:left="5645" w:hanging="360"/>
      </w:pPr>
    </w:lvl>
    <w:lvl w:ilvl="5" w:tplc="0409001B" w:tentative="1">
      <w:start w:val="1"/>
      <w:numFmt w:val="lowerRoman"/>
      <w:lvlText w:val="%6."/>
      <w:lvlJc w:val="right"/>
      <w:pPr>
        <w:ind w:left="6365" w:hanging="180"/>
      </w:pPr>
    </w:lvl>
    <w:lvl w:ilvl="6" w:tplc="0409000F" w:tentative="1">
      <w:start w:val="1"/>
      <w:numFmt w:val="decimal"/>
      <w:lvlText w:val="%7."/>
      <w:lvlJc w:val="left"/>
      <w:pPr>
        <w:ind w:left="7085" w:hanging="360"/>
      </w:pPr>
    </w:lvl>
    <w:lvl w:ilvl="7" w:tplc="04090019" w:tentative="1">
      <w:start w:val="1"/>
      <w:numFmt w:val="lowerLetter"/>
      <w:lvlText w:val="%8."/>
      <w:lvlJc w:val="left"/>
      <w:pPr>
        <w:ind w:left="7805" w:hanging="360"/>
      </w:pPr>
    </w:lvl>
    <w:lvl w:ilvl="8" w:tplc="0409001B" w:tentative="1">
      <w:start w:val="1"/>
      <w:numFmt w:val="lowerRoman"/>
      <w:lvlText w:val="%9."/>
      <w:lvlJc w:val="right"/>
      <w:pPr>
        <w:ind w:left="8525" w:hanging="180"/>
      </w:pPr>
    </w:lvl>
  </w:abstractNum>
  <w:abstractNum w:abstractNumId="13">
    <w:nsid w:val="28CF3FE7"/>
    <w:multiLevelType w:val="hybridMultilevel"/>
    <w:tmpl w:val="41A023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90133A5"/>
    <w:multiLevelType w:val="hybridMultilevel"/>
    <w:tmpl w:val="3C12CADE"/>
    <w:lvl w:ilvl="0" w:tplc="04090019">
      <w:start w:val="1"/>
      <w:numFmt w:val="lowerLetter"/>
      <w:lvlText w:val="%1."/>
      <w:lvlJc w:val="left"/>
      <w:pPr>
        <w:ind w:left="2160" w:hanging="360"/>
      </w:pPr>
    </w:lvl>
    <w:lvl w:ilvl="1" w:tplc="8014F374">
      <w:start w:val="1"/>
      <w:numFmt w:val="lowerRoman"/>
      <w:suff w:val="space"/>
      <w:lvlText w:val="%2."/>
      <w:lvlJc w:val="left"/>
      <w:pPr>
        <w:ind w:left="2592" w:hanging="72"/>
      </w:pPr>
      <w:rPr>
        <w:rFonts w:hint="default"/>
        <w:sz w:val="24"/>
        <w:szCs w:val="32"/>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2A054B03"/>
    <w:multiLevelType w:val="hybridMultilevel"/>
    <w:tmpl w:val="FB78E0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AD29F6"/>
    <w:multiLevelType w:val="hybridMultilevel"/>
    <w:tmpl w:val="F9CA74AE"/>
    <w:lvl w:ilvl="0" w:tplc="E4F07096">
      <w:start w:val="1"/>
      <w:numFmt w:val="decimal"/>
      <w:lvlText w:val="%1."/>
      <w:lvlJc w:val="left"/>
      <w:pPr>
        <w:ind w:left="1080" w:hanging="360"/>
      </w:pPr>
      <w:rPr>
        <w:rFonts w:hint="default"/>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E07739D"/>
    <w:multiLevelType w:val="hybridMultilevel"/>
    <w:tmpl w:val="6212CC0E"/>
    <w:lvl w:ilvl="0" w:tplc="7A42C0FE">
      <w:start w:val="1"/>
      <w:numFmt w:val="decimal"/>
      <w:suff w:val="space"/>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E8025F9"/>
    <w:multiLevelType w:val="hybridMultilevel"/>
    <w:tmpl w:val="1B3A03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0B67F29"/>
    <w:multiLevelType w:val="hybridMultilevel"/>
    <w:tmpl w:val="83D610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1C803EC"/>
    <w:multiLevelType w:val="hybridMultilevel"/>
    <w:tmpl w:val="692EA7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1E43D9A"/>
    <w:multiLevelType w:val="hybridMultilevel"/>
    <w:tmpl w:val="36D4CC4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3229065D"/>
    <w:multiLevelType w:val="hybridMultilevel"/>
    <w:tmpl w:val="CD98D0A2"/>
    <w:lvl w:ilvl="0" w:tplc="EABCC4F0">
      <w:start w:val="1"/>
      <w:numFmt w:val="decimal"/>
      <w:suff w:val="space"/>
      <w:lvlText w:val="%1."/>
      <w:lvlJc w:val="left"/>
      <w:pPr>
        <w:ind w:left="1080" w:hanging="360"/>
      </w:pPr>
      <w:rPr>
        <w:rFonts w:hint="default"/>
        <w:color w:val="auto"/>
        <w:sz w:val="24"/>
        <w:szCs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69A6F31"/>
    <w:multiLevelType w:val="hybridMultilevel"/>
    <w:tmpl w:val="75A260F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36DB20C7"/>
    <w:multiLevelType w:val="hybridMultilevel"/>
    <w:tmpl w:val="1CE4E008"/>
    <w:lvl w:ilvl="0" w:tplc="8AA8F014">
      <w:start w:val="1"/>
      <w:numFmt w:val="lowerLetter"/>
      <w:suff w:val="space"/>
      <w:lvlText w:val="%1."/>
      <w:lvlJc w:val="left"/>
      <w:pPr>
        <w:ind w:left="1296" w:hanging="216"/>
      </w:pPr>
      <w:rPr>
        <w:rFonts w:hint="default"/>
        <w:sz w:val="24"/>
        <w:szCs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3D506AD6"/>
    <w:multiLevelType w:val="hybridMultilevel"/>
    <w:tmpl w:val="294800BC"/>
    <w:lvl w:ilvl="0" w:tplc="669866D4">
      <w:start w:val="1"/>
      <w:numFmt w:val="decimal"/>
      <w:lvlText w:val="%1."/>
      <w:lvlJc w:val="left"/>
      <w:pPr>
        <w:ind w:left="1080" w:hanging="360"/>
      </w:pPr>
      <w:rPr>
        <w:rFonts w:hint="default"/>
        <w:color w:val="auto"/>
        <w:sz w:val="24"/>
        <w:szCs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E1D2A65"/>
    <w:multiLevelType w:val="singleLevel"/>
    <w:tmpl w:val="CB762644"/>
    <w:lvl w:ilvl="0">
      <w:start w:val="1"/>
      <w:numFmt w:val="decimal"/>
      <w:lvlText w:val="%1."/>
      <w:lvlJc w:val="left"/>
      <w:pPr>
        <w:ind w:left="360" w:hanging="360"/>
      </w:pPr>
      <w:rPr>
        <w:rFonts w:hint="default"/>
        <w:color w:val="auto"/>
        <w:sz w:val="24"/>
      </w:rPr>
    </w:lvl>
  </w:abstractNum>
  <w:abstractNum w:abstractNumId="27">
    <w:nsid w:val="44AD6920"/>
    <w:multiLevelType w:val="hybridMultilevel"/>
    <w:tmpl w:val="2ED29D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7C628CE"/>
    <w:multiLevelType w:val="hybridMultilevel"/>
    <w:tmpl w:val="36D4CC4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493B131F"/>
    <w:multiLevelType w:val="hybridMultilevel"/>
    <w:tmpl w:val="F992DE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A9E4711"/>
    <w:multiLevelType w:val="hybridMultilevel"/>
    <w:tmpl w:val="8F04F012"/>
    <w:lvl w:ilvl="0" w:tplc="8160AE36">
      <w:start w:val="1"/>
      <w:numFmt w:val="lowerLetter"/>
      <w:lvlText w:val="%1."/>
      <w:lvlJc w:val="left"/>
      <w:pPr>
        <w:ind w:left="1440" w:hanging="360"/>
      </w:pPr>
      <w:rPr>
        <w:rFonts w:hint="default"/>
        <w:sz w:val="24"/>
        <w:szCs w:val="3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4C4F37DA"/>
    <w:multiLevelType w:val="hybridMultilevel"/>
    <w:tmpl w:val="2D4C1EC8"/>
    <w:lvl w:ilvl="0" w:tplc="3050BAA8">
      <w:start w:val="1"/>
      <w:numFmt w:val="lowerLetter"/>
      <w:lvlText w:val="%1."/>
      <w:lvlJc w:val="left"/>
      <w:pPr>
        <w:ind w:left="2160" w:hanging="360"/>
      </w:pPr>
      <w:rPr>
        <w:rFonts w:hint="default"/>
        <w:sz w:val="24"/>
        <w:szCs w:val="3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4E696503"/>
    <w:multiLevelType w:val="hybridMultilevel"/>
    <w:tmpl w:val="2EF6DA3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3050BAA8">
      <w:start w:val="1"/>
      <w:numFmt w:val="lowerLetter"/>
      <w:lvlText w:val="%3."/>
      <w:lvlJc w:val="left"/>
      <w:pPr>
        <w:ind w:left="2160" w:hanging="180"/>
      </w:pPr>
      <w:rPr>
        <w:rFonts w:hint="default"/>
        <w:sz w:val="24"/>
        <w:szCs w:val="3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F983E8B"/>
    <w:multiLevelType w:val="hybridMultilevel"/>
    <w:tmpl w:val="95BCC7BE"/>
    <w:lvl w:ilvl="0" w:tplc="30BCE7D0">
      <w:start w:val="1"/>
      <w:numFmt w:val="lowerLetter"/>
      <w:suff w:val="space"/>
      <w:lvlText w:val="%1."/>
      <w:lvlJc w:val="left"/>
      <w:pPr>
        <w:ind w:left="1080" w:firstLine="0"/>
      </w:pPr>
      <w:rPr>
        <w:rFonts w:hint="default"/>
        <w:sz w:val="24"/>
        <w:szCs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522476C7"/>
    <w:multiLevelType w:val="hybridMultilevel"/>
    <w:tmpl w:val="F65E0C32"/>
    <w:lvl w:ilvl="0" w:tplc="D8609342">
      <w:start w:val="1"/>
      <w:numFmt w:val="decimal"/>
      <w:suff w:val="space"/>
      <w:lvlText w:val="%1."/>
      <w:lvlJc w:val="left"/>
      <w:pPr>
        <w:ind w:left="1080" w:hanging="360"/>
      </w:pPr>
      <w:rPr>
        <w:rFonts w:hint="default"/>
        <w:color w:val="auto"/>
        <w:sz w:val="24"/>
        <w:szCs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527067DE"/>
    <w:multiLevelType w:val="hybridMultilevel"/>
    <w:tmpl w:val="156A08A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nsid w:val="5750676F"/>
    <w:multiLevelType w:val="hybridMultilevel"/>
    <w:tmpl w:val="BBA66D1C"/>
    <w:lvl w:ilvl="0" w:tplc="0ACA222E">
      <w:start w:val="1"/>
      <w:numFmt w:val="bullet"/>
      <w:pStyle w:val="StyleHeading1Left0Hanging025"/>
      <w:lvlText w:val="o"/>
      <w:lvlJc w:val="left"/>
      <w:pPr>
        <w:tabs>
          <w:tab w:val="num" w:pos="360"/>
        </w:tabs>
        <w:ind w:left="720" w:hanging="360"/>
      </w:pPr>
      <w:rPr>
        <w:rFonts w:ascii="Courier New" w:hAnsi="Courier New" w:hint="default"/>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B3A1890"/>
    <w:multiLevelType w:val="hybridMultilevel"/>
    <w:tmpl w:val="03A07BEE"/>
    <w:lvl w:ilvl="0" w:tplc="D8D8818C">
      <w:start w:val="1"/>
      <w:numFmt w:val="lowerLetter"/>
      <w:suff w:val="space"/>
      <w:lvlText w:val="%1."/>
      <w:lvlJc w:val="left"/>
      <w:pPr>
        <w:ind w:left="1440" w:hanging="360"/>
      </w:pPr>
      <w:rPr>
        <w:rFonts w:ascii="Times New Roman" w:hAnsi="Times New Roman" w:hint="default"/>
        <w:sz w:val="24"/>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B7D1DBB"/>
    <w:multiLevelType w:val="hybridMultilevel"/>
    <w:tmpl w:val="9724EA56"/>
    <w:lvl w:ilvl="0" w:tplc="28046788">
      <w:start w:val="1"/>
      <w:numFmt w:val="lowerRoman"/>
      <w:lvlText w:val="%1."/>
      <w:lvlJc w:val="left"/>
      <w:pPr>
        <w:ind w:left="2880" w:hanging="360"/>
      </w:pPr>
      <w:rPr>
        <w:rFonts w:hint="default"/>
        <w:sz w:val="24"/>
        <w:szCs w:val="32"/>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9">
    <w:nsid w:val="5FFC1043"/>
    <w:multiLevelType w:val="hybridMultilevel"/>
    <w:tmpl w:val="6C08E7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63864E9F"/>
    <w:multiLevelType w:val="hybridMultilevel"/>
    <w:tmpl w:val="7FA0C0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64FC551A"/>
    <w:multiLevelType w:val="hybridMultilevel"/>
    <w:tmpl w:val="A97207D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nsid w:val="66AB0729"/>
    <w:multiLevelType w:val="hybridMultilevel"/>
    <w:tmpl w:val="DE9EFE52"/>
    <w:lvl w:ilvl="0" w:tplc="15C801F2">
      <w:start w:val="1"/>
      <w:numFmt w:val="decimal"/>
      <w:suff w:val="space"/>
      <w:lvlText w:val="%1."/>
      <w:lvlJc w:val="left"/>
      <w:pPr>
        <w:ind w:left="1152" w:hanging="432"/>
      </w:pPr>
      <w:rPr>
        <w:rFonts w:hint="default"/>
        <w:color w:val="auto"/>
        <w:sz w:val="24"/>
        <w:szCs w:val="3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66EC3BF4"/>
    <w:multiLevelType w:val="hybridMultilevel"/>
    <w:tmpl w:val="A60CBF16"/>
    <w:lvl w:ilvl="0" w:tplc="1D3260D8">
      <w:start w:val="1"/>
      <w:numFmt w:val="decimal"/>
      <w:suff w:val="space"/>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675164D2"/>
    <w:multiLevelType w:val="hybridMultilevel"/>
    <w:tmpl w:val="50C03C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7602015"/>
    <w:multiLevelType w:val="hybridMultilevel"/>
    <w:tmpl w:val="6FF4786A"/>
    <w:lvl w:ilvl="0" w:tplc="20AE17C4">
      <w:start w:val="1"/>
      <w:numFmt w:val="lowerRoman"/>
      <w:pStyle w:val="Heading4"/>
      <w:lvlText w:val="%1."/>
      <w:lvlJc w:val="left"/>
      <w:pPr>
        <w:ind w:left="1800" w:hanging="360"/>
      </w:pPr>
      <w:rPr>
        <w:rFonts w:ascii="Times New Roman" w:hAnsi="Times New Roman" w:cs="Times New Roman" w:hint="default"/>
        <w:b w:val="0"/>
        <w:sz w:val="24"/>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6DAB0F32"/>
    <w:multiLevelType w:val="hybridMultilevel"/>
    <w:tmpl w:val="426ED2B4"/>
    <w:lvl w:ilvl="0" w:tplc="28046788">
      <w:start w:val="1"/>
      <w:numFmt w:val="lowerRoman"/>
      <w:lvlText w:val="%1."/>
      <w:lvlJc w:val="left"/>
      <w:pPr>
        <w:ind w:left="2880" w:hanging="360"/>
      </w:pPr>
      <w:rPr>
        <w:rFonts w:hint="default"/>
        <w:sz w:val="24"/>
        <w:szCs w:val="32"/>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7">
    <w:nsid w:val="6DE41B9A"/>
    <w:multiLevelType w:val="hybridMultilevel"/>
    <w:tmpl w:val="271CD054"/>
    <w:lvl w:ilvl="0" w:tplc="5D76FB0E">
      <w:start w:val="1"/>
      <w:numFmt w:val="decimal"/>
      <w:lvlText w:val="%1."/>
      <w:lvlJc w:val="left"/>
      <w:pPr>
        <w:ind w:left="1080" w:hanging="360"/>
      </w:pPr>
      <w:rPr>
        <w:rFonts w:hint="default"/>
        <w:color w:val="auto"/>
        <w:sz w:val="24"/>
        <w:szCs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00409B0"/>
    <w:multiLevelType w:val="hybridMultilevel"/>
    <w:tmpl w:val="2BC23EE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3E86A16"/>
    <w:multiLevelType w:val="hybridMultilevel"/>
    <w:tmpl w:val="8DFEC0DC"/>
    <w:lvl w:ilvl="0" w:tplc="E5A8068C">
      <w:start w:val="1"/>
      <w:numFmt w:val="lowerLetter"/>
      <w:suff w:val="space"/>
      <w:lvlText w:val="%1."/>
      <w:lvlJc w:val="left"/>
      <w:pPr>
        <w:ind w:left="2160" w:hanging="360"/>
      </w:pPr>
      <w:rPr>
        <w:rFonts w:hint="default"/>
        <w:sz w:val="24"/>
        <w:szCs w:val="3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0">
    <w:nsid w:val="7491410B"/>
    <w:multiLevelType w:val="hybridMultilevel"/>
    <w:tmpl w:val="62A4BA26"/>
    <w:lvl w:ilvl="0" w:tplc="B85AD8CE">
      <w:start w:val="3"/>
      <w:numFmt w:val="decimal"/>
      <w:pStyle w:val="Heading2"/>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75B72FB2"/>
    <w:multiLevelType w:val="hybridMultilevel"/>
    <w:tmpl w:val="E908867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
    <w:nsid w:val="763067CF"/>
    <w:multiLevelType w:val="hybridMultilevel"/>
    <w:tmpl w:val="3C202A5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3">
    <w:nsid w:val="799C1CD5"/>
    <w:multiLevelType w:val="hybridMultilevel"/>
    <w:tmpl w:val="37448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CA802B9"/>
    <w:multiLevelType w:val="hybridMultilevel"/>
    <w:tmpl w:val="95A4623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5">
    <w:nsid w:val="7E0D7C18"/>
    <w:multiLevelType w:val="hybridMultilevel"/>
    <w:tmpl w:val="032871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7FF35EC5"/>
    <w:multiLevelType w:val="hybridMultilevel"/>
    <w:tmpl w:val="FC9A2CE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num>
  <w:num w:numId="3">
    <w:abstractNumId w:val="9"/>
  </w:num>
  <w:num w:numId="4">
    <w:abstractNumId w:val="45"/>
  </w:num>
  <w:num w:numId="5">
    <w:abstractNumId w:val="36"/>
  </w:num>
  <w:num w:numId="6">
    <w:abstractNumId w:val="26"/>
  </w:num>
  <w:num w:numId="7">
    <w:abstractNumId w:val="37"/>
  </w:num>
  <w:num w:numId="8">
    <w:abstractNumId w:val="15"/>
  </w:num>
  <w:num w:numId="9">
    <w:abstractNumId w:val="22"/>
  </w:num>
  <w:num w:numId="10">
    <w:abstractNumId w:val="24"/>
  </w:num>
  <w:num w:numId="11">
    <w:abstractNumId w:val="16"/>
  </w:num>
  <w:num w:numId="12">
    <w:abstractNumId w:val="42"/>
  </w:num>
  <w:num w:numId="13">
    <w:abstractNumId w:val="3"/>
  </w:num>
  <w:num w:numId="14">
    <w:abstractNumId w:val="4"/>
  </w:num>
  <w:num w:numId="15">
    <w:abstractNumId w:val="34"/>
  </w:num>
  <w:num w:numId="16">
    <w:abstractNumId w:val="48"/>
  </w:num>
  <w:num w:numId="17">
    <w:abstractNumId w:val="43"/>
  </w:num>
  <w:num w:numId="18">
    <w:abstractNumId w:val="31"/>
  </w:num>
  <w:num w:numId="19">
    <w:abstractNumId w:val="49"/>
  </w:num>
  <w:num w:numId="20">
    <w:abstractNumId w:val="17"/>
  </w:num>
  <w:num w:numId="21">
    <w:abstractNumId w:val="6"/>
  </w:num>
  <w:num w:numId="22">
    <w:abstractNumId w:val="5"/>
  </w:num>
  <w:num w:numId="23">
    <w:abstractNumId w:val="44"/>
  </w:num>
  <w:num w:numId="24">
    <w:abstractNumId w:val="40"/>
  </w:num>
  <w:num w:numId="25">
    <w:abstractNumId w:val="13"/>
  </w:num>
  <w:num w:numId="26">
    <w:abstractNumId w:val="2"/>
  </w:num>
  <w:num w:numId="27">
    <w:abstractNumId w:val="35"/>
  </w:num>
  <w:num w:numId="28">
    <w:abstractNumId w:val="29"/>
  </w:num>
  <w:num w:numId="29">
    <w:abstractNumId w:val="39"/>
  </w:num>
  <w:num w:numId="30">
    <w:abstractNumId w:val="14"/>
  </w:num>
  <w:num w:numId="31">
    <w:abstractNumId w:val="18"/>
  </w:num>
  <w:num w:numId="32">
    <w:abstractNumId w:val="41"/>
  </w:num>
  <w:num w:numId="33">
    <w:abstractNumId w:val="7"/>
  </w:num>
  <w:num w:numId="34">
    <w:abstractNumId w:val="32"/>
  </w:num>
  <w:num w:numId="35">
    <w:abstractNumId w:val="55"/>
  </w:num>
  <w:num w:numId="36">
    <w:abstractNumId w:val="52"/>
  </w:num>
  <w:num w:numId="37">
    <w:abstractNumId w:val="54"/>
  </w:num>
  <w:num w:numId="38">
    <w:abstractNumId w:val="19"/>
  </w:num>
  <w:num w:numId="39">
    <w:abstractNumId w:val="51"/>
  </w:num>
  <w:num w:numId="40">
    <w:abstractNumId w:val="38"/>
  </w:num>
  <w:num w:numId="41">
    <w:abstractNumId w:val="46"/>
  </w:num>
  <w:num w:numId="42">
    <w:abstractNumId w:val="11"/>
  </w:num>
  <w:num w:numId="43">
    <w:abstractNumId w:val="28"/>
  </w:num>
  <w:num w:numId="44">
    <w:abstractNumId w:val="23"/>
  </w:num>
  <w:num w:numId="45">
    <w:abstractNumId w:val="27"/>
  </w:num>
  <w:num w:numId="46">
    <w:abstractNumId w:val="56"/>
  </w:num>
  <w:num w:numId="47">
    <w:abstractNumId w:val="21"/>
  </w:num>
  <w:num w:numId="48">
    <w:abstractNumId w:val="20"/>
  </w:num>
  <w:num w:numId="49">
    <w:abstractNumId w:val="53"/>
  </w:num>
  <w:num w:numId="50">
    <w:abstractNumId w:val="12"/>
  </w:num>
  <w:num w:numId="51">
    <w:abstractNumId w:val="47"/>
  </w:num>
  <w:num w:numId="52">
    <w:abstractNumId w:val="10"/>
  </w:num>
  <w:num w:numId="53">
    <w:abstractNumId w:val="30"/>
  </w:num>
  <w:num w:numId="54">
    <w:abstractNumId w:val="25"/>
  </w:num>
  <w:num w:numId="55">
    <w:abstractNumId w:val="33"/>
  </w:num>
  <w:num w:numId="56">
    <w:abstractNumId w:val="8"/>
  </w:num>
  <w:num w:numId="57">
    <w:abstractNumId w:val="5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1784"/>
    <w:rsid w:val="00023E39"/>
    <w:rsid w:val="00031CC5"/>
    <w:rsid w:val="0003667C"/>
    <w:rsid w:val="0003744F"/>
    <w:rsid w:val="00064AE7"/>
    <w:rsid w:val="00071C87"/>
    <w:rsid w:val="00096975"/>
    <w:rsid w:val="000A0F4C"/>
    <w:rsid w:val="000B4E76"/>
    <w:rsid w:val="000C18F0"/>
    <w:rsid w:val="000C4B1E"/>
    <w:rsid w:val="000E0A27"/>
    <w:rsid w:val="000E163F"/>
    <w:rsid w:val="000F4BF4"/>
    <w:rsid w:val="0010141E"/>
    <w:rsid w:val="001063AC"/>
    <w:rsid w:val="001110C2"/>
    <w:rsid w:val="001437FC"/>
    <w:rsid w:val="00152402"/>
    <w:rsid w:val="001577A7"/>
    <w:rsid w:val="00170591"/>
    <w:rsid w:val="00170E83"/>
    <w:rsid w:val="001760E4"/>
    <w:rsid w:val="00176CC0"/>
    <w:rsid w:val="00181F9C"/>
    <w:rsid w:val="001A3E1B"/>
    <w:rsid w:val="001A4C12"/>
    <w:rsid w:val="001A5860"/>
    <w:rsid w:val="001E7A01"/>
    <w:rsid w:val="001F2239"/>
    <w:rsid w:val="00226D84"/>
    <w:rsid w:val="002373DE"/>
    <w:rsid w:val="00247C5F"/>
    <w:rsid w:val="002653B4"/>
    <w:rsid w:val="0027501F"/>
    <w:rsid w:val="00287A8A"/>
    <w:rsid w:val="0029390E"/>
    <w:rsid w:val="002D6B9B"/>
    <w:rsid w:val="002E7B99"/>
    <w:rsid w:val="00335CE7"/>
    <w:rsid w:val="00340D75"/>
    <w:rsid w:val="003539ED"/>
    <w:rsid w:val="00367E9E"/>
    <w:rsid w:val="00371D82"/>
    <w:rsid w:val="00373D60"/>
    <w:rsid w:val="00384EF7"/>
    <w:rsid w:val="00386DD3"/>
    <w:rsid w:val="00391495"/>
    <w:rsid w:val="00393BF7"/>
    <w:rsid w:val="00397966"/>
    <w:rsid w:val="003A0899"/>
    <w:rsid w:val="003A3128"/>
    <w:rsid w:val="003B01CE"/>
    <w:rsid w:val="003B14AA"/>
    <w:rsid w:val="003D3618"/>
    <w:rsid w:val="003D3F77"/>
    <w:rsid w:val="003D7B35"/>
    <w:rsid w:val="003F4FC5"/>
    <w:rsid w:val="004056E3"/>
    <w:rsid w:val="0042102C"/>
    <w:rsid w:val="00426177"/>
    <w:rsid w:val="004303B5"/>
    <w:rsid w:val="004319D3"/>
    <w:rsid w:val="00434422"/>
    <w:rsid w:val="0048112C"/>
    <w:rsid w:val="004909D9"/>
    <w:rsid w:val="00490FE7"/>
    <w:rsid w:val="00493F41"/>
    <w:rsid w:val="004A1F29"/>
    <w:rsid w:val="004A304F"/>
    <w:rsid w:val="004B39E9"/>
    <w:rsid w:val="004D14F1"/>
    <w:rsid w:val="004D7198"/>
    <w:rsid w:val="0051639E"/>
    <w:rsid w:val="00517499"/>
    <w:rsid w:val="00517530"/>
    <w:rsid w:val="00524F38"/>
    <w:rsid w:val="00544B24"/>
    <w:rsid w:val="0054595E"/>
    <w:rsid w:val="00561DB9"/>
    <w:rsid w:val="005631B8"/>
    <w:rsid w:val="00564ABC"/>
    <w:rsid w:val="00565309"/>
    <w:rsid w:val="0058341F"/>
    <w:rsid w:val="00584157"/>
    <w:rsid w:val="00587D61"/>
    <w:rsid w:val="005A00D0"/>
    <w:rsid w:val="005C2651"/>
    <w:rsid w:val="005D020F"/>
    <w:rsid w:val="005F482E"/>
    <w:rsid w:val="006033FE"/>
    <w:rsid w:val="006059C1"/>
    <w:rsid w:val="00661A41"/>
    <w:rsid w:val="0066575E"/>
    <w:rsid w:val="00675900"/>
    <w:rsid w:val="00691E32"/>
    <w:rsid w:val="006A02F3"/>
    <w:rsid w:val="006A5DF8"/>
    <w:rsid w:val="006B1D64"/>
    <w:rsid w:val="006D4EC7"/>
    <w:rsid w:val="006E6ED0"/>
    <w:rsid w:val="007114E7"/>
    <w:rsid w:val="00721784"/>
    <w:rsid w:val="00731EB4"/>
    <w:rsid w:val="00751A73"/>
    <w:rsid w:val="00795DCE"/>
    <w:rsid w:val="0079612C"/>
    <w:rsid w:val="007A4A05"/>
    <w:rsid w:val="007A7578"/>
    <w:rsid w:val="007D087F"/>
    <w:rsid w:val="007E15B9"/>
    <w:rsid w:val="00817B34"/>
    <w:rsid w:val="00827392"/>
    <w:rsid w:val="0083030C"/>
    <w:rsid w:val="00830696"/>
    <w:rsid w:val="00842169"/>
    <w:rsid w:val="00853BD0"/>
    <w:rsid w:val="00873DEF"/>
    <w:rsid w:val="0088671F"/>
    <w:rsid w:val="008871AC"/>
    <w:rsid w:val="008944C3"/>
    <w:rsid w:val="00895055"/>
    <w:rsid w:val="008A0A18"/>
    <w:rsid w:val="008A3288"/>
    <w:rsid w:val="008B55DA"/>
    <w:rsid w:val="008D1308"/>
    <w:rsid w:val="008F277F"/>
    <w:rsid w:val="009133E5"/>
    <w:rsid w:val="00917D34"/>
    <w:rsid w:val="0092687C"/>
    <w:rsid w:val="00940DDE"/>
    <w:rsid w:val="00940E8F"/>
    <w:rsid w:val="00951FE8"/>
    <w:rsid w:val="009521AE"/>
    <w:rsid w:val="00957B11"/>
    <w:rsid w:val="00962969"/>
    <w:rsid w:val="0097355C"/>
    <w:rsid w:val="00993206"/>
    <w:rsid w:val="009A4066"/>
    <w:rsid w:val="009A5169"/>
    <w:rsid w:val="009A5332"/>
    <w:rsid w:val="009B7166"/>
    <w:rsid w:val="009D36FD"/>
    <w:rsid w:val="009D786D"/>
    <w:rsid w:val="00A12064"/>
    <w:rsid w:val="00A21CCE"/>
    <w:rsid w:val="00A23F8D"/>
    <w:rsid w:val="00A4110B"/>
    <w:rsid w:val="00A60B0D"/>
    <w:rsid w:val="00A95D16"/>
    <w:rsid w:val="00A96019"/>
    <w:rsid w:val="00A96CA0"/>
    <w:rsid w:val="00AB0B85"/>
    <w:rsid w:val="00AD030D"/>
    <w:rsid w:val="00AE13F5"/>
    <w:rsid w:val="00AE224E"/>
    <w:rsid w:val="00B2059F"/>
    <w:rsid w:val="00B241C1"/>
    <w:rsid w:val="00B30B72"/>
    <w:rsid w:val="00B31FFB"/>
    <w:rsid w:val="00B457B7"/>
    <w:rsid w:val="00B469BF"/>
    <w:rsid w:val="00B626A2"/>
    <w:rsid w:val="00B638AC"/>
    <w:rsid w:val="00B955C7"/>
    <w:rsid w:val="00B96683"/>
    <w:rsid w:val="00BA452B"/>
    <w:rsid w:val="00BA6282"/>
    <w:rsid w:val="00BB4279"/>
    <w:rsid w:val="00BC73D7"/>
    <w:rsid w:val="00BE1334"/>
    <w:rsid w:val="00BE2FEE"/>
    <w:rsid w:val="00C02504"/>
    <w:rsid w:val="00C0457D"/>
    <w:rsid w:val="00C04DCA"/>
    <w:rsid w:val="00C10A7B"/>
    <w:rsid w:val="00C20DD6"/>
    <w:rsid w:val="00C452B0"/>
    <w:rsid w:val="00C7003D"/>
    <w:rsid w:val="00C77538"/>
    <w:rsid w:val="00C81A67"/>
    <w:rsid w:val="00C86F60"/>
    <w:rsid w:val="00CA3C2C"/>
    <w:rsid w:val="00CB44C7"/>
    <w:rsid w:val="00CC66AD"/>
    <w:rsid w:val="00CD740B"/>
    <w:rsid w:val="00CF4DCC"/>
    <w:rsid w:val="00D14F8C"/>
    <w:rsid w:val="00D23254"/>
    <w:rsid w:val="00D234A1"/>
    <w:rsid w:val="00D349C9"/>
    <w:rsid w:val="00D466F3"/>
    <w:rsid w:val="00DC2B09"/>
    <w:rsid w:val="00DD1290"/>
    <w:rsid w:val="00DD3355"/>
    <w:rsid w:val="00DD45CF"/>
    <w:rsid w:val="00DE2609"/>
    <w:rsid w:val="00DE399D"/>
    <w:rsid w:val="00DE3EA4"/>
    <w:rsid w:val="00DE6088"/>
    <w:rsid w:val="00DF4BA3"/>
    <w:rsid w:val="00E0256E"/>
    <w:rsid w:val="00E05F22"/>
    <w:rsid w:val="00E3144A"/>
    <w:rsid w:val="00E3364B"/>
    <w:rsid w:val="00E44969"/>
    <w:rsid w:val="00E44F54"/>
    <w:rsid w:val="00E52C33"/>
    <w:rsid w:val="00E61584"/>
    <w:rsid w:val="00E731C3"/>
    <w:rsid w:val="00E7768C"/>
    <w:rsid w:val="00E82715"/>
    <w:rsid w:val="00EB2DDB"/>
    <w:rsid w:val="00EC344B"/>
    <w:rsid w:val="00EC7803"/>
    <w:rsid w:val="00EE471B"/>
    <w:rsid w:val="00F02276"/>
    <w:rsid w:val="00F06FCD"/>
    <w:rsid w:val="00F10DBA"/>
    <w:rsid w:val="00F2155F"/>
    <w:rsid w:val="00F3030A"/>
    <w:rsid w:val="00F33C1D"/>
    <w:rsid w:val="00F3774A"/>
    <w:rsid w:val="00F41F13"/>
    <w:rsid w:val="00F67068"/>
    <w:rsid w:val="00F747C0"/>
    <w:rsid w:val="00F82658"/>
    <w:rsid w:val="00FB1238"/>
    <w:rsid w:val="00FC3150"/>
    <w:rsid w:val="00FE39A9"/>
    <w:rsid w:val="00FF2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rsid w:val="005F482E"/>
    <w:pPr>
      <w:numPr>
        <w:numId w:val="3"/>
      </w:numPr>
      <w:spacing w:before="120" w:after="120"/>
      <w:contextualSpacing/>
      <w:outlineLvl w:val="0"/>
    </w:pPr>
    <w:rPr>
      <w:bCs/>
      <w:szCs w:val="24"/>
    </w:rPr>
  </w:style>
  <w:style w:type="paragraph" w:styleId="Heading2">
    <w:name w:val="heading 2"/>
    <w:basedOn w:val="Normal"/>
    <w:next w:val="Normal"/>
    <w:autoRedefine/>
    <w:qFormat/>
    <w:rsid w:val="006A02F3"/>
    <w:pPr>
      <w:numPr>
        <w:numId w:val="57"/>
      </w:numPr>
      <w:suppressAutoHyphens/>
      <w:spacing w:before="120" w:after="120"/>
      <w:contextualSpacing/>
      <w:outlineLvl w:val="1"/>
    </w:pPr>
    <w:rPr>
      <w:bCs/>
      <w:szCs w:val="24"/>
    </w:rPr>
  </w:style>
  <w:style w:type="paragraph" w:styleId="Heading3">
    <w:name w:val="heading 3"/>
    <w:basedOn w:val="Normal"/>
    <w:next w:val="Normal"/>
    <w:autoRedefine/>
    <w:qFormat/>
    <w:rsid w:val="00F10DBA"/>
    <w:pPr>
      <w:keepNext/>
      <w:spacing w:before="120" w:after="120"/>
      <w:ind w:left="720"/>
      <w:contextualSpacing/>
      <w:outlineLvl w:val="2"/>
    </w:pPr>
    <w:rPr>
      <w:rFonts w:cs="Arial"/>
      <w:bCs/>
      <w:szCs w:val="24"/>
    </w:rPr>
  </w:style>
  <w:style w:type="paragraph" w:styleId="Heading4">
    <w:name w:val="heading 4"/>
    <w:basedOn w:val="Normal"/>
    <w:next w:val="Normal"/>
    <w:qFormat/>
    <w:rsid w:val="00B30B72"/>
    <w:pPr>
      <w:keepNext/>
      <w:framePr w:wrap="notBeside" w:vAnchor="text" w:hAnchor="text" w:y="1"/>
      <w:numPr>
        <w:numId w:val="4"/>
      </w:numPr>
      <w:spacing w:before="120" w:after="120"/>
      <w:outlineLvl w:val="3"/>
    </w:pPr>
    <w:rPr>
      <w:bCs/>
      <w:szCs w:val="24"/>
    </w:rPr>
  </w:style>
  <w:style w:type="paragraph" w:styleId="Heading5">
    <w:name w:val="heading 5"/>
    <w:basedOn w:val="Normal"/>
    <w:next w:val="Normal"/>
    <w:qFormat/>
    <w:rsid w:val="005F482E"/>
    <w:pPr>
      <w:numPr>
        <w:numId w:val="2"/>
      </w:numPr>
      <w:spacing w:before="240" w:after="60"/>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2880" w:hanging="720"/>
      <w:outlineLvl w:val="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1440" w:hanging="720"/>
    </w:pPr>
    <w:rPr>
      <w:sz w:val="22"/>
    </w:rPr>
  </w:style>
  <w:style w:type="paragraph" w:styleId="BodyText">
    <w:name w:val="Body Text"/>
    <w:basedOn w:val="Normal"/>
    <w:rsid w:val="00721784"/>
  </w:style>
  <w:style w:type="paragraph" w:styleId="BodyText2">
    <w:name w:val="Body Text 2"/>
    <w:basedOn w:val="Normal"/>
    <w:pPr>
      <w:jc w:val="both"/>
    </w:pPr>
    <w:rPr>
      <w:szCs w:val="24"/>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440" w:hanging="720"/>
      <w:jc w:val="both"/>
    </w:pPr>
    <w:rPr>
      <w:sz w:val="22"/>
    </w:rPr>
  </w:style>
  <w:style w:type="paragraph" w:customStyle="1" w:styleId="SectionHeader">
    <w:name w:val="Section Header"/>
    <w:basedOn w:val="BodyText"/>
    <w:rsid w:val="00CD740B"/>
    <w:pPr>
      <w:framePr w:wrap="notBeside" w:vAnchor="text" w:hAnchor="text" w:y="1"/>
    </w:pPr>
    <w:rPr>
      <w:b/>
      <w:sz w:val="28"/>
    </w:rPr>
  </w:style>
  <w:style w:type="character" w:styleId="PageNumber">
    <w:name w:val="page number"/>
    <w:basedOn w:val="DefaultParagraphFont"/>
    <w:rsid w:val="002E7B99"/>
  </w:style>
  <w:style w:type="paragraph" w:customStyle="1" w:styleId="StyleHeading1Left0Hanging025">
    <w:name w:val="Style Heading 1 + Left:  0&quot; Hanging:  0.25&quot;"/>
    <w:basedOn w:val="Heading1"/>
    <w:rsid w:val="00827392"/>
    <w:pPr>
      <w:numPr>
        <w:numId w:val="5"/>
      </w:numPr>
      <w:contextualSpacing w:val="0"/>
    </w:pPr>
    <w:rPr>
      <w:bCs w:val="0"/>
      <w:kern w:val="32"/>
      <w:szCs w:val="20"/>
    </w:rPr>
  </w:style>
  <w:style w:type="paragraph" w:styleId="BalloonText">
    <w:name w:val="Balloon Text"/>
    <w:basedOn w:val="Normal"/>
    <w:link w:val="BalloonTextChar"/>
    <w:rsid w:val="0097355C"/>
    <w:rPr>
      <w:rFonts w:ascii="Tahoma" w:hAnsi="Tahoma" w:cs="Tahoma"/>
      <w:sz w:val="16"/>
      <w:szCs w:val="16"/>
    </w:rPr>
  </w:style>
  <w:style w:type="character" w:customStyle="1" w:styleId="BalloonTextChar">
    <w:name w:val="Balloon Text Char"/>
    <w:link w:val="BalloonText"/>
    <w:rsid w:val="0097355C"/>
    <w:rPr>
      <w:rFonts w:ascii="Tahoma" w:hAnsi="Tahoma" w:cs="Tahoma"/>
      <w:snapToGrid w:val="0"/>
      <w:sz w:val="16"/>
      <w:szCs w:val="16"/>
    </w:rPr>
  </w:style>
  <w:style w:type="paragraph" w:customStyle="1" w:styleId="style1">
    <w:name w:val="style1"/>
    <w:basedOn w:val="Normal"/>
    <w:rsid w:val="00E44F54"/>
    <w:pPr>
      <w:widowControl/>
      <w:tabs>
        <w:tab w:val="left" w:pos="2880"/>
      </w:tabs>
    </w:pPr>
    <w:rPr>
      <w:rFonts w:ascii="Book Antiqua" w:hAnsi="Book Antiqua"/>
      <w:snapToGrid/>
      <w:szCs w:val="24"/>
    </w:rPr>
  </w:style>
  <w:style w:type="character" w:styleId="Emphasis">
    <w:name w:val="Emphasis"/>
    <w:qFormat/>
    <w:rsid w:val="00B626A2"/>
    <w:rPr>
      <w:i/>
      <w:iCs/>
    </w:rPr>
  </w:style>
  <w:style w:type="paragraph" w:styleId="NormalIndent">
    <w:name w:val="Normal Indent"/>
    <w:basedOn w:val="Normal"/>
    <w:rsid w:val="006E6ED0"/>
    <w:pPr>
      <w:widowControl/>
      <w:ind w:left="720"/>
    </w:pPr>
    <w:rPr>
      <w:rFonts w:ascii="Book Antiqua" w:hAnsi="Book Antiqua"/>
      <w:snapToGrid/>
      <w:szCs w:val="24"/>
    </w:rPr>
  </w:style>
  <w:style w:type="paragraph" w:customStyle="1" w:styleId="HEADING40">
    <w:name w:val="HEADING4"/>
    <w:basedOn w:val="Normal"/>
    <w:rsid w:val="006E6ED0"/>
    <w:pPr>
      <w:widowControl/>
      <w:spacing w:before="120"/>
    </w:pPr>
    <w:rPr>
      <w:rFonts w:ascii="Book Antiqua" w:hAnsi="Book Antiqua"/>
      <w:b/>
      <w:bCs/>
      <w:snapToGrid/>
      <w:szCs w:val="24"/>
    </w:rPr>
  </w:style>
  <w:style w:type="paragraph" w:styleId="BodyText3">
    <w:name w:val="Body Text 3"/>
    <w:basedOn w:val="Normal"/>
    <w:link w:val="BodyText3Char"/>
    <w:rsid w:val="00517530"/>
    <w:pPr>
      <w:spacing w:after="120"/>
    </w:pPr>
    <w:rPr>
      <w:sz w:val="16"/>
      <w:szCs w:val="16"/>
    </w:rPr>
  </w:style>
  <w:style w:type="character" w:customStyle="1" w:styleId="BodyText3Char">
    <w:name w:val="Body Text 3 Char"/>
    <w:basedOn w:val="DefaultParagraphFont"/>
    <w:link w:val="BodyText3"/>
    <w:rsid w:val="00517530"/>
    <w:rPr>
      <w:snapToGrid w:val="0"/>
      <w:sz w:val="16"/>
      <w:szCs w:val="16"/>
    </w:rPr>
  </w:style>
  <w:style w:type="character" w:styleId="Hyperlink">
    <w:name w:val="Hyperlink"/>
    <w:rsid w:val="00517530"/>
    <w:rPr>
      <w:color w:val="0000FF"/>
      <w:u w:val="single"/>
    </w:rPr>
  </w:style>
  <w:style w:type="paragraph" w:styleId="ListParagraph">
    <w:name w:val="List Paragraph"/>
    <w:basedOn w:val="Normal"/>
    <w:uiPriority w:val="34"/>
    <w:qFormat/>
    <w:rsid w:val="007114E7"/>
    <w:pPr>
      <w:widowControl/>
      <w:ind w:left="720"/>
      <w:contextualSpacing/>
    </w:pPr>
    <w:rPr>
      <w:rFonts w:ascii="Book Antiqua" w:hAnsi="Book Antiqua"/>
      <w:snapToGrid/>
      <w:szCs w:val="24"/>
    </w:rPr>
  </w:style>
  <w:style w:type="paragraph" w:customStyle="1" w:styleId="Default">
    <w:name w:val="Default"/>
    <w:rsid w:val="00340D75"/>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20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E3CE8-0BDA-4EDE-B914-969623767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1762</TotalTime>
  <Pages>15</Pages>
  <Words>3851</Words>
  <Characters>21957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A quantitative chromogenic determination of the functional activity of Antithrombin (ATIII) in patient plasma is performed by the following method:  Antithrombin in the presence of  heparin accelerates the inactivation of the reagent thrombin provided in</vt:lpstr>
    </vt:vector>
  </TitlesOfParts>
  <Company>...........</Company>
  <LinksUpToDate>false</LinksUpToDate>
  <CharactersWithSpaces>25757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quantitative chromogenic determination of the functional activity of Antithrombin (ATIII) in patient plasma is performed by the following method:  Antithrombin in the presence of  heparin accelerates the inactivation of the reagent thrombin provided in</dc:title>
  <dc:creator>Leslie Freeman</dc:creator>
  <cp:lastModifiedBy>ntwadmin</cp:lastModifiedBy>
  <cp:revision>29</cp:revision>
  <cp:lastPrinted>2015-03-04T19:30:00Z</cp:lastPrinted>
  <dcterms:created xsi:type="dcterms:W3CDTF">2015-02-11T22:24:00Z</dcterms:created>
  <dcterms:modified xsi:type="dcterms:W3CDTF">2015-03-04T19:38:00Z</dcterms:modified>
</cp:coreProperties>
</file>