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17CE0" w14:textId="77777777" w:rsidR="0026140C" w:rsidRDefault="0026140C" w:rsidP="0026140C">
      <w:pPr>
        <w:rPr>
          <w:rFonts w:cs="Calibri"/>
        </w:rPr>
      </w:pPr>
      <w:bookmarkStart w:id="0" w:name="_GoBack"/>
      <w:bookmarkEnd w:id="0"/>
    </w:p>
    <w:p w14:paraId="31A08BF8" w14:textId="77777777" w:rsidR="0026140C" w:rsidRPr="000234BB" w:rsidRDefault="00E857D7"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1E39A5">
            <w:rPr>
              <w:rFonts w:cs="Calibri"/>
              <w:b/>
              <w:sz w:val="24"/>
              <w:szCs w:val="24"/>
            </w:rPr>
            <w:t>BB.Issue.18.0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1E39A5">
            <w:rPr>
              <w:rFonts w:cs="Calibri"/>
              <w:b/>
              <w:sz w:val="24"/>
              <w:szCs w:val="24"/>
            </w:rPr>
            <w:t>Shockwatch Temp Indicators</w:t>
          </w:r>
        </w:sdtContent>
      </w:sdt>
    </w:p>
    <w:p w14:paraId="772686D3" w14:textId="77777777" w:rsidR="001E39A5" w:rsidRPr="000234BB" w:rsidRDefault="001E39A5" w:rsidP="001E39A5">
      <w:pPr>
        <w:rPr>
          <w:rFonts w:cs="Calibri"/>
          <w:b/>
        </w:rPr>
      </w:pPr>
      <w:r w:rsidRPr="000234BB">
        <w:rPr>
          <w:rFonts w:cs="Calibri"/>
          <w:b/>
        </w:rPr>
        <w:t>STATEMENT OF PURPOSE</w:t>
      </w:r>
    </w:p>
    <w:p w14:paraId="1C0F55C6" w14:textId="77777777" w:rsidR="001E39A5" w:rsidRPr="000857B0" w:rsidRDefault="001E39A5" w:rsidP="001E39A5">
      <w:pPr>
        <w:rPr>
          <w:rFonts w:cs="Calibri"/>
        </w:rPr>
      </w:pPr>
      <w:r>
        <w:rPr>
          <w:rFonts w:cs="Calibri"/>
        </w:rPr>
        <w:t>The purpose of this procedure is to outline the use of ShockWatch WarmMark® Temperature Indicators.</w:t>
      </w:r>
    </w:p>
    <w:p w14:paraId="135A4FFE" w14:textId="77777777" w:rsidR="001E39A5" w:rsidRPr="000234BB" w:rsidRDefault="001E39A5" w:rsidP="001E39A5">
      <w:pPr>
        <w:rPr>
          <w:rFonts w:cs="Calibri"/>
          <w:b/>
        </w:rPr>
      </w:pPr>
      <w:r w:rsidRPr="000234BB">
        <w:rPr>
          <w:rFonts w:cs="Calibri"/>
          <w:b/>
        </w:rPr>
        <w:t>SCOPE</w:t>
      </w:r>
    </w:p>
    <w:p w14:paraId="0ABB8C8F" w14:textId="77777777" w:rsidR="001E39A5" w:rsidRPr="000857B0" w:rsidRDefault="001E39A5" w:rsidP="001E39A5">
      <w:pPr>
        <w:rPr>
          <w:rFonts w:cs="Calibri"/>
        </w:rPr>
      </w:pPr>
      <w:r>
        <w:rPr>
          <w:rFonts w:cs="Calibri"/>
        </w:rPr>
        <w:t>The procedure applies to all MACL blood banks that use the ShockWatch WarmMark ® Temperature Indicators.</w:t>
      </w:r>
    </w:p>
    <w:p w14:paraId="580BEFC9" w14:textId="77777777" w:rsidR="001E39A5" w:rsidRPr="000234BB" w:rsidRDefault="001E39A5" w:rsidP="001E39A5">
      <w:pPr>
        <w:rPr>
          <w:rFonts w:cs="Calibri"/>
          <w:b/>
        </w:rPr>
      </w:pPr>
      <w:r w:rsidRPr="000234BB">
        <w:rPr>
          <w:rFonts w:cs="Calibri"/>
          <w:b/>
        </w:rPr>
        <w:t>RELATED DOCUMENTS</w:t>
      </w:r>
    </w:p>
    <w:p w14:paraId="5CFAE7CE" w14:textId="77777777" w:rsidR="001E39A5" w:rsidRDefault="001E39A5" w:rsidP="001E39A5">
      <w:pPr>
        <w:spacing w:after="0" w:line="240" w:lineRule="auto"/>
        <w:rPr>
          <w:rFonts w:cs="Calibri"/>
        </w:rPr>
      </w:pPr>
      <w:r>
        <w:rPr>
          <w:rFonts w:cs="Calibri"/>
        </w:rPr>
        <w:t>BB.Issue.2.0</w:t>
      </w:r>
      <w:r>
        <w:rPr>
          <w:rFonts w:cs="Calibri"/>
        </w:rPr>
        <w:tab/>
        <w:t>Dispensing of Blood Components</w:t>
      </w:r>
    </w:p>
    <w:p w14:paraId="209BB85B" w14:textId="77777777" w:rsidR="001E39A5" w:rsidRDefault="001E39A5" w:rsidP="001E39A5">
      <w:pPr>
        <w:spacing w:after="0" w:line="240" w:lineRule="auto"/>
        <w:rPr>
          <w:rFonts w:cs="Calibri"/>
        </w:rPr>
      </w:pPr>
      <w:r>
        <w:rPr>
          <w:rFonts w:cs="Calibri"/>
        </w:rPr>
        <w:t>BB.QC.11.0</w:t>
      </w:r>
      <w:r>
        <w:rPr>
          <w:rFonts w:cs="Calibri"/>
        </w:rPr>
        <w:tab/>
        <w:t>Blood Bank Cooler Validation</w:t>
      </w:r>
    </w:p>
    <w:p w14:paraId="10FC51D4" w14:textId="77777777" w:rsidR="001E39A5" w:rsidRPr="000857B0" w:rsidRDefault="001E39A5" w:rsidP="001E39A5">
      <w:pPr>
        <w:spacing w:after="0" w:line="240" w:lineRule="auto"/>
        <w:rPr>
          <w:rFonts w:cs="Calibri"/>
        </w:rPr>
      </w:pPr>
    </w:p>
    <w:p w14:paraId="3ADBF288" w14:textId="77777777" w:rsidR="001E39A5" w:rsidRPr="000234BB" w:rsidRDefault="001E39A5" w:rsidP="001E39A5">
      <w:pPr>
        <w:rPr>
          <w:rFonts w:cs="Calibri"/>
          <w:b/>
        </w:rPr>
      </w:pPr>
      <w:r w:rsidRPr="000234BB">
        <w:rPr>
          <w:rFonts w:cs="Calibri"/>
          <w:b/>
        </w:rPr>
        <w:t>MATERIALS</w:t>
      </w:r>
    </w:p>
    <w:p w14:paraId="22F40DF2" w14:textId="77777777" w:rsidR="001E39A5" w:rsidRDefault="001E39A5" w:rsidP="001E39A5">
      <w:pPr>
        <w:spacing w:after="0" w:line="240" w:lineRule="auto"/>
        <w:rPr>
          <w:rFonts w:cs="Calibri"/>
        </w:rPr>
      </w:pPr>
      <w:r>
        <w:rPr>
          <w:rFonts w:cs="Calibri"/>
        </w:rPr>
        <w:t>ShockWatch WarmMark® Temperature Indicators</w:t>
      </w:r>
    </w:p>
    <w:p w14:paraId="07C7BBC8" w14:textId="77777777" w:rsidR="001E39A5" w:rsidRPr="000857B0" w:rsidRDefault="001E39A5" w:rsidP="001E39A5">
      <w:pPr>
        <w:spacing w:after="0" w:line="240" w:lineRule="auto"/>
        <w:rPr>
          <w:rFonts w:cs="Calibri"/>
        </w:rPr>
      </w:pPr>
      <w:r>
        <w:rPr>
          <w:rFonts w:cs="Calibri"/>
        </w:rPr>
        <w:t>Cool Packs (1-6</w:t>
      </w:r>
      <w:r w:rsidRPr="00237269">
        <w:rPr>
          <w:rFonts w:cs="Calibri"/>
          <w:vertAlign w:val="superscript"/>
        </w:rPr>
        <w:t>0</w:t>
      </w:r>
      <w:r>
        <w:rPr>
          <w:rFonts w:cs="Calibri"/>
        </w:rPr>
        <w:t>C)</w:t>
      </w:r>
    </w:p>
    <w:p w14:paraId="147BAA58" w14:textId="77777777" w:rsidR="001E39A5" w:rsidRPr="000857B0" w:rsidRDefault="001E39A5" w:rsidP="001E39A5">
      <w:pPr>
        <w:rPr>
          <w:rFonts w:cs="Calibri"/>
        </w:rPr>
      </w:pPr>
    </w:p>
    <w:p w14:paraId="6742BEC5" w14:textId="77777777" w:rsidR="001E39A5" w:rsidRDefault="001E39A5" w:rsidP="001E39A5">
      <w:pPr>
        <w:rPr>
          <w:rFonts w:cs="Calibri"/>
          <w:b/>
        </w:rPr>
      </w:pPr>
      <w:r>
        <w:rPr>
          <w:rFonts w:cs="Calibri"/>
          <w:b/>
        </w:rPr>
        <w:t>STORAGE</w:t>
      </w:r>
    </w:p>
    <w:p w14:paraId="069D6C61" w14:textId="77777777" w:rsidR="001E39A5" w:rsidRDefault="001E39A5" w:rsidP="001E39A5">
      <w:pPr>
        <w:pStyle w:val="ListParagraph"/>
        <w:numPr>
          <w:ilvl w:val="0"/>
          <w:numId w:val="1"/>
        </w:numPr>
        <w:rPr>
          <w:rFonts w:cs="Calibri"/>
        </w:rPr>
      </w:pPr>
      <w:r>
        <w:rPr>
          <w:rFonts w:cs="Calibri"/>
        </w:rPr>
        <w:t>ShockWatch WarmMark® must be stored in a cool, dark place, at room temperature.</w:t>
      </w:r>
    </w:p>
    <w:p w14:paraId="60536C6D" w14:textId="77777777" w:rsidR="001E39A5" w:rsidRDefault="001E39A5" w:rsidP="001E39A5">
      <w:pPr>
        <w:pStyle w:val="ListParagraph"/>
        <w:numPr>
          <w:ilvl w:val="0"/>
          <w:numId w:val="1"/>
        </w:numPr>
        <w:rPr>
          <w:rFonts w:cs="Calibri"/>
        </w:rPr>
      </w:pPr>
      <w:r>
        <w:rPr>
          <w:rFonts w:cs="Calibri"/>
        </w:rPr>
        <w:t>ShockWatch WarmMark® may be kept in the blood bank for 2 years from the date of manufacture.</w:t>
      </w:r>
    </w:p>
    <w:p w14:paraId="7B736B5C" w14:textId="77777777" w:rsidR="001E39A5" w:rsidRPr="000234BB" w:rsidRDefault="001E39A5" w:rsidP="001E39A5">
      <w:pPr>
        <w:rPr>
          <w:rFonts w:cs="Calibri"/>
          <w:b/>
        </w:rPr>
      </w:pPr>
      <w:r w:rsidRPr="000234BB">
        <w:rPr>
          <w:rFonts w:cs="Calibri"/>
          <w:b/>
        </w:rPr>
        <w:t>PROCEDURE</w:t>
      </w:r>
    </w:p>
    <w:p w14:paraId="15EA997E" w14:textId="77777777" w:rsidR="001E39A5" w:rsidRDefault="001E39A5" w:rsidP="001E39A5">
      <w:pPr>
        <w:rPr>
          <w:rFonts w:cs="Calibri"/>
        </w:rPr>
      </w:pPr>
      <w:r>
        <w:rPr>
          <w:rFonts w:cs="Calibri"/>
        </w:rPr>
        <w:t>NOTE:  In a busy blood bank environment, the use of a cold pack will help maintain the temperature of blood during the dispensing process.  It is recommended that multiple cold packs be kept in the refrigerator, and place on the surface under the blood bag during the application process and dispensing.</w:t>
      </w:r>
    </w:p>
    <w:p w14:paraId="640F2DFE" w14:textId="77777777" w:rsidR="001E39A5" w:rsidRPr="00EF0EEC" w:rsidRDefault="001E39A5" w:rsidP="001E39A5">
      <w:pPr>
        <w:rPr>
          <w:rFonts w:cs="Calibri"/>
        </w:rPr>
      </w:pPr>
    </w:p>
    <w:tbl>
      <w:tblPr>
        <w:tblStyle w:val="TableGrid"/>
        <w:tblW w:w="0" w:type="auto"/>
        <w:tblLayout w:type="fixed"/>
        <w:tblLook w:val="04A0" w:firstRow="1" w:lastRow="0" w:firstColumn="1" w:lastColumn="0" w:noHBand="0" w:noVBand="1"/>
      </w:tblPr>
      <w:tblGrid>
        <w:gridCol w:w="1008"/>
        <w:gridCol w:w="5670"/>
        <w:gridCol w:w="2898"/>
      </w:tblGrid>
      <w:tr w:rsidR="001E39A5" w14:paraId="1E1F9D66" w14:textId="77777777" w:rsidTr="0056332F">
        <w:tc>
          <w:tcPr>
            <w:tcW w:w="1008" w:type="dxa"/>
          </w:tcPr>
          <w:p w14:paraId="35646475" w14:textId="77777777" w:rsidR="001E39A5" w:rsidRPr="00EF0EEC" w:rsidRDefault="001E39A5" w:rsidP="00F34272">
            <w:pPr>
              <w:jc w:val="center"/>
              <w:rPr>
                <w:rFonts w:cs="Calibri"/>
                <w:b/>
              </w:rPr>
            </w:pPr>
            <w:r w:rsidRPr="00EF0EEC">
              <w:rPr>
                <w:rFonts w:cs="Calibri"/>
                <w:b/>
              </w:rPr>
              <w:t>Step</w:t>
            </w:r>
          </w:p>
        </w:tc>
        <w:tc>
          <w:tcPr>
            <w:tcW w:w="5670" w:type="dxa"/>
          </w:tcPr>
          <w:p w14:paraId="676EA7A8" w14:textId="77777777" w:rsidR="001E39A5" w:rsidRPr="00EF0EEC" w:rsidRDefault="001E39A5" w:rsidP="00F34272">
            <w:pPr>
              <w:jc w:val="center"/>
              <w:rPr>
                <w:rFonts w:cs="Calibri"/>
                <w:b/>
              </w:rPr>
            </w:pPr>
            <w:r w:rsidRPr="00EF0EEC">
              <w:rPr>
                <w:rFonts w:cs="Calibri"/>
                <w:b/>
              </w:rPr>
              <w:t>Action</w:t>
            </w:r>
          </w:p>
        </w:tc>
        <w:tc>
          <w:tcPr>
            <w:tcW w:w="2898" w:type="dxa"/>
          </w:tcPr>
          <w:p w14:paraId="1B22B8FE" w14:textId="77777777" w:rsidR="001E39A5" w:rsidRPr="00EF0EEC" w:rsidRDefault="001E39A5" w:rsidP="00F34272">
            <w:pPr>
              <w:jc w:val="center"/>
              <w:rPr>
                <w:rFonts w:cs="Calibri"/>
                <w:b/>
              </w:rPr>
            </w:pPr>
            <w:r w:rsidRPr="00EF0EEC">
              <w:rPr>
                <w:rFonts w:cs="Calibri"/>
                <w:b/>
              </w:rPr>
              <w:t>Notes</w:t>
            </w:r>
          </w:p>
        </w:tc>
      </w:tr>
      <w:tr w:rsidR="001E39A5" w14:paraId="599F3891" w14:textId="77777777" w:rsidTr="0056332F">
        <w:tc>
          <w:tcPr>
            <w:tcW w:w="1008" w:type="dxa"/>
          </w:tcPr>
          <w:p w14:paraId="3DE62394" w14:textId="77777777" w:rsidR="001E39A5" w:rsidRDefault="001E39A5" w:rsidP="00F34272">
            <w:pPr>
              <w:jc w:val="center"/>
              <w:rPr>
                <w:rFonts w:cs="Calibri"/>
              </w:rPr>
            </w:pPr>
            <w:r>
              <w:rPr>
                <w:rFonts w:cs="Calibri"/>
              </w:rPr>
              <w:t>1</w:t>
            </w:r>
          </w:p>
        </w:tc>
        <w:tc>
          <w:tcPr>
            <w:tcW w:w="5670" w:type="dxa"/>
          </w:tcPr>
          <w:p w14:paraId="40EFB038" w14:textId="77777777" w:rsidR="001E39A5" w:rsidRDefault="001E39A5" w:rsidP="00F34272">
            <w:pPr>
              <w:rPr>
                <w:rFonts w:cs="Calibri"/>
              </w:rPr>
            </w:pPr>
            <w:r w:rsidRPr="00EF0EEC">
              <w:rPr>
                <w:rFonts w:cs="Calibri"/>
              </w:rPr>
              <w:t xml:space="preserve">Remove the blood </w:t>
            </w:r>
            <w:r>
              <w:rPr>
                <w:rFonts w:cs="Calibri"/>
              </w:rPr>
              <w:t>from refrigerator</w:t>
            </w:r>
            <w:r w:rsidRPr="00EF0EEC">
              <w:rPr>
                <w:rFonts w:cs="Calibri"/>
              </w:rPr>
              <w:t>.</w:t>
            </w:r>
          </w:p>
        </w:tc>
        <w:tc>
          <w:tcPr>
            <w:tcW w:w="2898" w:type="dxa"/>
          </w:tcPr>
          <w:p w14:paraId="46482AD0" w14:textId="77777777" w:rsidR="001E39A5" w:rsidRPr="00EF0EEC" w:rsidRDefault="001E39A5" w:rsidP="00F34272">
            <w:pPr>
              <w:rPr>
                <w:rFonts w:cs="Calibri"/>
                <w:sz w:val="18"/>
                <w:szCs w:val="18"/>
              </w:rPr>
            </w:pPr>
          </w:p>
        </w:tc>
      </w:tr>
      <w:tr w:rsidR="0056332F" w14:paraId="091177BB" w14:textId="77777777" w:rsidTr="0056332F">
        <w:tc>
          <w:tcPr>
            <w:tcW w:w="1008" w:type="dxa"/>
          </w:tcPr>
          <w:p w14:paraId="4C49E5B2" w14:textId="77777777" w:rsidR="0056332F" w:rsidRDefault="0056332F" w:rsidP="00F34272">
            <w:pPr>
              <w:jc w:val="center"/>
              <w:rPr>
                <w:rFonts w:cs="Calibri"/>
              </w:rPr>
            </w:pPr>
          </w:p>
        </w:tc>
        <w:tc>
          <w:tcPr>
            <w:tcW w:w="5670" w:type="dxa"/>
          </w:tcPr>
          <w:p w14:paraId="49FDC165" w14:textId="77777777" w:rsidR="0056332F" w:rsidRPr="00EF0EEC" w:rsidRDefault="0056332F" w:rsidP="00F34272">
            <w:pPr>
              <w:rPr>
                <w:rFonts w:cs="Calibri"/>
              </w:rPr>
            </w:pPr>
            <w:r>
              <w:rPr>
                <w:rFonts w:cs="Calibri"/>
                <w:noProof/>
              </w:rPr>
              <mc:AlternateContent>
                <mc:Choice Requires="wps">
                  <w:drawing>
                    <wp:anchor distT="0" distB="0" distL="114300" distR="114300" simplePos="0" relativeHeight="251660288" behindDoc="0" locked="0" layoutInCell="1" allowOverlap="1" wp14:anchorId="728E5F02" wp14:editId="5ADFD685">
                      <wp:simplePos x="0" y="0"/>
                      <wp:positionH relativeFrom="column">
                        <wp:posOffset>867707</wp:posOffset>
                      </wp:positionH>
                      <wp:positionV relativeFrom="paragraph">
                        <wp:posOffset>1645150</wp:posOffset>
                      </wp:positionV>
                      <wp:extent cx="321013" cy="1731523"/>
                      <wp:effectExtent l="0" t="38100" r="60325" b="21590"/>
                      <wp:wrapNone/>
                      <wp:docPr id="6" name="Straight Arrow Connector 6"/>
                      <wp:cNvGraphicFramePr/>
                      <a:graphic xmlns:a="http://schemas.openxmlformats.org/drawingml/2006/main">
                        <a:graphicData uri="http://schemas.microsoft.com/office/word/2010/wordprocessingShape">
                          <wps:wsp>
                            <wps:cNvCnPr/>
                            <wps:spPr>
                              <a:xfrm flipV="1">
                                <a:off x="0" y="0"/>
                                <a:ext cx="321013" cy="1731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583B7F6" id="_x0000_t32" coordsize="21600,21600" o:spt="32" o:oned="t" path="m,l21600,21600e" filled="f">
                      <v:path arrowok="t" fillok="f" o:connecttype="none"/>
                      <o:lock v:ext="edit" shapetype="t"/>
                    </v:shapetype>
                    <v:shape id="Straight Arrow Connector 6" o:spid="_x0000_s1026" type="#_x0000_t32" style="position:absolute;margin-left:68.3pt;margin-top:129.55pt;width:25.3pt;height:136.3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" strokecolor="#4579b8 [3044]">
                      <v:stroke endarrow="block"/>
                    </v:shape>
                  </w:pict>
                </mc:Fallback>
              </mc:AlternateContent>
            </w:r>
            <w:r w:rsidRPr="0056332F">
              <w:rPr>
                <w:rFonts w:cs="Calibri"/>
                <w:noProof/>
              </w:rPr>
              <w:drawing>
                <wp:inline distT="0" distB="0" distL="0" distR="0" wp14:anchorId="6BDF980B" wp14:editId="7BD8D5BA">
                  <wp:extent cx="2505724" cy="3340205"/>
                  <wp:effectExtent l="0" t="0" r="8890" b="0"/>
                  <wp:docPr id="5" name="Picture 5" descr="C:\Users\kcoors\AppData\Local\Microsoft\Windows\Temporary Internet Files\Content.IE5\K9948UV7\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coors\AppData\Local\Microsoft\Windows\Temporary Internet Files\Content.IE5\K9948UV7\photo[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0422" cy="3346467"/>
                          </a:xfrm>
                          <a:prstGeom prst="rect">
                            <a:avLst/>
                          </a:prstGeom>
                          <a:noFill/>
                          <a:ln>
                            <a:noFill/>
                          </a:ln>
                        </pic:spPr>
                      </pic:pic>
                    </a:graphicData>
                  </a:graphic>
                </wp:inline>
              </w:drawing>
            </w:r>
          </w:p>
        </w:tc>
        <w:tc>
          <w:tcPr>
            <w:tcW w:w="2898" w:type="dxa"/>
          </w:tcPr>
          <w:p w14:paraId="26F11077" w14:textId="77777777" w:rsidR="0056332F" w:rsidRPr="00EF0EEC" w:rsidRDefault="0056332F" w:rsidP="00F34272">
            <w:pPr>
              <w:rPr>
                <w:rFonts w:cs="Calibri"/>
                <w:sz w:val="18"/>
                <w:szCs w:val="18"/>
              </w:rPr>
            </w:pPr>
          </w:p>
        </w:tc>
      </w:tr>
      <w:tr w:rsidR="001E39A5" w14:paraId="236DB81B" w14:textId="77777777" w:rsidTr="0056332F">
        <w:tc>
          <w:tcPr>
            <w:tcW w:w="1008" w:type="dxa"/>
          </w:tcPr>
          <w:p w14:paraId="7E2AF3E2" w14:textId="77777777" w:rsidR="001E39A5" w:rsidRDefault="001E39A5" w:rsidP="00F34272">
            <w:pPr>
              <w:jc w:val="center"/>
              <w:rPr>
                <w:rFonts w:cs="Calibri"/>
              </w:rPr>
            </w:pPr>
            <w:r>
              <w:rPr>
                <w:rFonts w:cs="Calibri"/>
              </w:rPr>
              <w:t>2</w:t>
            </w:r>
          </w:p>
        </w:tc>
        <w:tc>
          <w:tcPr>
            <w:tcW w:w="5670" w:type="dxa"/>
          </w:tcPr>
          <w:p w14:paraId="50DB12B9" w14:textId="77777777" w:rsidR="001E39A5" w:rsidRDefault="001E39A5" w:rsidP="00F34272">
            <w:pPr>
              <w:rPr>
                <w:rFonts w:cs="Calibri"/>
              </w:rPr>
            </w:pPr>
            <w:r>
              <w:rPr>
                <w:rFonts w:cs="Calibri"/>
              </w:rPr>
              <w:t xml:space="preserve">Press the Red Product Blister firmly on the ShockWatch WarmMark® to arm the temperature indicator system.  </w:t>
            </w:r>
          </w:p>
        </w:tc>
        <w:tc>
          <w:tcPr>
            <w:tcW w:w="2898" w:type="dxa"/>
          </w:tcPr>
          <w:p w14:paraId="7F6A1327" w14:textId="77777777" w:rsidR="001E39A5" w:rsidRPr="00EF0EEC" w:rsidRDefault="001E39A5" w:rsidP="00F34272">
            <w:pPr>
              <w:rPr>
                <w:rFonts w:cs="Calibri"/>
                <w:sz w:val="18"/>
                <w:szCs w:val="18"/>
              </w:rPr>
            </w:pPr>
          </w:p>
        </w:tc>
      </w:tr>
      <w:tr w:rsidR="0056332F" w14:paraId="3BF3C9DF" w14:textId="77777777" w:rsidTr="0056332F">
        <w:tc>
          <w:tcPr>
            <w:tcW w:w="1008" w:type="dxa"/>
          </w:tcPr>
          <w:p w14:paraId="433C9DE1" w14:textId="77777777" w:rsidR="0056332F" w:rsidRDefault="0056332F" w:rsidP="0056332F">
            <w:pPr>
              <w:jc w:val="center"/>
              <w:rPr>
                <w:rFonts w:cs="Calibri"/>
              </w:rPr>
            </w:pPr>
            <w:r>
              <w:rPr>
                <w:rFonts w:cs="Calibri"/>
              </w:rPr>
              <w:t>3</w:t>
            </w:r>
          </w:p>
        </w:tc>
        <w:tc>
          <w:tcPr>
            <w:tcW w:w="5670" w:type="dxa"/>
          </w:tcPr>
          <w:p w14:paraId="078191D1" w14:textId="77777777" w:rsidR="0056332F" w:rsidRPr="0056332F" w:rsidRDefault="0056332F" w:rsidP="0056332F">
            <w:pPr>
              <w:rPr>
                <w:rFonts w:cs="Calibri"/>
              </w:rPr>
            </w:pPr>
            <w:r>
              <w:rPr>
                <w:rFonts w:cs="Calibri"/>
                <w:noProof/>
              </w:rPr>
              <mc:AlternateContent>
                <mc:Choice Requires="wps">
                  <w:drawing>
                    <wp:anchor distT="0" distB="0" distL="114300" distR="114300" simplePos="0" relativeHeight="251659264" behindDoc="0" locked="0" layoutInCell="1" allowOverlap="1" wp14:anchorId="488C4AF6" wp14:editId="4924AC17">
                      <wp:simplePos x="0" y="0"/>
                      <wp:positionH relativeFrom="column">
                        <wp:posOffset>2330004</wp:posOffset>
                      </wp:positionH>
                      <wp:positionV relativeFrom="paragraph">
                        <wp:posOffset>98451</wp:posOffset>
                      </wp:positionV>
                      <wp:extent cx="943583" cy="992221"/>
                      <wp:effectExtent l="38100" t="0" r="28575" b="55880"/>
                      <wp:wrapNone/>
                      <wp:docPr id="4" name="Straight Arrow Connector 4"/>
                      <wp:cNvGraphicFramePr/>
                      <a:graphic xmlns:a="http://schemas.openxmlformats.org/drawingml/2006/main">
                        <a:graphicData uri="http://schemas.microsoft.com/office/word/2010/wordprocessingShape">
                          <wps:wsp>
                            <wps:cNvCnPr/>
                            <wps:spPr>
                              <a:xfrm flipH="1">
                                <a:off x="0" y="0"/>
                                <a:ext cx="943583" cy="9922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7F86E84" id="Straight Arrow Connector 4" o:spid="_x0000_s1026" type="#_x0000_t32" style="position:absolute;margin-left:183.45pt;margin-top:7.75pt;width:74.3pt;height:78.1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" strokecolor="#4579b8 [3044]">
                      <v:stroke endarrow="block"/>
                    </v:shape>
                  </w:pict>
                </mc:Fallback>
              </mc:AlternateContent>
            </w:r>
            <w:r w:rsidRPr="0056332F">
              <w:rPr>
                <w:rFonts w:cs="Calibri"/>
              </w:rPr>
              <w:t>Verify that the arming window changes from yellow to green.</w:t>
            </w:r>
          </w:p>
        </w:tc>
        <w:tc>
          <w:tcPr>
            <w:tcW w:w="2898" w:type="dxa"/>
          </w:tcPr>
          <w:p w14:paraId="10C3A092" w14:textId="77777777" w:rsidR="0056332F" w:rsidRDefault="0056332F" w:rsidP="0056332F">
            <w:pPr>
              <w:rPr>
                <w:rFonts w:cs="Calibri"/>
                <w:sz w:val="18"/>
                <w:szCs w:val="18"/>
              </w:rPr>
            </w:pPr>
          </w:p>
        </w:tc>
      </w:tr>
      <w:tr w:rsidR="0056332F" w14:paraId="337B8EA1" w14:textId="77777777" w:rsidTr="0056332F">
        <w:tc>
          <w:tcPr>
            <w:tcW w:w="1008" w:type="dxa"/>
          </w:tcPr>
          <w:p w14:paraId="129438C5" w14:textId="77777777" w:rsidR="0056332F" w:rsidRDefault="0056332F" w:rsidP="0056332F">
            <w:pPr>
              <w:jc w:val="center"/>
              <w:rPr>
                <w:rFonts w:cs="Calibri"/>
              </w:rPr>
            </w:pPr>
          </w:p>
        </w:tc>
        <w:tc>
          <w:tcPr>
            <w:tcW w:w="5670" w:type="dxa"/>
          </w:tcPr>
          <w:p w14:paraId="5B529F5A" w14:textId="77777777" w:rsidR="0056332F" w:rsidRDefault="0056332F" w:rsidP="0056332F">
            <w:pPr>
              <w:rPr>
                <w:rFonts w:cs="Calibri"/>
              </w:rPr>
            </w:pPr>
            <w:r w:rsidRPr="001E39A5">
              <w:rPr>
                <w:rFonts w:cs="Calibri"/>
                <w:noProof/>
              </w:rPr>
              <w:drawing>
                <wp:inline distT="0" distB="0" distL="0" distR="0" wp14:anchorId="1EEAB757" wp14:editId="2D8834F0">
                  <wp:extent cx="3586077" cy="2689146"/>
                  <wp:effectExtent l="0" t="0" r="0" b="0"/>
                  <wp:docPr id="3" name="Picture 3" descr="C:\Users\kcoors\AppData\Local\Microsoft\Windows\Temporary Internet Files\Content.IE5\JCQ8CDBC\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oors\AppData\Local\Microsoft\Windows\Temporary Internet Files\Content.IE5\JCQ8CDBC\photo[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1771" cy="2693416"/>
                          </a:xfrm>
                          <a:prstGeom prst="rect">
                            <a:avLst/>
                          </a:prstGeom>
                          <a:noFill/>
                          <a:ln>
                            <a:noFill/>
                          </a:ln>
                        </pic:spPr>
                      </pic:pic>
                    </a:graphicData>
                  </a:graphic>
                </wp:inline>
              </w:drawing>
            </w:r>
          </w:p>
        </w:tc>
        <w:tc>
          <w:tcPr>
            <w:tcW w:w="2898" w:type="dxa"/>
          </w:tcPr>
          <w:p w14:paraId="0BB82BF8" w14:textId="77777777" w:rsidR="0056332F" w:rsidRDefault="0056332F" w:rsidP="0056332F">
            <w:pPr>
              <w:rPr>
                <w:rFonts w:cs="Calibri"/>
                <w:sz w:val="18"/>
                <w:szCs w:val="18"/>
              </w:rPr>
            </w:pPr>
          </w:p>
        </w:tc>
      </w:tr>
      <w:tr w:rsidR="0056332F" w14:paraId="767BB7B9" w14:textId="77777777" w:rsidTr="0056332F">
        <w:tc>
          <w:tcPr>
            <w:tcW w:w="1008" w:type="dxa"/>
          </w:tcPr>
          <w:p w14:paraId="261B7F8C" w14:textId="77777777" w:rsidR="0056332F" w:rsidRDefault="0056332F" w:rsidP="0056332F">
            <w:pPr>
              <w:jc w:val="center"/>
              <w:rPr>
                <w:rFonts w:cs="Calibri"/>
              </w:rPr>
            </w:pPr>
            <w:r>
              <w:rPr>
                <w:rFonts w:cs="Calibri"/>
              </w:rPr>
              <w:t>4</w:t>
            </w:r>
          </w:p>
        </w:tc>
        <w:tc>
          <w:tcPr>
            <w:tcW w:w="5670" w:type="dxa"/>
          </w:tcPr>
          <w:p w14:paraId="07F8D529" w14:textId="77777777" w:rsidR="0056332F" w:rsidRDefault="0056332F" w:rsidP="0056332F">
            <w:pPr>
              <w:rPr>
                <w:rFonts w:cs="Calibri"/>
              </w:rPr>
            </w:pPr>
            <w:r>
              <w:rPr>
                <w:rFonts w:cs="Calibri"/>
              </w:rPr>
              <w:t>Remove the ShockWatch WarmMark</w:t>
            </w:r>
            <w:r w:rsidRPr="00EF0EEC">
              <w:rPr>
                <w:rFonts w:cs="Calibri"/>
              </w:rPr>
              <w:t xml:space="preserve">® </w:t>
            </w:r>
            <w:r>
              <w:rPr>
                <w:rFonts w:cs="Calibri"/>
              </w:rPr>
              <w:t>from the adhesive liner and attach it directly to the blood bag.</w:t>
            </w:r>
          </w:p>
          <w:p w14:paraId="70163B51" w14:textId="77777777" w:rsidR="0056332F" w:rsidRDefault="0056332F" w:rsidP="0056332F">
            <w:pPr>
              <w:rPr>
                <w:rFonts w:cs="Calibri"/>
                <w:sz w:val="18"/>
                <w:szCs w:val="18"/>
              </w:rPr>
            </w:pPr>
            <w:r>
              <w:rPr>
                <w:rFonts w:cs="Calibri"/>
                <w:sz w:val="18"/>
                <w:szCs w:val="18"/>
              </w:rPr>
              <w:t xml:space="preserve">It is recommended to apply it to the lower third of the bag, where there is a large volume of blood product. </w:t>
            </w:r>
          </w:p>
          <w:p w14:paraId="1FEE7FD3" w14:textId="77777777" w:rsidR="0056332F" w:rsidRPr="00EF0EEC" w:rsidRDefault="0056332F" w:rsidP="0056332F">
            <w:pPr>
              <w:rPr>
                <w:rFonts w:cs="Calibri"/>
              </w:rPr>
            </w:pPr>
          </w:p>
        </w:tc>
        <w:tc>
          <w:tcPr>
            <w:tcW w:w="2898" w:type="dxa"/>
          </w:tcPr>
          <w:p w14:paraId="1BAA7CA0" w14:textId="77777777" w:rsidR="0056332F" w:rsidRDefault="0056332F" w:rsidP="0056332F">
            <w:pPr>
              <w:rPr>
                <w:rFonts w:cs="Calibri"/>
                <w:sz w:val="18"/>
                <w:szCs w:val="18"/>
              </w:rPr>
            </w:pPr>
          </w:p>
        </w:tc>
      </w:tr>
      <w:tr w:rsidR="0056332F" w14:paraId="5BD5442B" w14:textId="77777777" w:rsidTr="0056332F">
        <w:tc>
          <w:tcPr>
            <w:tcW w:w="1008" w:type="dxa"/>
          </w:tcPr>
          <w:p w14:paraId="03443DDB" w14:textId="77777777" w:rsidR="0056332F" w:rsidRDefault="0056332F" w:rsidP="0056332F">
            <w:pPr>
              <w:jc w:val="center"/>
              <w:rPr>
                <w:rFonts w:cs="Calibri"/>
              </w:rPr>
            </w:pPr>
            <w:r>
              <w:rPr>
                <w:rFonts w:cs="Calibri"/>
              </w:rPr>
              <w:t>5</w:t>
            </w:r>
          </w:p>
        </w:tc>
        <w:tc>
          <w:tcPr>
            <w:tcW w:w="5670" w:type="dxa"/>
          </w:tcPr>
          <w:p w14:paraId="6C05A198" w14:textId="77777777" w:rsidR="0056332F" w:rsidRPr="00EF0EEC" w:rsidRDefault="0056332F" w:rsidP="0056332F">
            <w:pPr>
              <w:rPr>
                <w:rFonts w:cs="Calibri"/>
              </w:rPr>
            </w:pPr>
            <w:r>
              <w:rPr>
                <w:rFonts w:cs="Calibri"/>
              </w:rPr>
              <w:t>Be certain that the ShockWatch WarmMark® Indicator is completely in contact with the blood bag.</w:t>
            </w:r>
          </w:p>
        </w:tc>
        <w:tc>
          <w:tcPr>
            <w:tcW w:w="2898" w:type="dxa"/>
          </w:tcPr>
          <w:p w14:paraId="2F15366A" w14:textId="77777777" w:rsidR="0056332F" w:rsidRDefault="0056332F" w:rsidP="0056332F">
            <w:pPr>
              <w:rPr>
                <w:rFonts w:cs="Calibri"/>
                <w:sz w:val="18"/>
                <w:szCs w:val="18"/>
              </w:rPr>
            </w:pPr>
          </w:p>
        </w:tc>
      </w:tr>
      <w:tr w:rsidR="0056332F" w14:paraId="1683DB23" w14:textId="77777777" w:rsidTr="00D247C1">
        <w:tc>
          <w:tcPr>
            <w:tcW w:w="1008" w:type="dxa"/>
          </w:tcPr>
          <w:p w14:paraId="1FA50049" w14:textId="77777777" w:rsidR="0056332F" w:rsidRDefault="0056332F" w:rsidP="0056332F">
            <w:pPr>
              <w:jc w:val="center"/>
              <w:rPr>
                <w:rFonts w:cs="Calibri"/>
              </w:rPr>
            </w:pPr>
            <w:r>
              <w:rPr>
                <w:rFonts w:cs="Calibri"/>
              </w:rPr>
              <w:lastRenderedPageBreak/>
              <w:t>6.</w:t>
            </w:r>
          </w:p>
        </w:tc>
        <w:tc>
          <w:tcPr>
            <w:tcW w:w="8568" w:type="dxa"/>
            <w:gridSpan w:val="2"/>
          </w:tcPr>
          <w:p w14:paraId="1808C21F" w14:textId="77777777" w:rsidR="0056332F" w:rsidRPr="0056332F" w:rsidRDefault="0056332F" w:rsidP="0056332F">
            <w:pPr>
              <w:jc w:val="both"/>
              <w:rPr>
                <w:rFonts w:cs="Calibri"/>
                <w:b/>
              </w:rPr>
            </w:pPr>
            <w:r>
              <w:rPr>
                <w:rFonts w:cs="Calibri"/>
                <w:noProof/>
              </w:rPr>
              <mc:AlternateContent>
                <mc:Choice Requires="wps">
                  <w:drawing>
                    <wp:anchor distT="0" distB="0" distL="114300" distR="114300" simplePos="0" relativeHeight="251661312" behindDoc="0" locked="0" layoutInCell="1" allowOverlap="1" wp14:anchorId="3CF1BF30" wp14:editId="21406E21">
                      <wp:simplePos x="0" y="0"/>
                      <wp:positionH relativeFrom="column">
                        <wp:posOffset>2501954</wp:posOffset>
                      </wp:positionH>
                      <wp:positionV relativeFrom="paragraph">
                        <wp:posOffset>263821</wp:posOffset>
                      </wp:positionV>
                      <wp:extent cx="612843" cy="1575881"/>
                      <wp:effectExtent l="38100" t="0" r="34925" b="62865"/>
                      <wp:wrapNone/>
                      <wp:docPr id="8" name="Straight Arrow Connector 8"/>
                      <wp:cNvGraphicFramePr/>
                      <a:graphic xmlns:a="http://schemas.openxmlformats.org/drawingml/2006/main">
                        <a:graphicData uri="http://schemas.microsoft.com/office/word/2010/wordprocessingShape">
                          <wps:wsp>
                            <wps:cNvCnPr/>
                            <wps:spPr>
                              <a:xfrm flipH="1">
                                <a:off x="0" y="0"/>
                                <a:ext cx="612843" cy="157588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w:pict>
                    <v:shape w14:anchorId="7B35FAA2" id="Straight Arrow Connector 8" o:spid="_x0000_s1026" type="#_x0000_t32" style="position:absolute;margin-left:197pt;margin-top:20.75pt;width:48.25pt;height:124.1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" strokecolor="#bc4542 [3045]">
                      <v:stroke endarrow="block"/>
                    </v:shape>
                  </w:pict>
                </mc:Fallback>
              </mc:AlternateContent>
            </w:r>
            <w:r w:rsidRPr="0056332F">
              <w:rPr>
                <w:rFonts w:cs="Calibri"/>
              </w:rPr>
              <w:t>The temperature sensitive liquid will move from the arming window and into the breach window when the blood bag core temperature reaches 10</w:t>
            </w:r>
            <w:r w:rsidRPr="0056332F">
              <w:rPr>
                <w:rFonts w:cs="Calibri"/>
                <w:vertAlign w:val="superscript"/>
              </w:rPr>
              <w:t>o</w:t>
            </w:r>
            <w:r w:rsidRPr="0056332F">
              <w:rPr>
                <w:rFonts w:cs="Calibri"/>
              </w:rPr>
              <w:t>C.</w:t>
            </w:r>
          </w:p>
          <w:p w14:paraId="230BCB52" w14:textId="77777777" w:rsidR="0056332F" w:rsidRDefault="0056332F" w:rsidP="0056332F">
            <w:pPr>
              <w:rPr>
                <w:rFonts w:cs="Calibri"/>
                <w:sz w:val="18"/>
                <w:szCs w:val="18"/>
              </w:rPr>
            </w:pPr>
          </w:p>
        </w:tc>
      </w:tr>
      <w:tr w:rsidR="0056332F" w14:paraId="094FFD39" w14:textId="77777777" w:rsidTr="001C677E">
        <w:tc>
          <w:tcPr>
            <w:tcW w:w="9576" w:type="dxa"/>
            <w:gridSpan w:val="3"/>
          </w:tcPr>
          <w:p w14:paraId="5B7A9917" w14:textId="77777777" w:rsidR="0056332F" w:rsidRPr="0056332F" w:rsidRDefault="0056332F" w:rsidP="0056332F">
            <w:pPr>
              <w:jc w:val="both"/>
              <w:rPr>
                <w:rFonts w:cs="Calibri"/>
              </w:rPr>
            </w:pPr>
            <w:r w:rsidRPr="0056332F">
              <w:rPr>
                <w:rFonts w:cs="Calibri"/>
                <w:noProof/>
              </w:rPr>
              <w:drawing>
                <wp:inline distT="0" distB="0" distL="0" distR="0" wp14:anchorId="3FCDABB9" wp14:editId="5041B9D7">
                  <wp:extent cx="4630715" cy="3472504"/>
                  <wp:effectExtent l="0" t="0" r="0" b="0"/>
                  <wp:docPr id="7" name="Picture 7" descr="C:\Users\kcoors\AppData\Local\Microsoft\Windows\Temporary Internet Files\Content.IE5\4Q9O0CKF\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coors\AppData\Local\Microsoft\Windows\Temporary Internet Files\Content.IE5\4Q9O0CKF\photo[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5229" cy="3475889"/>
                          </a:xfrm>
                          <a:prstGeom prst="rect">
                            <a:avLst/>
                          </a:prstGeom>
                          <a:noFill/>
                          <a:ln>
                            <a:noFill/>
                          </a:ln>
                        </pic:spPr>
                      </pic:pic>
                    </a:graphicData>
                  </a:graphic>
                </wp:inline>
              </w:drawing>
            </w:r>
          </w:p>
        </w:tc>
      </w:tr>
    </w:tbl>
    <w:p w14:paraId="5CB21C77" w14:textId="77777777" w:rsidR="001E39A5" w:rsidRPr="00EF0EEC" w:rsidRDefault="001E39A5" w:rsidP="001E39A5">
      <w:pPr>
        <w:rPr>
          <w:rFonts w:cs="Calibri"/>
        </w:rPr>
      </w:pPr>
    </w:p>
    <w:p w14:paraId="37FAFA3E" w14:textId="77777777" w:rsidR="001E39A5" w:rsidRPr="000857B0" w:rsidRDefault="001E39A5" w:rsidP="001E39A5">
      <w:pPr>
        <w:rPr>
          <w:rFonts w:cs="Calibri"/>
        </w:rPr>
      </w:pPr>
    </w:p>
    <w:p w14:paraId="325EDD6A" w14:textId="77777777" w:rsidR="001E39A5" w:rsidRDefault="001E39A5" w:rsidP="001E39A5">
      <w:pPr>
        <w:rPr>
          <w:rFonts w:cs="Calibri"/>
          <w:b/>
        </w:rPr>
      </w:pPr>
      <w:r>
        <w:rPr>
          <w:rFonts w:cs="Calibri"/>
          <w:b/>
        </w:rPr>
        <w:t>C</w:t>
      </w:r>
      <w:r w:rsidRPr="000234BB">
        <w:rPr>
          <w:rFonts w:cs="Calibri"/>
          <w:b/>
        </w:rPr>
        <w:t>O</w:t>
      </w:r>
      <w:r>
        <w:rPr>
          <w:rFonts w:cs="Calibri"/>
          <w:b/>
        </w:rPr>
        <w:t>LO</w:t>
      </w:r>
      <w:r w:rsidRPr="000234BB">
        <w:rPr>
          <w:rFonts w:cs="Calibri"/>
          <w:b/>
        </w:rPr>
        <w:t>R</w:t>
      </w:r>
      <w:r>
        <w:rPr>
          <w:rFonts w:cs="Calibri"/>
          <w:b/>
        </w:rPr>
        <w:t xml:space="preserve"> CHANGE TEMPERATURE INDICATION</w:t>
      </w:r>
    </w:p>
    <w:p w14:paraId="7C60EA85" w14:textId="77777777" w:rsidR="001E39A5" w:rsidRPr="009941C9" w:rsidRDefault="001E39A5" w:rsidP="001E39A5">
      <w:pPr>
        <w:pStyle w:val="ListParagraph"/>
        <w:numPr>
          <w:ilvl w:val="0"/>
          <w:numId w:val="2"/>
        </w:numPr>
        <w:rPr>
          <w:rFonts w:cs="Calibri"/>
          <w:b/>
        </w:rPr>
      </w:pPr>
      <w:r>
        <w:rPr>
          <w:rFonts w:cs="Calibri"/>
        </w:rPr>
        <w:t>The ShockWatch WarmMark® system is valid to use when the red Product Blister is not pressed, the arming window is yellow, and the breached window is white.</w:t>
      </w:r>
    </w:p>
    <w:p w14:paraId="2D11E74E" w14:textId="77777777" w:rsidR="001E39A5" w:rsidRPr="0056332F" w:rsidRDefault="001E39A5" w:rsidP="001E39A5">
      <w:pPr>
        <w:pStyle w:val="ListParagraph"/>
        <w:numPr>
          <w:ilvl w:val="0"/>
          <w:numId w:val="2"/>
        </w:numPr>
        <w:rPr>
          <w:rFonts w:cs="Calibri"/>
          <w:b/>
        </w:rPr>
      </w:pPr>
      <w:r>
        <w:rPr>
          <w:rFonts w:cs="Calibri"/>
        </w:rPr>
        <w:t>The ShockWatch WarmMark® system is armed when the red Product Blister is pressed allowing the temperature sensitive liquid to move into the arming window, changing the color from yellow to green. The breached window is still white.</w:t>
      </w:r>
    </w:p>
    <w:p w14:paraId="22E35FE6" w14:textId="77777777" w:rsidR="0056332F" w:rsidRPr="005D3147" w:rsidRDefault="0056332F" w:rsidP="0056332F">
      <w:pPr>
        <w:pStyle w:val="ListParagraph"/>
        <w:numPr>
          <w:ilvl w:val="0"/>
          <w:numId w:val="2"/>
        </w:numPr>
        <w:rPr>
          <w:rFonts w:cs="Calibri"/>
          <w:b/>
        </w:rPr>
      </w:pPr>
      <w:r>
        <w:rPr>
          <w:rFonts w:cs="Calibri"/>
        </w:rPr>
        <w:t>The temperature sensitive liquid will move from the arming window and into the breach window when the blood bag core temperature reaches 10</w:t>
      </w:r>
      <w:r w:rsidRPr="007C1416">
        <w:rPr>
          <w:rFonts w:cs="Calibri"/>
          <w:vertAlign w:val="superscript"/>
        </w:rPr>
        <w:t>o</w:t>
      </w:r>
      <w:r>
        <w:rPr>
          <w:rFonts w:cs="Calibri"/>
        </w:rPr>
        <w:t>C.</w:t>
      </w:r>
    </w:p>
    <w:p w14:paraId="07E2B5C0" w14:textId="77777777" w:rsidR="0056332F" w:rsidRPr="009941C9" w:rsidRDefault="0056332F" w:rsidP="0056332F">
      <w:pPr>
        <w:pStyle w:val="ListParagraph"/>
        <w:rPr>
          <w:rFonts w:cs="Calibri"/>
          <w:b/>
        </w:rPr>
      </w:pPr>
    </w:p>
    <w:p w14:paraId="1F634D43" w14:textId="77777777" w:rsidR="001E39A5" w:rsidRPr="009941C9" w:rsidRDefault="001E39A5" w:rsidP="001E39A5">
      <w:pPr>
        <w:pStyle w:val="ListParagraph"/>
        <w:rPr>
          <w:rFonts w:cs="Calibri"/>
          <w:b/>
        </w:rPr>
      </w:pPr>
    </w:p>
    <w:p w14:paraId="3F97B3E5" w14:textId="77777777" w:rsidR="001E39A5" w:rsidRPr="000857B0" w:rsidRDefault="001E39A5" w:rsidP="001E39A5">
      <w:pPr>
        <w:rPr>
          <w:rFonts w:cs="Calibri"/>
        </w:rPr>
      </w:pPr>
    </w:p>
    <w:p w14:paraId="39DD26A4" w14:textId="77777777" w:rsidR="001E39A5" w:rsidRPr="000234BB" w:rsidRDefault="001E39A5" w:rsidP="001E39A5">
      <w:pPr>
        <w:rPr>
          <w:rFonts w:cs="Calibri"/>
          <w:b/>
        </w:rPr>
      </w:pPr>
      <w:r w:rsidRPr="000234BB">
        <w:rPr>
          <w:rFonts w:cs="Calibri"/>
          <w:b/>
        </w:rPr>
        <w:t>REFERENCES</w:t>
      </w:r>
    </w:p>
    <w:p w14:paraId="7420423C" w14:textId="77777777" w:rsidR="001E39A5" w:rsidRDefault="001E39A5" w:rsidP="001E39A5">
      <w:r>
        <w:t xml:space="preserve">Package insert, </w:t>
      </w:r>
      <w:r>
        <w:rPr>
          <w:rFonts w:cs="Calibri"/>
        </w:rPr>
        <w:t xml:space="preserve">ShockWatch WarmMark,® </w:t>
      </w:r>
      <w:r>
        <w:t>Smart Solutions for Safe Transit. 2014</w:t>
      </w:r>
    </w:p>
    <w:p w14:paraId="1499DDC7" w14:textId="77777777" w:rsidR="001E39A5" w:rsidRDefault="001E39A5" w:rsidP="001E39A5"/>
    <w:p w14:paraId="6DDDD702" w14:textId="77777777" w:rsidR="00224E3F" w:rsidRDefault="00224E3F" w:rsidP="001E39A5"/>
    <w:sectPr w:rsidR="00224E3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65261" w14:textId="77777777" w:rsidR="001E39A5" w:rsidRDefault="001E39A5" w:rsidP="00E14E6E">
      <w:pPr>
        <w:spacing w:after="0" w:line="240" w:lineRule="auto"/>
      </w:pPr>
      <w:r>
        <w:separator/>
      </w:r>
    </w:p>
  </w:endnote>
  <w:endnote w:type="continuationSeparator" w:id="0">
    <w:p w14:paraId="3658E35C" w14:textId="77777777" w:rsidR="001E39A5" w:rsidRDefault="001E39A5"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742A3" w14:textId="77777777" w:rsidR="00C95164" w:rsidRDefault="00C95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BF677" w14:textId="77777777"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4-05-15T00:00:00Z">
          <w:dateFormat w:val="M/d/yyyy"/>
          <w:lid w:val="en-US"/>
          <w:storeMappedDataAs w:val="dateTime"/>
          <w:calendar w:val="gregorian"/>
        </w:date>
      </w:sdtPr>
      <w:sdtEndPr/>
      <w:sdtContent>
        <w:r w:rsidR="001E39A5">
          <w:rPr>
            <w:rFonts w:asciiTheme="minorHAnsi" w:hAnsiTheme="minorHAnsi" w:cstheme="minorHAnsi"/>
            <w:color w:val="808080" w:themeColor="background1" w:themeShade="80"/>
            <w:sz w:val="20"/>
            <w:szCs w:val="20"/>
          </w:rPr>
          <w:t>5/15/2014</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E857D7">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E857D7">
      <w:rPr>
        <w:rFonts w:asciiTheme="minorHAnsi" w:hAnsiTheme="minorHAnsi" w:cstheme="minorHAnsi"/>
        <w:b/>
        <w:noProof/>
        <w:color w:val="808080" w:themeColor="background1" w:themeShade="80"/>
        <w:sz w:val="20"/>
        <w:szCs w:val="20"/>
      </w:rPr>
      <w:t>4</w:t>
    </w:r>
    <w:r w:rsidRPr="000234BB">
      <w:rPr>
        <w:rFonts w:asciiTheme="minorHAnsi" w:hAnsiTheme="minorHAnsi" w:cstheme="minorHAnsi"/>
        <w:b/>
        <w:color w:val="808080" w:themeColor="background1" w:themeShade="80"/>
        <w:sz w:val="20"/>
        <w:szCs w:val="20"/>
      </w:rPr>
      <w:fldChar w:fldCharType="end"/>
    </w:r>
  </w:p>
  <w:p w14:paraId="071B195D" w14:textId="2E6F2818"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E857D7">
          <w:rPr>
            <w:rFonts w:asciiTheme="minorHAnsi" w:hAnsiTheme="minorHAnsi" w:cstheme="minorHAnsi"/>
            <w:color w:val="808080" w:themeColor="background1" w:themeShade="80"/>
            <w:sz w:val="20"/>
            <w:szCs w:val="20"/>
          </w:rPr>
          <w:t>Document Version: 1.0</w:t>
        </w:r>
      </w:sdtContent>
    </w:sdt>
    <w:r w:rsidR="00C95164">
      <w:rPr>
        <w:rFonts w:asciiTheme="minorHAnsi" w:hAnsiTheme="minorHAnsi" w:cstheme="minorHAnsi"/>
        <w:color w:val="808080" w:themeColor="background1" w:themeShade="80"/>
        <w:sz w:val="20"/>
        <w:szCs w:val="20"/>
      </w:rPr>
      <w:t xml:space="preserve">  When printed, this becomes an uncontrolled document.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31208" w14:textId="77777777" w:rsidR="00C95164" w:rsidRDefault="00C95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394BB" w14:textId="77777777" w:rsidR="001E39A5" w:rsidRDefault="001E39A5" w:rsidP="00E14E6E">
      <w:pPr>
        <w:spacing w:after="0" w:line="240" w:lineRule="auto"/>
      </w:pPr>
      <w:r>
        <w:separator/>
      </w:r>
    </w:p>
  </w:footnote>
  <w:footnote w:type="continuationSeparator" w:id="0">
    <w:p w14:paraId="5070937E" w14:textId="77777777" w:rsidR="001E39A5" w:rsidRDefault="001E39A5"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AE11" w14:textId="77777777" w:rsidR="00C95164" w:rsidRDefault="00C95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62B5" w14:textId="77777777" w:rsidR="00E14E6E" w:rsidRDefault="00E14E6E">
    <w:pPr>
      <w:pStyle w:val="Header"/>
    </w:pPr>
    <w:r>
      <w:rPr>
        <w:noProof/>
      </w:rPr>
      <w:drawing>
        <wp:inline distT="0" distB="0" distL="0" distR="0" wp14:anchorId="56A3EE34" wp14:editId="69F630E8">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1E39A5">
          <w:t>Shockwatch Temp Indicators</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885A2" w14:textId="77777777" w:rsidR="00C95164" w:rsidRDefault="00C95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128A3"/>
    <w:multiLevelType w:val="hybridMultilevel"/>
    <w:tmpl w:val="8516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30EE4"/>
    <w:multiLevelType w:val="hybridMultilevel"/>
    <w:tmpl w:val="CF30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120252"/>
    <w:rsid w:val="001237A1"/>
    <w:rsid w:val="001E39A5"/>
    <w:rsid w:val="00224E3F"/>
    <w:rsid w:val="002573D1"/>
    <w:rsid w:val="0026140C"/>
    <w:rsid w:val="004C7B0A"/>
    <w:rsid w:val="00513BF5"/>
    <w:rsid w:val="0056332F"/>
    <w:rsid w:val="008A0912"/>
    <w:rsid w:val="0093312D"/>
    <w:rsid w:val="00C95164"/>
    <w:rsid w:val="00D866A1"/>
    <w:rsid w:val="00E14E6E"/>
    <w:rsid w:val="00E30F5F"/>
    <w:rsid w:val="00E857D7"/>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B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1E39A5"/>
    <w:pPr>
      <w:ind w:left="720"/>
      <w:contextualSpacing/>
    </w:pPr>
  </w:style>
  <w:style w:type="table" w:styleId="TableGrid">
    <w:name w:val="Table Grid"/>
    <w:basedOn w:val="TableNormal"/>
    <w:uiPriority w:val="59"/>
    <w:rsid w:val="001E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1E39A5"/>
    <w:pPr>
      <w:ind w:left="720"/>
      <w:contextualSpacing/>
    </w:pPr>
  </w:style>
  <w:style w:type="table" w:styleId="TableGrid">
    <w:name w:val="Table Grid"/>
    <w:basedOn w:val="TableNormal"/>
    <w:uiPriority w:val="59"/>
    <w:rsid w:val="001E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E1EE2"/>
    <w:rsid w:val="0072532D"/>
    <w:rsid w:val="00791C1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2014-05-15T04:00:00+00:00</Effective_x0020_Date>
    <Locations xmlns="7bb6ae39-40b3-4b4f-9ace-18387bc29df9">
      <Value>1</Value>
      <Value>2</Value>
      <Value>3</Value>
      <Value>4</Value>
      <Value>5</Value>
      <Value>6</Value>
      <Value>7</Value>
      <Value>8</Value>
      <Value>9</Value>
      <Value>10</Value>
      <Value>11</Value>
      <Value>12</Value>
      <Value>13</Value>
      <Value>18</Value>
      <Value>19</Value>
      <Value>20</Value>
      <Value>22</Value>
      <Value>24</Value>
      <Value>25</Value>
      <Value>26</Value>
      <Value>27</Value>
      <Value>28</Value>
      <Value>29</Value>
    </Locations>
    <Disposal_x0020_Approved_x0020_Date xmlns="7bb6ae39-40b3-4b4f-9ace-18387bc29df9" xsi:nil="true"/>
    <Owner xmlns="7bb6ae39-40b3-4b4f-9ace-18387bc29df9">
      <UserInfo>
        <DisplayName>Coors, Kim</DisplayName>
        <AccountId>33</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BB.Issue.18.0</Procedure_x0020_Number>
    <Implementation_x0020_Date xmlns="7bb6ae39-40b3-4b4f-9ace-18387bc29df9">2014-05-01T04:00:00+00:00</Implementation_x0020_Date>
    <retired xmlns="7bb6ae39-40b3-4b4f-9ace-18387bc29df9">false</retired>
    <Departments xmlns="7bb6ae39-40b3-4b4f-9ace-18387bc29df9">
      <Value>5</Value>
    </Departments>
    <DLCPolicyLabelLock xmlns="862cb136-aef3-45d6-820f-9c9bc07b493d" xsi:nil="true"/>
    <Next_x0020_Review_x0020_Date xmlns="7bb6ae39-40b3-4b4f-9ace-18387bc29df9">2016-04-01T04:00:00+00:00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Coors, Kim</DisplayName>
        <AccountId>33</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1.0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57" ma:contentTypeDescription="A standard content type for SOP's. Inherits from Document." ma:contentTypeScope="" ma:versionID="9b77cbba851d9f1f3484c4979d6c53fa">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1a1845a3fbbceaab129b320b42afbd6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internalName="Revision_x0020_Notes0">
      <xsd:simpleType>
        <xsd:restriction base="dms:Note">
          <xsd:maxLength value="255"/>
        </xsd:restriction>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internalName="Locations_x0020_Quickpar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internalName="dueDat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internalName="Effective_x0020_Date_x0020_Status">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default="[today]"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internalName="DisableR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purl.org/dc/dcmitype/"/>
    <ds:schemaRef ds:uri="http://schemas.microsoft.com/office/2006/documentManagement/types"/>
    <ds:schemaRef ds:uri="http://www.w3.org/XML/1998/namespace"/>
    <ds:schemaRef ds:uri="http://purl.org/dc/terms/"/>
    <ds:schemaRef ds:uri="862cb136-aef3-45d6-820f-9c9bc07b493d"/>
    <ds:schemaRef ds:uri="http://schemas.microsoft.com/office/2006/metadata/properties"/>
    <ds:schemaRef ds:uri="http://purl.org/dc/elements/1.1/"/>
    <ds:schemaRef ds:uri="7bb6ae39-40b3-4b4f-9ace-18387bc29df9"/>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BB96CDD8-B60A-4208-B616-88347489E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9983E628-258C-49AA-A4B3-A57EB0EE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Shockwatch Temp Indicators</vt:lpstr>
    </vt:vector>
  </TitlesOfParts>
  <Company>MACL</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Shockwatch Temp Indicators</dc:title>
  <dc:subject/>
  <dc:creator>Coors, Kim</dc:creator>
  <cp:keywords/>
  <dc:description/>
  <cp:lastModifiedBy> </cp:lastModifiedBy>
  <cp:revision>2</cp:revision>
  <dcterms:created xsi:type="dcterms:W3CDTF">2014-05-27T12:54:00Z</dcterms:created>
  <dcterms:modified xsi:type="dcterms:W3CDTF">2014-05-27T12:54:00Z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ies>
</file>